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4CF" w:rsidRPr="00042234" w:rsidRDefault="00DE35F2" w:rsidP="00042234">
      <w:pPr>
        <w:pStyle w:val="Heading1"/>
        <w:jc w:val="center"/>
        <w:rPr>
          <w:rFonts w:ascii="Times New Roman" w:hAnsi="Times New Roman" w:cs="Times New Roman"/>
        </w:rPr>
      </w:pPr>
      <w:r w:rsidRPr="00042234">
        <w:rPr>
          <w:rFonts w:ascii="Times New Roman" w:hAnsi="Times New Roman" w:cs="Times New Roman"/>
          <w:lang w:val="en-US"/>
        </w:rPr>
        <w:t>The role of science, technology and engineering in the re</w:t>
      </w:r>
      <w:r w:rsidR="00CF5040" w:rsidRPr="00042234">
        <w:rPr>
          <w:rFonts w:ascii="Times New Roman" w:hAnsi="Times New Roman" w:cs="Times New Roman"/>
          <w:lang w:val="en-US"/>
        </w:rPr>
        <w:t>gulation of A</w:t>
      </w:r>
      <w:r w:rsidR="00E406CD" w:rsidRPr="00042234">
        <w:rPr>
          <w:rFonts w:ascii="Times New Roman" w:hAnsi="Times New Roman" w:cs="Times New Roman"/>
          <w:lang w:val="en-US"/>
        </w:rPr>
        <w:t xml:space="preserve">rctic oil spills: </w:t>
      </w:r>
      <w:r w:rsidR="00042234" w:rsidRPr="00042234">
        <w:rPr>
          <w:rFonts w:ascii="Times New Roman" w:hAnsi="Times New Roman" w:cs="Times New Roman"/>
          <w:lang w:val="en-US"/>
        </w:rPr>
        <w:br/>
      </w:r>
      <w:r w:rsidR="00E406CD" w:rsidRPr="00042234">
        <w:rPr>
          <w:rFonts w:ascii="Times New Roman" w:hAnsi="Times New Roman" w:cs="Times New Roman"/>
          <w:lang w:val="en-US"/>
        </w:rPr>
        <w:t>an i</w:t>
      </w:r>
      <w:r w:rsidRPr="00042234">
        <w:rPr>
          <w:rFonts w:ascii="Times New Roman" w:hAnsi="Times New Roman" w:cs="Times New Roman"/>
          <w:lang w:val="en-US"/>
        </w:rPr>
        <w:t>nterdisciplinary approach</w:t>
      </w:r>
    </w:p>
    <w:p w:rsidR="00CA64CF" w:rsidRPr="00042234" w:rsidRDefault="00DE35F2" w:rsidP="00042234">
      <w:pPr>
        <w:pStyle w:val="Heading2"/>
        <w:jc w:val="center"/>
        <w:rPr>
          <w:rFonts w:ascii="Times New Roman" w:hAnsi="Times New Roman" w:cs="Times New Roman"/>
        </w:rPr>
      </w:pPr>
      <w:r w:rsidRPr="00042234">
        <w:rPr>
          <w:rFonts w:ascii="Times New Roman" w:hAnsi="Times New Roman" w:cs="Times New Roman"/>
        </w:rPr>
        <w:t>Professor Tina Hunte</w:t>
      </w:r>
      <w:r w:rsidR="00E406CD" w:rsidRPr="00042234">
        <w:rPr>
          <w:rFonts w:ascii="Times New Roman" w:hAnsi="Times New Roman" w:cs="Times New Roman"/>
        </w:rPr>
        <w:t>r</w:t>
      </w:r>
      <w:r w:rsidR="00E406CD" w:rsidRPr="00042234">
        <w:rPr>
          <w:rStyle w:val="FootnoteReference"/>
          <w:rFonts w:ascii="Times New Roman" w:hAnsi="Times New Roman" w:cs="Times New Roman"/>
          <w:i/>
          <w:iCs/>
          <w:color w:val="365F91" w:themeColor="accent1" w:themeShade="BF"/>
        </w:rPr>
        <w:footnoteReference w:id="1"/>
      </w:r>
    </w:p>
    <w:p w:rsidR="00B60321" w:rsidRPr="00042234" w:rsidRDefault="002044B6" w:rsidP="00EF0810">
      <w:pPr>
        <w:pStyle w:val="Heading1"/>
        <w:jc w:val="both"/>
        <w:rPr>
          <w:rFonts w:ascii="Times New Roman" w:hAnsi="Times New Roman" w:cs="Times New Roman"/>
        </w:rPr>
      </w:pPr>
      <w:r w:rsidRPr="00042234">
        <w:rPr>
          <w:rFonts w:ascii="Times New Roman" w:hAnsi="Times New Roman" w:cs="Times New Roman"/>
        </w:rPr>
        <w:t xml:space="preserve">1. </w:t>
      </w:r>
      <w:r w:rsidR="00B60321" w:rsidRPr="00042234">
        <w:rPr>
          <w:rFonts w:ascii="Times New Roman" w:hAnsi="Times New Roman" w:cs="Times New Roman"/>
        </w:rPr>
        <w:t xml:space="preserve">Introduction </w:t>
      </w:r>
    </w:p>
    <w:p w:rsidR="00E65B7B" w:rsidRPr="00042234" w:rsidRDefault="00D53784" w:rsidP="00EF0810">
      <w:pPr>
        <w:jc w:val="both"/>
      </w:pPr>
      <w:r w:rsidRPr="00042234">
        <w:t>A</w:t>
      </w:r>
      <w:r w:rsidR="009927CA" w:rsidRPr="00042234">
        <w:t>ccording to a</w:t>
      </w:r>
      <w:r w:rsidRPr="00042234">
        <w:t>n assessment of</w:t>
      </w:r>
      <w:r w:rsidR="00CF5040" w:rsidRPr="00042234">
        <w:t xml:space="preserve"> Arctic petroleum resources </w:t>
      </w:r>
      <w:r w:rsidR="009927CA" w:rsidRPr="00042234">
        <w:t>by the US Geological Survey, mo</w:t>
      </w:r>
      <w:r w:rsidR="00E65B7B" w:rsidRPr="00042234">
        <w:t>re than</w:t>
      </w:r>
      <w:r w:rsidR="009927CA" w:rsidRPr="00042234">
        <w:t xml:space="preserve"> 400 onshore fields have extracted 40 billion </w:t>
      </w:r>
      <w:r w:rsidR="00B45E97" w:rsidRPr="00042234">
        <w:t>barrels (bbl)</w:t>
      </w:r>
      <w:r w:rsidR="009927CA" w:rsidRPr="00042234">
        <w:t xml:space="preserve"> of oil, 1136</w:t>
      </w:r>
      <w:r w:rsidR="00B45E97" w:rsidRPr="00042234">
        <w:t xml:space="preserve"> trillion cubic feet (</w:t>
      </w:r>
      <w:r w:rsidR="009927CA" w:rsidRPr="00042234">
        <w:t>Tcf</w:t>
      </w:r>
      <w:r w:rsidR="00B45E97" w:rsidRPr="00042234">
        <w:t>)</w:t>
      </w:r>
      <w:r w:rsidR="009927CA" w:rsidRPr="00042234">
        <w:t xml:space="preserve"> of gas and </w:t>
      </w:r>
      <w:r w:rsidR="00B45E97" w:rsidRPr="00042234">
        <w:t>8 billion bbl natural gas liquids</w:t>
      </w:r>
      <w:r w:rsidR="00E65B7B" w:rsidRPr="00042234">
        <w:t xml:space="preserve"> to date</w:t>
      </w:r>
      <w:r w:rsidR="00B45E97" w:rsidRPr="00042234">
        <w:t>.</w:t>
      </w:r>
      <w:r w:rsidR="00B45E97" w:rsidRPr="00042234">
        <w:rPr>
          <w:rStyle w:val="FootnoteReference"/>
        </w:rPr>
        <w:footnoteReference w:id="2"/>
      </w:r>
      <w:r w:rsidR="00E65B7B" w:rsidRPr="00042234">
        <w:t xml:space="preserve"> A</w:t>
      </w:r>
      <w:r w:rsidR="00811B27" w:rsidRPr="00042234">
        <w:t xml:space="preserve"> further</w:t>
      </w:r>
      <w:r w:rsidR="004D51A5" w:rsidRPr="00042234">
        <w:t xml:space="preserve"> assessment of the offshore Arctic geology concludes that approximately </w:t>
      </w:r>
      <w:r w:rsidR="00BC2D57" w:rsidRPr="00042234">
        <w:t xml:space="preserve">30% of the </w:t>
      </w:r>
      <w:r w:rsidR="00CD2CB2" w:rsidRPr="00042234">
        <w:t>world’s</w:t>
      </w:r>
      <w:r w:rsidR="00BC2D57" w:rsidRPr="00042234">
        <w:t xml:space="preserve"> undis</w:t>
      </w:r>
      <w:r w:rsidR="00ED7A30" w:rsidRPr="00042234">
        <w:t xml:space="preserve">covered gas and 13% of undiscovered oil lies in </w:t>
      </w:r>
      <w:r w:rsidR="00811B27" w:rsidRPr="00042234">
        <w:t>primarily</w:t>
      </w:r>
      <w:r w:rsidR="00ED7A30" w:rsidRPr="00042234">
        <w:t xml:space="preserve"> on the Arctic continental shelf in less than 500m of water</w:t>
      </w:r>
      <w:r w:rsidR="00811B27" w:rsidRPr="00042234">
        <w:t>,</w:t>
      </w:r>
      <w:r w:rsidR="001049A6" w:rsidRPr="00042234">
        <w:rPr>
          <w:rStyle w:val="FootnoteReference"/>
        </w:rPr>
        <w:footnoteReference w:id="3"/>
      </w:r>
      <w:r w:rsidR="001049A6" w:rsidRPr="00042234">
        <w:t xml:space="preserve"> of which the lion</w:t>
      </w:r>
      <w:r w:rsidR="00FC1F6A" w:rsidRPr="00042234">
        <w:t>’</w:t>
      </w:r>
      <w:r w:rsidR="001049A6" w:rsidRPr="00042234">
        <w:t xml:space="preserve">s share is located in the </w:t>
      </w:r>
      <w:r w:rsidR="0060748B" w:rsidRPr="00042234">
        <w:t>seas of the Euro</w:t>
      </w:r>
      <w:r w:rsidR="001049A6" w:rsidRPr="00042234">
        <w:t>-Barents Arctic.</w:t>
      </w:r>
      <w:r w:rsidR="001049A6" w:rsidRPr="00042234">
        <w:rPr>
          <w:rStyle w:val="FootnoteReference"/>
        </w:rPr>
        <w:footnoteReference w:id="4"/>
      </w:r>
      <w:r w:rsidR="00FC1F6A" w:rsidRPr="00042234">
        <w:t xml:space="preserve"> To date, most of the exploitation of offshore Arctic oil and gas </w:t>
      </w:r>
      <w:r w:rsidR="00BD7AB0" w:rsidRPr="00042234">
        <w:t xml:space="preserve">has occurred in the </w:t>
      </w:r>
      <w:r w:rsidR="00E12AD9" w:rsidRPr="00042234">
        <w:t>Euro</w:t>
      </w:r>
      <w:r w:rsidR="00BD7AB0" w:rsidRPr="00042234">
        <w:t xml:space="preserve">-Barents Region, </w:t>
      </w:r>
      <w:r w:rsidR="00E12AD9" w:rsidRPr="00042234">
        <w:t>and includes the Norwegian fields Goliat and Snøhvit, and the Russian Yamal and Prirazlomnoye developmen</w:t>
      </w:r>
      <w:r w:rsidR="00331956" w:rsidRPr="00042234">
        <w:t xml:space="preserve">ts. There are a number of other </w:t>
      </w:r>
      <w:r w:rsidR="00255A4F" w:rsidRPr="00042234">
        <w:t>fields</w:t>
      </w:r>
      <w:r w:rsidR="00331956" w:rsidRPr="00042234">
        <w:t xml:space="preserve"> in the area that are slated for development, especially the giant Shtokman Field, as well as highly prospective new areas, including the Fedinsky High</w:t>
      </w:r>
      <w:r w:rsidR="00255A4F" w:rsidRPr="00042234">
        <w:t xml:space="preserve"> straddling the Norway-Russia Maritime Border. </w:t>
      </w:r>
    </w:p>
    <w:p w:rsidR="00B60321" w:rsidRPr="00042234" w:rsidRDefault="00255A4F" w:rsidP="00EF0810">
      <w:pPr>
        <w:jc w:val="both"/>
      </w:pPr>
      <w:r w:rsidRPr="00042234">
        <w:t>Given the huge petroleum resour</w:t>
      </w:r>
      <w:r w:rsidR="00F16251" w:rsidRPr="00042234">
        <w:t>ces in the area, the increased level of exploitation of petroleum,</w:t>
      </w:r>
      <w:r w:rsidR="006C133B" w:rsidRPr="00042234">
        <w:t xml:space="preserve"> and the risk and consequences </w:t>
      </w:r>
      <w:r w:rsidR="00F16251" w:rsidRPr="00042234">
        <w:t>of an oil spill associated</w:t>
      </w:r>
      <w:r w:rsidR="00331956" w:rsidRPr="00042234">
        <w:t xml:space="preserve"> </w:t>
      </w:r>
      <w:r w:rsidR="00F16251" w:rsidRPr="00042234">
        <w:t>with such activities, it is critical that the oil spill prevention, preparedness and response</w:t>
      </w:r>
      <w:r w:rsidR="006C133B" w:rsidRPr="00042234">
        <w:t xml:space="preserve"> (OSPPR)</w:t>
      </w:r>
      <w:r w:rsidR="00F16251" w:rsidRPr="00042234">
        <w:t xml:space="preserve"> </w:t>
      </w:r>
      <w:r w:rsidR="006C133B" w:rsidRPr="00042234">
        <w:t xml:space="preserve">framework considers not only legal </w:t>
      </w:r>
      <w:r w:rsidR="00C86F78" w:rsidRPr="00042234">
        <w:t>regulation,</w:t>
      </w:r>
      <w:r w:rsidR="00E65B7B" w:rsidRPr="00042234">
        <w:t xml:space="preserve"> but also incorporates the </w:t>
      </w:r>
      <w:r w:rsidR="00C86F78" w:rsidRPr="00042234">
        <w:t xml:space="preserve">necessary interdisciplinary knowledge and </w:t>
      </w:r>
      <w:r w:rsidR="00E65B7B" w:rsidRPr="00042234">
        <w:t>linkages</w:t>
      </w:r>
      <w:r w:rsidR="00CD2CB2">
        <w:t>. Adopting this regulatory framework</w:t>
      </w:r>
      <w:r w:rsidR="00E65B7B" w:rsidRPr="00042234">
        <w:t xml:space="preserve"> </w:t>
      </w:r>
      <w:r w:rsidR="00CD2CB2">
        <w:t xml:space="preserve">will </w:t>
      </w:r>
      <w:r w:rsidR="00E65B7B" w:rsidRPr="00042234">
        <w:t>ensure be</w:t>
      </w:r>
      <w:r w:rsidR="001E3645" w:rsidRPr="00042234">
        <w:t>st practice in regulating OSPPR. T</w:t>
      </w:r>
      <w:r w:rsidR="00E65B7B" w:rsidRPr="00042234">
        <w:t xml:space="preserve">herefore, this paper </w:t>
      </w:r>
      <w:r w:rsidR="00CD2CB2">
        <w:t>examines</w:t>
      </w:r>
      <w:r w:rsidR="00CD2CB2" w:rsidRPr="00042234">
        <w:t xml:space="preserve"> </w:t>
      </w:r>
      <w:r w:rsidR="00E65B7B" w:rsidRPr="00042234">
        <w:t>two main issues. Firstly, it provides an overview</w:t>
      </w:r>
      <w:r w:rsidR="00811B27" w:rsidRPr="00042234">
        <w:t xml:space="preserve"> of sources of o</w:t>
      </w:r>
      <w:r w:rsidR="00E65B7B" w:rsidRPr="00042234">
        <w:t>il spills in the Arctic, and the legal framework relating to spills from petroleum activities</w:t>
      </w:r>
      <w:r w:rsidR="00811B27" w:rsidRPr="00042234">
        <w:t>. Secondly, it prov</w:t>
      </w:r>
      <w:r w:rsidR="00E65B7B" w:rsidRPr="00042234">
        <w:t xml:space="preserve">ides a brief overview of the interdisciplinary </w:t>
      </w:r>
      <w:r w:rsidR="00811B27" w:rsidRPr="00042234">
        <w:t>issues to b</w:t>
      </w:r>
      <w:r w:rsidR="00E65B7B" w:rsidRPr="00042234">
        <w:t xml:space="preserve">e considered when </w:t>
      </w:r>
      <w:r w:rsidR="001E3645" w:rsidRPr="00042234">
        <w:t>seeking to regulate extraction activities in the Arctic to prevent and respond to oil spills.</w:t>
      </w:r>
    </w:p>
    <w:p w:rsidR="00CA64CF" w:rsidRPr="00042234" w:rsidRDefault="002044B6" w:rsidP="00EF0810">
      <w:pPr>
        <w:pStyle w:val="Heading1"/>
        <w:jc w:val="both"/>
        <w:rPr>
          <w:rFonts w:ascii="Times New Roman" w:hAnsi="Times New Roman" w:cs="Times New Roman"/>
          <w:lang w:val="en-US"/>
        </w:rPr>
      </w:pPr>
      <w:r w:rsidRPr="00042234">
        <w:rPr>
          <w:rFonts w:ascii="Times New Roman" w:hAnsi="Times New Roman" w:cs="Times New Roman"/>
          <w:lang w:val="en-US"/>
        </w:rPr>
        <w:t xml:space="preserve">2. </w:t>
      </w:r>
      <w:r w:rsidR="00DE35F2" w:rsidRPr="00042234">
        <w:rPr>
          <w:rFonts w:ascii="Times New Roman" w:hAnsi="Times New Roman" w:cs="Times New Roman"/>
          <w:lang w:val="en-US"/>
        </w:rPr>
        <w:t xml:space="preserve">Sources of oil spills in the </w:t>
      </w:r>
      <w:r w:rsidR="00B60321" w:rsidRPr="00042234">
        <w:rPr>
          <w:rFonts w:ascii="Times New Roman" w:hAnsi="Times New Roman" w:cs="Times New Roman"/>
          <w:lang w:val="en-US"/>
        </w:rPr>
        <w:t>Arctic</w:t>
      </w:r>
    </w:p>
    <w:p w:rsidR="006204AA" w:rsidRPr="00042234" w:rsidRDefault="00BD7AB0" w:rsidP="00EF0810">
      <w:pPr>
        <w:jc w:val="both"/>
        <w:rPr>
          <w:noProof/>
        </w:rPr>
      </w:pPr>
      <w:r w:rsidRPr="00042234">
        <w:t>The two main sources of oils spill in the Arctic marine environment is that of</w:t>
      </w:r>
      <w:r w:rsidRPr="00042234">
        <w:rPr>
          <w:noProof/>
        </w:rPr>
        <w:t xml:space="preserve"> </w:t>
      </w:r>
      <w:r w:rsidR="006204AA" w:rsidRPr="00042234">
        <w:t xml:space="preserve">petroleum platforms and ships </w:t>
      </w:r>
      <w:r w:rsidRPr="00042234">
        <w:t xml:space="preserve">as illustrated in figure 1 below: </w:t>
      </w:r>
      <w:r w:rsidR="006204AA" w:rsidRPr="00042234">
        <w:t xml:space="preserve"> </w:t>
      </w:r>
    </w:p>
    <w:p w:rsidR="006204AA" w:rsidRPr="00042234" w:rsidRDefault="00AA2569" w:rsidP="00EF0810">
      <w:pPr>
        <w:jc w:val="both"/>
      </w:pPr>
      <w:r w:rsidRPr="00042234">
        <w:rPr>
          <w:noProof/>
          <w:lang w:val="en-US"/>
        </w:rPr>
        <w:drawing>
          <wp:anchor distT="0" distB="0" distL="114300" distR="114300" simplePos="0" relativeHeight="251659264" behindDoc="0" locked="0" layoutInCell="1" allowOverlap="1" wp14:anchorId="3C08E331" wp14:editId="3C00B0F5">
            <wp:simplePos x="0" y="0"/>
            <wp:positionH relativeFrom="column">
              <wp:posOffset>1143000</wp:posOffset>
            </wp:positionH>
            <wp:positionV relativeFrom="paragraph">
              <wp:posOffset>6350</wp:posOffset>
            </wp:positionV>
            <wp:extent cx="3543300" cy="1788160"/>
            <wp:effectExtent l="0" t="0" r="12700" b="0"/>
            <wp:wrapTight wrapText="bothSides">
              <wp:wrapPolygon edited="0">
                <wp:start x="0" y="0"/>
                <wp:lineTo x="0" y="21170"/>
                <wp:lineTo x="21523" y="21170"/>
                <wp:lineTo x="2152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3300" cy="178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04AA" w:rsidRPr="00042234" w:rsidRDefault="006204AA" w:rsidP="00EF0810">
      <w:pPr>
        <w:jc w:val="both"/>
      </w:pPr>
    </w:p>
    <w:p w:rsidR="006204AA" w:rsidRPr="00042234" w:rsidRDefault="006204AA" w:rsidP="00EF0810">
      <w:pPr>
        <w:jc w:val="both"/>
      </w:pPr>
    </w:p>
    <w:p w:rsidR="006204AA" w:rsidRPr="00042234" w:rsidRDefault="006204AA" w:rsidP="00EF0810">
      <w:pPr>
        <w:jc w:val="both"/>
      </w:pPr>
    </w:p>
    <w:p w:rsidR="006204AA" w:rsidRPr="00042234" w:rsidRDefault="006204AA" w:rsidP="00EF0810">
      <w:pPr>
        <w:jc w:val="both"/>
      </w:pPr>
    </w:p>
    <w:p w:rsidR="006204AA" w:rsidRPr="00042234" w:rsidRDefault="006204AA" w:rsidP="00EF0810">
      <w:pPr>
        <w:jc w:val="both"/>
      </w:pPr>
    </w:p>
    <w:p w:rsidR="006204AA" w:rsidRPr="00042234" w:rsidRDefault="006204AA" w:rsidP="00EF0810">
      <w:pPr>
        <w:jc w:val="both"/>
      </w:pPr>
    </w:p>
    <w:p w:rsidR="006204AA" w:rsidRPr="00042234" w:rsidRDefault="006204AA" w:rsidP="00AA2569">
      <w:pPr>
        <w:tabs>
          <w:tab w:val="left" w:pos="1910"/>
          <w:tab w:val="center" w:pos="4153"/>
        </w:tabs>
        <w:jc w:val="both"/>
        <w:rPr>
          <w:i/>
          <w:sz w:val="22"/>
          <w:szCs w:val="22"/>
        </w:rPr>
      </w:pPr>
      <w:r w:rsidRPr="00042234">
        <w:tab/>
      </w:r>
      <w:r w:rsidRPr="00042234">
        <w:rPr>
          <w:i/>
          <w:sz w:val="22"/>
          <w:szCs w:val="22"/>
        </w:rPr>
        <w:t>Figure 1: Oil Spill sources and events (Source: Compiled by Author)</w:t>
      </w:r>
    </w:p>
    <w:p w:rsidR="006204AA" w:rsidRPr="00042234" w:rsidRDefault="002044B6" w:rsidP="002044B6">
      <w:pPr>
        <w:pStyle w:val="Heading2"/>
        <w:rPr>
          <w:rFonts w:ascii="Times New Roman" w:hAnsi="Times New Roman" w:cs="Times New Roman"/>
        </w:rPr>
      </w:pPr>
      <w:r w:rsidRPr="00042234">
        <w:rPr>
          <w:rFonts w:ascii="Times New Roman" w:hAnsi="Times New Roman" w:cs="Times New Roman"/>
        </w:rPr>
        <w:t xml:space="preserve">2.1 </w:t>
      </w:r>
      <w:r w:rsidR="006204AA" w:rsidRPr="00042234">
        <w:rPr>
          <w:rFonts w:ascii="Times New Roman" w:hAnsi="Times New Roman" w:cs="Times New Roman"/>
        </w:rPr>
        <w:t>Petroleum Platforms and Facilities (PPF)</w:t>
      </w:r>
    </w:p>
    <w:p w:rsidR="006204AA" w:rsidRPr="00042234" w:rsidRDefault="006204AA" w:rsidP="00EF0810">
      <w:pPr>
        <w:jc w:val="both"/>
      </w:pPr>
      <w:r w:rsidRPr="00042234">
        <w:t>When undertaking petroleum</w:t>
      </w:r>
      <w:r w:rsidR="00BD7AB0" w:rsidRPr="00042234">
        <w:t xml:space="preserve"> exploitation</w:t>
      </w:r>
      <w:r w:rsidRPr="00042234">
        <w:t>, there are several possible sources of oil pollution. In particular</w:t>
      </w:r>
      <w:r w:rsidR="00CD2CB2">
        <w:t>,</w:t>
      </w:r>
      <w:r w:rsidRPr="00042234">
        <w:t xml:space="preserve"> there are three main sources of oil spill: well blowouts and associated hydrocarbon release</w:t>
      </w:r>
      <w:r w:rsidR="00CD2CB2">
        <w:t>;</w:t>
      </w:r>
      <w:r w:rsidR="00CD2CB2" w:rsidRPr="00042234">
        <w:t xml:space="preserve"> </w:t>
      </w:r>
      <w:r w:rsidRPr="00042234">
        <w:t>platform failure</w:t>
      </w:r>
      <w:proofErr w:type="gramStart"/>
      <w:r w:rsidR="00CD2CB2">
        <w:t>;</w:t>
      </w:r>
      <w:proofErr w:type="gramEnd"/>
      <w:r w:rsidRPr="00042234">
        <w:t xml:space="preserve"> and operational discharges. Of these, operational discharges such as d</w:t>
      </w:r>
      <w:r w:rsidRPr="00042234">
        <w:rPr>
          <w:noProof/>
        </w:rPr>
        <w:t xml:space="preserve">rill fluids and cuttings contribute </w:t>
      </w:r>
      <w:r w:rsidR="00CD2CB2">
        <w:rPr>
          <w:noProof/>
        </w:rPr>
        <w:t xml:space="preserve">a </w:t>
      </w:r>
      <w:r w:rsidRPr="00042234">
        <w:rPr>
          <w:noProof/>
        </w:rPr>
        <w:t xml:space="preserve">small volume oil spill in the environment. </w:t>
      </w:r>
      <w:r w:rsidR="001151BB">
        <w:rPr>
          <w:noProof/>
        </w:rPr>
        <w:t>A</w:t>
      </w:r>
      <w:r w:rsidRPr="00042234">
        <w:rPr>
          <w:noProof/>
        </w:rPr>
        <w:t xml:space="preserve"> major contributor is that of well blowouts, with platform </w:t>
      </w:r>
      <w:r w:rsidR="001151BB">
        <w:rPr>
          <w:noProof/>
        </w:rPr>
        <w:t>incidents also contrbuting to o</w:t>
      </w:r>
      <w:r w:rsidRPr="00042234">
        <w:rPr>
          <w:noProof/>
        </w:rPr>
        <w:t>il spills.</w:t>
      </w:r>
    </w:p>
    <w:p w:rsidR="006204AA" w:rsidRPr="00042234" w:rsidRDefault="002044B6" w:rsidP="00BD7AB0">
      <w:pPr>
        <w:pStyle w:val="Heading3"/>
        <w:rPr>
          <w:rFonts w:ascii="Times New Roman" w:hAnsi="Times New Roman" w:cs="Times New Roman"/>
        </w:rPr>
      </w:pPr>
      <w:r w:rsidRPr="00042234">
        <w:rPr>
          <w:rFonts w:ascii="Times New Roman" w:hAnsi="Times New Roman" w:cs="Times New Roman"/>
        </w:rPr>
        <w:t xml:space="preserve">2.1.1 </w:t>
      </w:r>
      <w:r w:rsidR="006204AA" w:rsidRPr="00042234">
        <w:rPr>
          <w:rFonts w:ascii="Times New Roman" w:hAnsi="Times New Roman" w:cs="Times New Roman"/>
        </w:rPr>
        <w:t>Well Blowouts</w:t>
      </w:r>
    </w:p>
    <w:p w:rsidR="006204AA" w:rsidRPr="00042234" w:rsidRDefault="006204AA" w:rsidP="00EF0810">
      <w:pPr>
        <w:jc w:val="both"/>
      </w:pPr>
      <w:r w:rsidRPr="00042234">
        <w:t xml:space="preserve">When undertaking drilling operations, a well blowout (also known as loss of well </w:t>
      </w:r>
      <w:r w:rsidR="001151BB">
        <w:t>control/</w:t>
      </w:r>
      <w:r w:rsidRPr="00042234">
        <w:t xml:space="preserve">integrity) is a source of oil pollution. Such loss of control can range from minimal, causing a minor oil spill, to major well blowouts that have resulted in huge oil spills with enormous </w:t>
      </w:r>
      <w:r w:rsidR="00CD2CB2">
        <w:t xml:space="preserve">environmental and social </w:t>
      </w:r>
      <w:r w:rsidRPr="00042234">
        <w:t xml:space="preserve">consequences. </w:t>
      </w:r>
    </w:p>
    <w:p w:rsidR="00EA0531" w:rsidRPr="00042234" w:rsidRDefault="006204AA" w:rsidP="00EF0810">
      <w:pPr>
        <w:jc w:val="both"/>
      </w:pPr>
      <w:r w:rsidRPr="00042234">
        <w:t xml:space="preserve">In the period that offshore oil production has </w:t>
      </w:r>
      <w:r w:rsidR="008E15F1">
        <w:t>occurred</w:t>
      </w:r>
      <w:r w:rsidRPr="00042234">
        <w:t xml:space="preserve">, there have been four </w:t>
      </w:r>
      <w:r w:rsidR="008E15F1">
        <w:t>incidents of</w:t>
      </w:r>
      <w:r w:rsidRPr="00042234">
        <w:t xml:space="preserve"> note that have had a major impact on the law regulating oil spills from well blowouts. The first was the 1977 </w:t>
      </w:r>
      <w:r w:rsidRPr="00042234">
        <w:rPr>
          <w:i/>
        </w:rPr>
        <w:t>Ekofisk Bravo</w:t>
      </w:r>
      <w:r w:rsidRPr="00042234">
        <w:t xml:space="preserve"> well blowout, which occurred during maintenance work on a production well located in</w:t>
      </w:r>
      <w:r w:rsidR="0091021E">
        <w:t xml:space="preserve"> the North Sea</w:t>
      </w:r>
      <w:r w:rsidRPr="00042234">
        <w:t>.</w:t>
      </w:r>
      <w:r w:rsidRPr="00042234">
        <w:rPr>
          <w:rStyle w:val="FootnoteReference"/>
        </w:rPr>
        <w:footnoteReference w:id="5"/>
      </w:r>
      <w:r w:rsidRPr="00042234">
        <w:t xml:space="preserve"> The uncontrolled blowout and oil spill continued for seven days until the well was killed.</w:t>
      </w:r>
      <w:r w:rsidRPr="00042234">
        <w:rPr>
          <w:rStyle w:val="FootnoteReference"/>
        </w:rPr>
        <w:footnoteReference w:id="6"/>
      </w:r>
      <w:r w:rsidRPr="00042234">
        <w:t xml:space="preserve"> The second spill of significance, and the second worst in terms of volume spilled, was the Ixtoc 1 well blowout and oil spill that occurred on 3 June 1979 when an exploratory well being drilled by the Semi-submersible drilling rig the </w:t>
      </w:r>
      <w:r w:rsidRPr="00042234">
        <w:rPr>
          <w:i/>
        </w:rPr>
        <w:t>Sedco 135-F</w:t>
      </w:r>
      <w:r w:rsidR="00CD2CB2">
        <w:rPr>
          <w:i/>
        </w:rPr>
        <w:t>,</w:t>
      </w:r>
      <w:r w:rsidRPr="00042234">
        <w:t xml:space="preserve"> was being drilled in the Bay of Campeche in the </w:t>
      </w:r>
      <w:r w:rsidR="00CD2CB2">
        <w:t>Gulf of Mexico</w:t>
      </w:r>
      <w:r w:rsidR="00CD2CB2" w:rsidRPr="00042234">
        <w:t xml:space="preserve"> </w:t>
      </w:r>
      <w:r w:rsidRPr="00042234">
        <w:t>in 50m of water.</w:t>
      </w:r>
      <w:r w:rsidRPr="00042234">
        <w:rPr>
          <w:rStyle w:val="FootnoteReference"/>
        </w:rPr>
        <w:footnoteReference w:id="7"/>
      </w:r>
      <w:r w:rsidRPr="00042234">
        <w:t xml:space="preserve"> The well was capped some ten months later on 23 March 1980, with 140 million gallons of oil spilling into the </w:t>
      </w:r>
      <w:r w:rsidR="00CD2CB2">
        <w:t>Gulf of Mexico</w:t>
      </w:r>
      <w:r w:rsidRPr="00042234">
        <w:t>.</w:t>
      </w:r>
      <w:r w:rsidRPr="00042234">
        <w:rPr>
          <w:rStyle w:val="FootnoteReference"/>
        </w:rPr>
        <w:footnoteReference w:id="8"/>
      </w:r>
      <w:r w:rsidR="00EF0810" w:rsidRPr="00042234">
        <w:t xml:space="preserve"> </w:t>
      </w:r>
    </w:p>
    <w:p w:rsidR="006204AA" w:rsidRPr="00042234" w:rsidRDefault="006204AA" w:rsidP="00EF0810">
      <w:pPr>
        <w:jc w:val="both"/>
      </w:pPr>
      <w:r w:rsidRPr="00042234">
        <w:t>The third oil spill of significance was the Montara Blowout and oil spill (‘Montara’) on 21 August 2009.</w:t>
      </w:r>
      <w:r w:rsidRPr="00042234">
        <w:rPr>
          <w:rStyle w:val="FootnoteReference"/>
        </w:rPr>
        <w:footnoteReference w:id="9"/>
      </w:r>
      <w:r w:rsidRPr="00042234">
        <w:t xml:space="preserve"> It occurred in a remote area northwest off the Western Australian coast, approximately 690km from Darwin. The spill continued until 3 November 2009 (a total of 74 days), when a relief well capped the leaking well. Approximately 14,000 gallons of oil leaked daily, with a total of approximately 1.5 million gallons (over 44,000 barrels) of oil leaked from the well.</w:t>
      </w:r>
      <w:r w:rsidRPr="00042234">
        <w:rPr>
          <w:rStyle w:val="FootnoteReference"/>
        </w:rPr>
        <w:footnoteReference w:id="10"/>
      </w:r>
      <w:r w:rsidRPr="00042234">
        <w:rPr>
          <w:rStyle w:val="FootnoteReference"/>
        </w:rPr>
        <w:t xml:space="preserve"> </w:t>
      </w:r>
      <w:r w:rsidRPr="00042234">
        <w:t>Although the Montara incident resulted in no deaths on the oil platform, and minimal environmental impact in Australian waters,</w:t>
      </w:r>
      <w:r w:rsidRPr="00042234">
        <w:rPr>
          <w:rStyle w:val="FootnoteReference"/>
        </w:rPr>
        <w:footnoteReference w:id="11"/>
      </w:r>
      <w:r w:rsidRPr="00042234">
        <w:t xml:space="preserve"> one of the significant issues relating to this blowout and subsequent oil spill was the length of time required to cap the well. </w:t>
      </w:r>
    </w:p>
    <w:p w:rsidR="006204AA" w:rsidRPr="00042234" w:rsidRDefault="006204AA" w:rsidP="00EF0810">
      <w:pPr>
        <w:jc w:val="both"/>
      </w:pPr>
      <w:r w:rsidRPr="00042234">
        <w:t xml:space="preserve">The fourth, and perhaps most internationally </w:t>
      </w:r>
      <w:r w:rsidR="00510281" w:rsidRPr="00042234">
        <w:t>well-known</w:t>
      </w:r>
      <w:r w:rsidRPr="00042234">
        <w:t xml:space="preserve"> incident is the well blowout on the Deepwater Horizon (DWH) drilling rig and subsequent oil spill in the Gulf of Mexico on 20 April 2010 at the BP operated Macondo Prospect. Following a loss of well integrity, there was an explosion on the Deepwater Horizon drilling rig, causing the death of eleven rig workers and rupturing </w:t>
      </w:r>
      <w:r w:rsidR="00042234">
        <w:t>the riser at the seabed</w:t>
      </w:r>
      <w:r w:rsidRPr="00042234">
        <w:t xml:space="preserve">. </w:t>
      </w:r>
      <w:r w:rsidR="00121507" w:rsidRPr="00042234">
        <w:t>The well was capped 87 days later on 15 July 20</w:t>
      </w:r>
      <w:r w:rsidR="00121507">
        <w:t xml:space="preserve">10, </w:t>
      </w:r>
      <w:r w:rsidR="005915AD">
        <w:t>resulting</w:t>
      </w:r>
      <w:r w:rsidR="00121507">
        <w:t xml:space="preserve"> in a spill of</w:t>
      </w:r>
      <w:r w:rsidR="00121507" w:rsidRPr="00042234">
        <w:t xml:space="preserve"> approximately 134 million gallons of</w:t>
      </w:r>
      <w:r w:rsidR="00121507">
        <w:t xml:space="preserve"> oil.</w:t>
      </w:r>
      <w:r w:rsidRPr="00042234">
        <w:rPr>
          <w:rStyle w:val="FootnoteReference"/>
        </w:rPr>
        <w:footnoteReference w:id="12"/>
      </w:r>
      <w:r w:rsidRPr="00042234">
        <w:t xml:space="preserve"> </w:t>
      </w:r>
    </w:p>
    <w:p w:rsidR="006204AA" w:rsidRPr="00042234" w:rsidRDefault="002044B6" w:rsidP="00BD7AB0">
      <w:pPr>
        <w:pStyle w:val="Heading3"/>
        <w:rPr>
          <w:rFonts w:ascii="Times New Roman" w:hAnsi="Times New Roman" w:cs="Times New Roman"/>
        </w:rPr>
      </w:pPr>
      <w:r w:rsidRPr="00042234">
        <w:rPr>
          <w:rFonts w:ascii="Times New Roman" w:hAnsi="Times New Roman" w:cs="Times New Roman"/>
        </w:rPr>
        <w:t xml:space="preserve"> 2.1.2</w:t>
      </w:r>
      <w:r w:rsidR="00BF3E72" w:rsidRPr="00042234">
        <w:rPr>
          <w:rFonts w:ascii="Times New Roman" w:hAnsi="Times New Roman" w:cs="Times New Roman"/>
        </w:rPr>
        <w:t xml:space="preserve"> </w:t>
      </w:r>
      <w:r w:rsidR="006204AA" w:rsidRPr="00042234">
        <w:rPr>
          <w:rFonts w:ascii="Times New Roman" w:hAnsi="Times New Roman" w:cs="Times New Roman"/>
        </w:rPr>
        <w:t>Platform Failure</w:t>
      </w:r>
    </w:p>
    <w:p w:rsidR="006204AA" w:rsidRPr="00042234" w:rsidRDefault="008D1C07" w:rsidP="00EF0810">
      <w:pPr>
        <w:jc w:val="both"/>
      </w:pPr>
      <w:r w:rsidRPr="00042234">
        <w:t>The</w:t>
      </w:r>
      <w:r w:rsidR="006204AA" w:rsidRPr="00042234">
        <w:t xml:space="preserve"> </w:t>
      </w:r>
      <w:r w:rsidR="006204AA" w:rsidRPr="00042234">
        <w:rPr>
          <w:i/>
        </w:rPr>
        <w:t xml:space="preserve">Piper Alpha </w:t>
      </w:r>
      <w:r w:rsidR="006204AA" w:rsidRPr="00042234">
        <w:t xml:space="preserve">platform disaster in the British Sector of the North Sea, </w:t>
      </w:r>
      <w:r w:rsidRPr="00042234">
        <w:t xml:space="preserve">which occurred on 6 July 1988 </w:t>
      </w:r>
      <w:r w:rsidR="00510281" w:rsidRPr="00042234">
        <w:t>as</w:t>
      </w:r>
      <w:r w:rsidR="006204AA" w:rsidRPr="00042234">
        <w:t xml:space="preserve"> a consequence of a series of events, </w:t>
      </w:r>
      <w:r w:rsidR="00510281">
        <w:t xml:space="preserve">was </w:t>
      </w:r>
      <w:r w:rsidR="006204AA" w:rsidRPr="00042234">
        <w:t>in part attributable to poor d</w:t>
      </w:r>
      <w:r w:rsidRPr="00042234">
        <w:t>ecision-making and human error. A</w:t>
      </w:r>
      <w:r w:rsidR="006204AA" w:rsidRPr="00042234">
        <w:t xml:space="preserve">n explosion </w:t>
      </w:r>
      <w:r w:rsidRPr="00042234">
        <w:t xml:space="preserve">engulfed </w:t>
      </w:r>
      <w:r w:rsidR="006204AA" w:rsidRPr="00042234">
        <w:t>the platform in a catastrophic fire, causing the death of 165 men on board the platform, and two rescue crew</w:t>
      </w:r>
      <w:r w:rsidR="00510281">
        <w:t xml:space="preserve"> members</w:t>
      </w:r>
      <w:r w:rsidR="006204AA" w:rsidRPr="00042234">
        <w:t>.</w:t>
      </w:r>
      <w:r w:rsidR="006204AA" w:rsidRPr="00042234">
        <w:rPr>
          <w:rStyle w:val="FootnoteReference"/>
        </w:rPr>
        <w:footnoteReference w:id="13"/>
      </w:r>
      <w:r w:rsidR="006204AA" w:rsidRPr="00042234">
        <w:t xml:space="preserve"> This </w:t>
      </w:r>
      <w:r w:rsidR="00EF0810" w:rsidRPr="00042234">
        <w:t xml:space="preserve">event, </w:t>
      </w:r>
      <w:r w:rsidR="006204AA" w:rsidRPr="00042234">
        <w:t xml:space="preserve">seen as a failure of technical and </w:t>
      </w:r>
      <w:r w:rsidR="00510281" w:rsidRPr="00042234">
        <w:t>organi</w:t>
      </w:r>
      <w:r w:rsidR="00510281">
        <w:t>s</w:t>
      </w:r>
      <w:r w:rsidR="00510281" w:rsidRPr="00042234">
        <w:t xml:space="preserve">ational </w:t>
      </w:r>
      <w:r w:rsidR="006204AA" w:rsidRPr="00042234">
        <w:t>factors,</w:t>
      </w:r>
      <w:r w:rsidR="006204AA" w:rsidRPr="00042234">
        <w:rPr>
          <w:rStyle w:val="FootnoteReference"/>
        </w:rPr>
        <w:footnoteReference w:id="14"/>
      </w:r>
      <w:r w:rsidR="006204AA" w:rsidRPr="00042234">
        <w:t xml:space="preserve"> highlighted the need for robust processes and systems, which has developed into process safety, a disciplined framework for managing the integrity of operating systems and processes that work worth hazardous substances such as oil and gas.</w:t>
      </w:r>
      <w:r w:rsidR="006204AA" w:rsidRPr="00042234">
        <w:rPr>
          <w:rStyle w:val="FootnoteReference"/>
        </w:rPr>
        <w:footnoteReference w:id="15"/>
      </w:r>
      <w:r w:rsidR="006204AA" w:rsidRPr="00042234">
        <w:t xml:space="preserve"> Whilst the </w:t>
      </w:r>
      <w:r w:rsidR="006204AA" w:rsidRPr="00042234">
        <w:rPr>
          <w:i/>
        </w:rPr>
        <w:t>Piper Alpha</w:t>
      </w:r>
      <w:r w:rsidR="006204AA" w:rsidRPr="00042234">
        <w:t xml:space="preserve"> disaster is synonymous with </w:t>
      </w:r>
      <w:r w:rsidRPr="00042234">
        <w:t>a failure of process safety,</w:t>
      </w:r>
      <w:r w:rsidR="006204AA" w:rsidRPr="00042234">
        <w:t xml:space="preserve"> it also was a source of an oil spill as a result of the platform fire and damage to the subsea production wells</w:t>
      </w:r>
      <w:r w:rsidRPr="00042234">
        <w:t xml:space="preserve"> </w:t>
      </w:r>
      <w:r w:rsidR="00510281">
        <w:t>stemming from</w:t>
      </w:r>
      <w:r w:rsidRPr="00042234">
        <w:t xml:space="preserve"> destruction of the </w:t>
      </w:r>
      <w:r w:rsidR="006204AA" w:rsidRPr="00042234">
        <w:t>platform</w:t>
      </w:r>
      <w:r w:rsidRPr="00042234">
        <w:t xml:space="preserve">, causing a </w:t>
      </w:r>
      <w:r w:rsidR="006204AA" w:rsidRPr="00042234">
        <w:t>significant oil spill lasting several weeks.</w:t>
      </w:r>
      <w:r w:rsidR="006204AA" w:rsidRPr="00042234">
        <w:rPr>
          <w:rStyle w:val="FootnoteReference"/>
        </w:rPr>
        <w:footnoteReference w:id="16"/>
      </w:r>
      <w:r w:rsidR="006204AA" w:rsidRPr="00042234">
        <w:t xml:space="preserve"> Given the enormity of the loss of life on the </w:t>
      </w:r>
      <w:r w:rsidR="006204AA" w:rsidRPr="00042234">
        <w:rPr>
          <w:i/>
        </w:rPr>
        <w:t>Piper Alpha</w:t>
      </w:r>
      <w:r w:rsidR="006204AA" w:rsidRPr="00042234">
        <w:t xml:space="preserve">, scant attention has been paid to the oil spill aspects of the disaster. </w:t>
      </w:r>
      <w:r w:rsidR="00510281">
        <w:t>A</w:t>
      </w:r>
      <w:r w:rsidR="006204AA" w:rsidRPr="00042234">
        <w:t xml:space="preserve">lthough </w:t>
      </w:r>
      <w:r w:rsidR="00510281">
        <w:t>a rare occurrence</w:t>
      </w:r>
      <w:r w:rsidR="006204AA" w:rsidRPr="00042234">
        <w:t>, failures in process safety leading to platform fires and damage to wells has the potential to be a source of offshore oil spills.</w:t>
      </w:r>
    </w:p>
    <w:p w:rsidR="006204AA" w:rsidRPr="00042234" w:rsidRDefault="00BF3E72" w:rsidP="00BF3E72">
      <w:pPr>
        <w:pStyle w:val="Heading2"/>
        <w:rPr>
          <w:rFonts w:ascii="Times New Roman" w:hAnsi="Times New Roman" w:cs="Times New Roman"/>
        </w:rPr>
      </w:pPr>
      <w:r w:rsidRPr="00042234">
        <w:rPr>
          <w:rFonts w:ascii="Times New Roman" w:hAnsi="Times New Roman" w:cs="Times New Roman"/>
        </w:rPr>
        <w:t>2.2 Ships</w:t>
      </w:r>
    </w:p>
    <w:p w:rsidR="006204AA" w:rsidRPr="00042234" w:rsidRDefault="006204AA" w:rsidP="00EF0810">
      <w:pPr>
        <w:jc w:val="both"/>
        <w:rPr>
          <w:i/>
        </w:rPr>
      </w:pPr>
      <w:r w:rsidRPr="00042234">
        <w:t xml:space="preserve">Ships provide two sources of oil spills. The first source is that of oil tankers, the large ships which transport oil from the place of production to that of consumption. During the last fifty years, since the grounding and subsequent spill </w:t>
      </w:r>
      <w:r w:rsidR="00DF0D59">
        <w:t>from</w:t>
      </w:r>
      <w:r w:rsidR="00DF0D59" w:rsidRPr="00042234">
        <w:t xml:space="preserve"> </w:t>
      </w:r>
      <w:r w:rsidRPr="00042234">
        <w:t xml:space="preserve">the Torrey Canyon in 1967 there have been numerous oil spills from tankers that have caused severe environmental pollution. The cargos that have been lost as a result of oil spills have been staggering, ranging from 10-88 million gallons of oil. </w:t>
      </w:r>
    </w:p>
    <w:p w:rsidR="00B60321" w:rsidRPr="00042234" w:rsidRDefault="006204AA" w:rsidP="00EF0810">
      <w:pPr>
        <w:jc w:val="both"/>
      </w:pPr>
      <w:r w:rsidRPr="00042234">
        <w:t xml:space="preserve">Although tanker accidents are the largest source of ship-based oil spills other ships, usually cargo ships, also contribute to marine oil spills though the release of bunker (fuel) oil. Most often such accidents are groundings (such as the Shen </w:t>
      </w:r>
      <w:proofErr w:type="spellStart"/>
      <w:r w:rsidRPr="00042234">
        <w:t>Neng</w:t>
      </w:r>
      <w:proofErr w:type="spellEnd"/>
      <w:r w:rsidRPr="00042234">
        <w:t xml:space="preserve"> 1 which grounded on the Great Barrier Reef), collision, or mechanical damage/fa</w:t>
      </w:r>
      <w:r w:rsidR="0050734F">
        <w:t xml:space="preserve">ilure. Whilst the </w:t>
      </w:r>
      <w:r w:rsidR="00A5472D">
        <w:t xml:space="preserve">contribution </w:t>
      </w:r>
      <w:r w:rsidR="00A5472D" w:rsidRPr="00042234">
        <w:t xml:space="preserve">of </w:t>
      </w:r>
      <w:r w:rsidR="00A5472D">
        <w:t>these</w:t>
      </w:r>
      <w:r w:rsidR="00A5472D" w:rsidRPr="00042234">
        <w:t xml:space="preserve"> types of </w:t>
      </w:r>
      <w:r w:rsidR="00A5472D">
        <w:t>incidents</w:t>
      </w:r>
      <w:r w:rsidR="00A5472D" w:rsidRPr="00042234">
        <w:t xml:space="preserve"> is</w:t>
      </w:r>
      <w:r w:rsidRPr="00042234">
        <w:t xml:space="preserve"> much less than that of tankers, they are nonetheless a source of oil spill, </w:t>
      </w:r>
      <w:r w:rsidR="0050734F">
        <w:t>since they often occur near shore,</w:t>
      </w:r>
      <w:r w:rsidRPr="00042234">
        <w:t xml:space="preserve"> in ports or near loading facilities.</w:t>
      </w:r>
    </w:p>
    <w:p w:rsidR="00CA64CF" w:rsidRPr="00042234" w:rsidRDefault="00BF3E72" w:rsidP="00EF0810">
      <w:pPr>
        <w:pStyle w:val="Heading1"/>
        <w:jc w:val="both"/>
        <w:rPr>
          <w:rFonts w:ascii="Times New Roman" w:hAnsi="Times New Roman" w:cs="Times New Roman"/>
          <w:lang w:val="en-US"/>
        </w:rPr>
      </w:pPr>
      <w:r w:rsidRPr="00042234">
        <w:rPr>
          <w:rFonts w:ascii="Times New Roman" w:hAnsi="Times New Roman" w:cs="Times New Roman"/>
          <w:lang w:val="en-US"/>
        </w:rPr>
        <w:t xml:space="preserve">3. </w:t>
      </w:r>
      <w:r w:rsidR="00AA2569" w:rsidRPr="00042234">
        <w:rPr>
          <w:rFonts w:ascii="Times New Roman" w:hAnsi="Times New Roman" w:cs="Times New Roman"/>
          <w:lang w:val="en-US"/>
        </w:rPr>
        <w:t>Regulating</w:t>
      </w:r>
      <w:r w:rsidR="00DE35F2" w:rsidRPr="00042234">
        <w:rPr>
          <w:rFonts w:ascii="Times New Roman" w:hAnsi="Times New Roman" w:cs="Times New Roman"/>
          <w:lang w:val="en-US"/>
        </w:rPr>
        <w:t xml:space="preserve"> Arctic oil spills </w:t>
      </w:r>
    </w:p>
    <w:p w:rsidR="006204AA" w:rsidRPr="00042234" w:rsidRDefault="005915AD" w:rsidP="00EF0810">
      <w:pPr>
        <w:jc w:val="both"/>
      </w:pPr>
      <w:r w:rsidRPr="00042234">
        <w:rPr>
          <w:noProof/>
          <w:lang w:val="en-US"/>
        </w:rPr>
        <w:drawing>
          <wp:anchor distT="0" distB="0" distL="114300" distR="114300" simplePos="0" relativeHeight="251662336" behindDoc="0" locked="0" layoutInCell="1" allowOverlap="1" wp14:anchorId="01917EE6" wp14:editId="18B3240F">
            <wp:simplePos x="0" y="0"/>
            <wp:positionH relativeFrom="column">
              <wp:posOffset>1016000</wp:posOffset>
            </wp:positionH>
            <wp:positionV relativeFrom="paragraph">
              <wp:posOffset>596265</wp:posOffset>
            </wp:positionV>
            <wp:extent cx="3669665" cy="1668780"/>
            <wp:effectExtent l="0" t="0" r="0" b="7620"/>
            <wp:wrapTight wrapText="bothSides">
              <wp:wrapPolygon edited="0">
                <wp:start x="0" y="0"/>
                <wp:lineTo x="0" y="21370"/>
                <wp:lineTo x="21379" y="21370"/>
                <wp:lineTo x="2137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9665" cy="1668780"/>
                    </a:xfrm>
                    <a:prstGeom prst="rect">
                      <a:avLst/>
                    </a:prstGeom>
                    <a:noFill/>
                    <a:ln>
                      <a:noFill/>
                    </a:ln>
                  </pic:spPr>
                </pic:pic>
              </a:graphicData>
            </a:graphic>
            <wp14:sizeRelH relativeFrom="page">
              <wp14:pctWidth>0</wp14:pctWidth>
            </wp14:sizeRelH>
            <wp14:sizeRelV relativeFrom="page">
              <wp14:pctHeight>0</wp14:pctHeight>
            </wp14:sizeRelV>
          </wp:anchor>
        </w:drawing>
      </w:r>
      <w:r w:rsidR="006204AA" w:rsidRPr="00042234">
        <w:t>The legal regime regulating oil spills depends on three things: prevention, planning (also known as preparedness) and response. Together this regime is known as PPR, and the role of each comp</w:t>
      </w:r>
      <w:r w:rsidR="00AA2569" w:rsidRPr="00042234">
        <w:t>onent is illustrated in figure 2</w:t>
      </w:r>
      <w:r w:rsidR="006204AA" w:rsidRPr="00042234">
        <w:t xml:space="preserve"> below. </w:t>
      </w:r>
    </w:p>
    <w:p w:rsidR="006204AA" w:rsidRPr="00042234" w:rsidRDefault="006204AA" w:rsidP="00EF0810">
      <w:pPr>
        <w:jc w:val="both"/>
      </w:pPr>
    </w:p>
    <w:p w:rsidR="006204AA" w:rsidRPr="00042234" w:rsidRDefault="006204AA" w:rsidP="00EF0810">
      <w:pPr>
        <w:jc w:val="both"/>
      </w:pPr>
    </w:p>
    <w:p w:rsidR="006204AA" w:rsidRPr="00042234" w:rsidRDefault="006204AA" w:rsidP="00EF0810">
      <w:pPr>
        <w:jc w:val="both"/>
      </w:pPr>
    </w:p>
    <w:p w:rsidR="006204AA" w:rsidRPr="00042234" w:rsidRDefault="006204AA" w:rsidP="00EF0810">
      <w:pPr>
        <w:jc w:val="both"/>
      </w:pPr>
    </w:p>
    <w:p w:rsidR="006204AA" w:rsidRPr="00042234" w:rsidRDefault="006204AA" w:rsidP="00EF0810">
      <w:pPr>
        <w:jc w:val="both"/>
      </w:pPr>
    </w:p>
    <w:p w:rsidR="006204AA" w:rsidRPr="00042234" w:rsidRDefault="006204AA" w:rsidP="00EF0810">
      <w:pPr>
        <w:jc w:val="both"/>
      </w:pPr>
    </w:p>
    <w:p w:rsidR="006204AA" w:rsidRPr="00042234" w:rsidRDefault="006204AA" w:rsidP="00EF0810">
      <w:pPr>
        <w:jc w:val="both"/>
      </w:pPr>
    </w:p>
    <w:p w:rsidR="005915AD" w:rsidRPr="00F058D8" w:rsidRDefault="00BF3E72" w:rsidP="00F058D8">
      <w:pPr>
        <w:jc w:val="center"/>
        <w:rPr>
          <w:i/>
          <w:sz w:val="22"/>
          <w:szCs w:val="22"/>
        </w:rPr>
      </w:pPr>
      <w:r w:rsidRPr="00042234">
        <w:rPr>
          <w:i/>
          <w:sz w:val="22"/>
          <w:szCs w:val="22"/>
        </w:rPr>
        <w:t>Figure 2</w:t>
      </w:r>
      <w:r w:rsidR="006204AA" w:rsidRPr="00042234">
        <w:rPr>
          <w:i/>
          <w:sz w:val="22"/>
          <w:szCs w:val="22"/>
        </w:rPr>
        <w:t>: Oil Spill prevention, preparedness and response (Source: Compiled by Author)</w:t>
      </w:r>
    </w:p>
    <w:p w:rsidR="006204AA" w:rsidRPr="00042234" w:rsidRDefault="006204AA" w:rsidP="00EF0810">
      <w:pPr>
        <w:jc w:val="both"/>
      </w:pPr>
      <w:r w:rsidRPr="00042234">
        <w:t>Prevention is a proactive action that is designed to ensure that an oil spill does not occur in the first place. Such legal requirements to prevent an oil spill from occurring in shipping include the use of pilots on ships in hazardous waters</w:t>
      </w:r>
      <w:r w:rsidR="00DF0D59">
        <w:t xml:space="preserve"> and</w:t>
      </w:r>
      <w:r w:rsidRPr="00042234">
        <w:t xml:space="preserve"> the requirement for a double hull on oil tankers. For petroleum facilities, such preventative legal requirements include risk reduction for platforms and use of standards for the integrity of wells. Responding to oil spills requires two primary actions: </w:t>
      </w:r>
      <w:r w:rsidR="00DF0D59">
        <w:t>containing</w:t>
      </w:r>
      <w:r w:rsidRPr="00042234">
        <w:t xml:space="preserve"> the oil that is spilling into the marine environment, and </w:t>
      </w:r>
      <w:r w:rsidR="00DF0D59">
        <w:t>controlling</w:t>
      </w:r>
      <w:r w:rsidRPr="00042234">
        <w:t xml:space="preserve"> the source of the oil spill. </w:t>
      </w:r>
    </w:p>
    <w:p w:rsidR="006204AA" w:rsidRPr="00042234" w:rsidRDefault="006204AA" w:rsidP="00EF0810">
      <w:pPr>
        <w:jc w:val="both"/>
      </w:pPr>
      <w:r w:rsidRPr="00042234">
        <w:t xml:space="preserve">Controlling the source of the spill varies greatly with the type of oil spill. With tanker accidents, history demonstrates that often there is little </w:t>
      </w:r>
      <w:r w:rsidR="00A5472D">
        <w:t>opportunity to remove the cargo</w:t>
      </w:r>
      <w:r w:rsidRPr="00042234">
        <w:t xml:space="preserve">. </w:t>
      </w:r>
      <w:r w:rsidR="00A5472D">
        <w:t>Ho</w:t>
      </w:r>
      <w:r w:rsidR="008B1B47">
        <w:t>we</w:t>
      </w:r>
      <w:r w:rsidR="00A5472D">
        <w:t>ver, o</w:t>
      </w:r>
      <w:r w:rsidRPr="00042234">
        <w:t xml:space="preserve">nce a ship has discharged its cargo of oil, there is nothing left to </w:t>
      </w:r>
      <w:proofErr w:type="gramStart"/>
      <w:r w:rsidRPr="00042234">
        <w:t>spill.</w:t>
      </w:r>
      <w:proofErr w:type="gramEnd"/>
      <w:r w:rsidRPr="00042234">
        <w:t xml:space="preserve"> </w:t>
      </w:r>
      <w:r w:rsidR="00E77B64">
        <w:t>However, this</w:t>
      </w:r>
      <w:r w:rsidR="00E77B64" w:rsidRPr="00042234">
        <w:t xml:space="preserve"> </w:t>
      </w:r>
      <w:r w:rsidRPr="00042234">
        <w:t xml:space="preserve">is </w:t>
      </w:r>
      <w:r w:rsidR="00E77B64">
        <w:t xml:space="preserve">evidentially </w:t>
      </w:r>
      <w:r w:rsidRPr="00042234">
        <w:t>not the case with oil spills from oil platform</w:t>
      </w:r>
      <w:r w:rsidR="00EF7A22" w:rsidRPr="00042234">
        <w:t>s</w:t>
      </w:r>
      <w:r w:rsidRPr="00042234">
        <w:t xml:space="preserve"> due to well blowouts. If a well blows out, particularly if it is a high-pressure well (particularly due to depth of the well), the well will continue to spill oil until it is capped.</w:t>
      </w:r>
      <w:r w:rsidR="00EF7A22" w:rsidRPr="00042234">
        <w:rPr>
          <w:rStyle w:val="FootnoteReference"/>
        </w:rPr>
        <w:footnoteReference w:id="17"/>
      </w:r>
      <w:r w:rsidRPr="00042234">
        <w:t xml:space="preserve">. </w:t>
      </w:r>
    </w:p>
    <w:p w:rsidR="00222803" w:rsidRPr="00042234" w:rsidRDefault="002044B6" w:rsidP="00BF3E72">
      <w:pPr>
        <w:jc w:val="both"/>
      </w:pPr>
      <w:r w:rsidRPr="00042234">
        <w:t xml:space="preserve">The international legal regime </w:t>
      </w:r>
      <w:r w:rsidR="00EA0531" w:rsidRPr="00042234">
        <w:t>governing</w:t>
      </w:r>
      <w:r w:rsidRPr="00042234">
        <w:t xml:space="preserve"> oil spills needs to ensure that it adequately addresses all the issues that may arise with regard to oil spills. There are several international </w:t>
      </w:r>
      <w:r w:rsidR="00A83B7A" w:rsidRPr="00042234">
        <w:t>instruments</w:t>
      </w:r>
      <w:r w:rsidRPr="00042234">
        <w:t xml:space="preserve"> related to </w:t>
      </w:r>
      <w:r w:rsidR="00A83B7A" w:rsidRPr="00042234">
        <w:t>oil spill prevention, preparedness and respons</w:t>
      </w:r>
      <w:r w:rsidR="00FD6B96" w:rsidRPr="00042234">
        <w:t>e, and two worthy of mention: t</w:t>
      </w:r>
      <w:r w:rsidR="00A83B7A" w:rsidRPr="00042234">
        <w:t xml:space="preserve">he </w:t>
      </w:r>
      <w:r w:rsidR="00A83B7A" w:rsidRPr="00042234">
        <w:rPr>
          <w:i/>
        </w:rPr>
        <w:t>United Nations Convention on the Law of the Sea</w:t>
      </w:r>
      <w:r w:rsidR="00A83B7A" w:rsidRPr="00042234">
        <w:t xml:space="preserve"> (UNCLOS) </w:t>
      </w:r>
      <w:r w:rsidR="00FD6B96" w:rsidRPr="00042234">
        <w:t xml:space="preserve">and the </w:t>
      </w:r>
      <w:r w:rsidR="00FD6B96" w:rsidRPr="00042234">
        <w:rPr>
          <w:i/>
        </w:rPr>
        <w:t>International Convention on Oil Pollution Preparedness, Response and Cooperation</w:t>
      </w:r>
      <w:r w:rsidR="00FD6B96" w:rsidRPr="00042234">
        <w:t xml:space="preserve"> (OPRC). </w:t>
      </w:r>
    </w:p>
    <w:p w:rsidR="00FD6B96" w:rsidRPr="00042234" w:rsidRDefault="00FD6B96" w:rsidP="00BF3E72">
      <w:pPr>
        <w:jc w:val="both"/>
      </w:pPr>
      <w:r w:rsidRPr="00042234">
        <w:t>Article 193 of UNCLOS confers on States a general right to develop their natural resources, including petroleum resources. As a specific source of marine pollution, oil spills are not articul</w:t>
      </w:r>
      <w:r w:rsidR="00AA2569" w:rsidRPr="00042234">
        <w:t>ated or regulated under UNCLOS, although</w:t>
      </w:r>
      <w:r w:rsidRPr="00042234">
        <w:t xml:space="preserve"> a number of articles impose obligations in relation to marine pollution. Article 192 imposes a general obligation to protect and preserve the marine environment. Article 194 imposes the obligation on a State to implement measures to prevent, reduce and control marine pollution from </w:t>
      </w:r>
      <w:r w:rsidRPr="00042234">
        <w:rPr>
          <w:i/>
        </w:rPr>
        <w:t>any source</w:t>
      </w:r>
      <w:r w:rsidR="00AA2569" w:rsidRPr="00042234">
        <w:rPr>
          <w:i/>
        </w:rPr>
        <w:t xml:space="preserve">, </w:t>
      </w:r>
      <w:r w:rsidR="00AA2569" w:rsidRPr="00042234">
        <w:t>including the use of best practicable means at their disposal</w:t>
      </w:r>
      <w:r w:rsidR="00E77B64">
        <w:t xml:space="preserve"> to</w:t>
      </w:r>
      <w:r w:rsidR="00AA2569" w:rsidRPr="00042234">
        <w:t>,</w:t>
      </w:r>
      <w:r w:rsidRPr="00042234">
        <w:rPr>
          <w:rStyle w:val="FootnoteReference"/>
        </w:rPr>
        <w:footnoteReference w:id="18"/>
      </w:r>
      <w:r w:rsidRPr="00042234">
        <w:rPr>
          <w:i/>
        </w:rPr>
        <w:t xml:space="preserve"> </w:t>
      </w:r>
      <w:r w:rsidRPr="00042234">
        <w:t>‘ensure that activities under their jurisdiction or control are so conducted as not to cause damage by pollution to other States and their environment, and that pollution arising from incidents or activities under their jurisdiction or control does not spread beyond the areas where they exercise sovereign rights’.</w:t>
      </w:r>
      <w:r w:rsidRPr="00042234">
        <w:rPr>
          <w:rStyle w:val="FootnoteReference"/>
        </w:rPr>
        <w:footnoteReference w:id="19"/>
      </w:r>
    </w:p>
    <w:p w:rsidR="00FD6B96" w:rsidRPr="00042234" w:rsidRDefault="00FD6B96" w:rsidP="00EF0810">
      <w:pPr>
        <w:jc w:val="both"/>
      </w:pPr>
      <w:r w:rsidRPr="00042234">
        <w:t xml:space="preserve">The </w:t>
      </w:r>
      <w:r w:rsidR="00E7399F" w:rsidRPr="00042234">
        <w:t>OPRC</w:t>
      </w:r>
      <w:r w:rsidRPr="00042234">
        <w:t xml:space="preserve"> was motivated by</w:t>
      </w:r>
      <w:r w:rsidR="00222803" w:rsidRPr="00042234">
        <w:t xml:space="preserve"> the Torrey Canyon </w:t>
      </w:r>
      <w:r w:rsidR="00E77B64">
        <w:t>oil spill off the West Coast of the UK</w:t>
      </w:r>
      <w:r w:rsidRPr="00042234">
        <w:t>, and provides an international law regime underpinning for the ob</w:t>
      </w:r>
      <w:r w:rsidR="00222803" w:rsidRPr="00042234">
        <w:t>ligations articulated in UNCLOS</w:t>
      </w:r>
      <w:r w:rsidRPr="00042234">
        <w:t>. The OPRC provides an international framework to prepare for and respond to major oil pollution incidents,</w:t>
      </w:r>
      <w:r w:rsidRPr="00042234">
        <w:rPr>
          <w:rStyle w:val="FootnoteReference"/>
        </w:rPr>
        <w:footnoteReference w:id="20"/>
      </w:r>
      <w:r w:rsidRPr="00042234">
        <w:t xml:space="preserve"> and to facilitate international co-operation and mutual assistance. It applies to any vessels of any type operating in the marine environment as well as any fixed or floating offshore installation or structure engaged in oil and gas activities.</w:t>
      </w:r>
      <w:r w:rsidRPr="00042234">
        <w:rPr>
          <w:rStyle w:val="FootnoteReference"/>
        </w:rPr>
        <w:footnoteReference w:id="21"/>
      </w:r>
      <w:r w:rsidRPr="00042234">
        <w:t xml:space="preserve"> The additional </w:t>
      </w:r>
      <w:r w:rsidRPr="00042234">
        <w:rPr>
          <w:i/>
        </w:rPr>
        <w:t>Protocol on Preparedness, Response and Co-operation to Pollution Incidents by Hazardous and Noxious Substances, 2000</w:t>
      </w:r>
      <w:r w:rsidRPr="00042234">
        <w:t xml:space="preserve"> (the ‘Protocol’) extends this international legal framework to encompass marine pollution incidents involving hazardous and noxious substances. </w:t>
      </w:r>
    </w:p>
    <w:p w:rsidR="00FD6B96" w:rsidRPr="00042234" w:rsidRDefault="00FD6B96" w:rsidP="00EF0810">
      <w:pPr>
        <w:jc w:val="both"/>
      </w:pPr>
      <w:r w:rsidRPr="00042234">
        <w:t xml:space="preserve">Aside from the hard law instruments outlined above, the Arctic Council, has developed its second binding agreement – the </w:t>
      </w:r>
      <w:r w:rsidRPr="00042234">
        <w:rPr>
          <w:i/>
        </w:rPr>
        <w:t xml:space="preserve">Agreement on Cooperation on Marine Oil Pollution Preparedness and Response in the Arctic 2013 </w:t>
      </w:r>
      <w:r w:rsidRPr="00042234">
        <w:t>(the ‘Agreement’)</w:t>
      </w:r>
      <w:r w:rsidRPr="00042234">
        <w:rPr>
          <w:i/>
        </w:rPr>
        <w:t>,</w:t>
      </w:r>
      <w:r w:rsidRPr="00042234">
        <w:t xml:space="preserve"> which was signed by the eight Arctic ministers in 2013.</w:t>
      </w:r>
      <w:r w:rsidRPr="00042234">
        <w:rPr>
          <w:rStyle w:val="FootnoteReference"/>
        </w:rPr>
        <w:footnoteReference w:id="22"/>
      </w:r>
      <w:r w:rsidRPr="00042234">
        <w:rPr>
          <w:i/>
        </w:rPr>
        <w:t xml:space="preserve"> </w:t>
      </w:r>
      <w:r w:rsidRPr="00042234">
        <w:t>Although normally a soft law body (where Agreements between member parties are not binding), the Arctic Council has made an exception by entering into a biding agreement for marine oil pollution.</w:t>
      </w:r>
    </w:p>
    <w:p w:rsidR="00222803" w:rsidRPr="00042234" w:rsidRDefault="00BD7AB0" w:rsidP="00EF0810">
      <w:pPr>
        <w:jc w:val="both"/>
      </w:pPr>
      <w:r w:rsidRPr="00042234">
        <w:t xml:space="preserve">A unifying feature </w:t>
      </w:r>
      <w:r w:rsidR="00E7399F" w:rsidRPr="00042234">
        <w:t>of</w:t>
      </w:r>
      <w:r w:rsidRPr="00042234">
        <w:t xml:space="preserve"> these international instruments is the reliance </w:t>
      </w:r>
      <w:r w:rsidR="00E77B64">
        <w:t>states enacting</w:t>
      </w:r>
      <w:r w:rsidRPr="00042234">
        <w:t xml:space="preserve"> national</w:t>
      </w:r>
      <w:r w:rsidR="00E77B64">
        <w:t xml:space="preserve"> domestic</w:t>
      </w:r>
      <w:r w:rsidRPr="00042234">
        <w:t xml:space="preserve"> legislation to implement the requirements for OSPPR</w:t>
      </w:r>
      <w:r w:rsidR="00E77B64">
        <w:t>.</w:t>
      </w:r>
      <w:r w:rsidR="00E7399F" w:rsidRPr="00042234">
        <w:t xml:space="preserve"> </w:t>
      </w:r>
      <w:r w:rsidR="00E77B64">
        <w:t>T</w:t>
      </w:r>
      <w:r w:rsidR="00E7399F" w:rsidRPr="00042234">
        <w:t>herefore</w:t>
      </w:r>
      <w:r w:rsidR="00E77B64">
        <w:t>,</w:t>
      </w:r>
      <w:r w:rsidR="00E7399F" w:rsidRPr="00042234">
        <w:t xml:space="preserve"> the main instrument implementing OSPPR is </w:t>
      </w:r>
      <w:r w:rsidR="00E77B64">
        <w:t xml:space="preserve">found within </w:t>
      </w:r>
      <w:r w:rsidR="00E7399F" w:rsidRPr="00042234">
        <w:t xml:space="preserve">each Arctic state’s national </w:t>
      </w:r>
      <w:r w:rsidR="00DD2060" w:rsidRPr="00042234">
        <w:t xml:space="preserve">petroleum regulation framework. </w:t>
      </w:r>
      <w:r w:rsidR="00222803" w:rsidRPr="00042234">
        <w:t xml:space="preserve">Considerations for the national legal framework include the following: </w:t>
      </w:r>
    </w:p>
    <w:p w:rsidR="00CA64CF" w:rsidRPr="00042234" w:rsidRDefault="00222803" w:rsidP="00222803">
      <w:pPr>
        <w:pStyle w:val="ListParagraph"/>
        <w:numPr>
          <w:ilvl w:val="0"/>
          <w:numId w:val="2"/>
        </w:numPr>
        <w:jc w:val="both"/>
      </w:pPr>
      <w:r w:rsidRPr="00042234">
        <w:rPr>
          <w:lang w:val="en-US"/>
        </w:rPr>
        <w:t>Is the legal framework p</w:t>
      </w:r>
      <w:r w:rsidR="00DE35F2" w:rsidRPr="00042234">
        <w:rPr>
          <w:lang w:val="en-US"/>
        </w:rPr>
        <w:t xml:space="preserve">rescriptive </w:t>
      </w:r>
      <w:r w:rsidR="00E7576B" w:rsidRPr="00042234">
        <w:rPr>
          <w:lang w:val="en-US"/>
        </w:rPr>
        <w:t>or</w:t>
      </w:r>
      <w:r w:rsidR="00DE35F2" w:rsidRPr="00042234">
        <w:rPr>
          <w:lang w:val="en-US"/>
        </w:rPr>
        <w:t xml:space="preserve"> rule based? </w:t>
      </w:r>
      <w:r w:rsidR="00BA2C1D" w:rsidRPr="00042234">
        <w:rPr>
          <w:lang w:val="en-US"/>
        </w:rPr>
        <w:t>Does it have Arctic</w:t>
      </w:r>
      <w:r w:rsidR="00902A3D" w:rsidRPr="00042234">
        <w:rPr>
          <w:lang w:val="en-US"/>
        </w:rPr>
        <w:t>-specific r</w:t>
      </w:r>
      <w:r w:rsidR="00BA2C1D" w:rsidRPr="00042234">
        <w:rPr>
          <w:lang w:val="en-US"/>
        </w:rPr>
        <w:t>ules?</w:t>
      </w:r>
    </w:p>
    <w:p w:rsidR="00CA64CF" w:rsidRPr="00042234" w:rsidRDefault="00222803" w:rsidP="00222803">
      <w:pPr>
        <w:pStyle w:val="ListParagraph"/>
        <w:numPr>
          <w:ilvl w:val="0"/>
          <w:numId w:val="2"/>
        </w:numPr>
        <w:jc w:val="both"/>
      </w:pPr>
      <w:r w:rsidRPr="00042234">
        <w:rPr>
          <w:lang w:val="en-US"/>
        </w:rPr>
        <w:t>Does the framework utilise r</w:t>
      </w:r>
      <w:r w:rsidR="00DE35F2" w:rsidRPr="00042234">
        <w:rPr>
          <w:lang w:val="en-US"/>
        </w:rPr>
        <w:t xml:space="preserve">isk assessment </w:t>
      </w:r>
      <w:r w:rsidRPr="00042234">
        <w:rPr>
          <w:lang w:val="en-US"/>
        </w:rPr>
        <w:t xml:space="preserve">or prescribe </w:t>
      </w:r>
      <w:r w:rsidR="00DE35F2" w:rsidRPr="00042234">
        <w:rPr>
          <w:lang w:val="en-US"/>
        </w:rPr>
        <w:t>set requirements</w:t>
      </w:r>
      <w:r w:rsidRPr="00042234">
        <w:rPr>
          <w:lang w:val="en-US"/>
        </w:rPr>
        <w:t xml:space="preserve"> for </w:t>
      </w:r>
      <w:r w:rsidR="00E7576B" w:rsidRPr="00042234">
        <w:rPr>
          <w:lang w:val="en-US"/>
        </w:rPr>
        <w:t>HSE?</w:t>
      </w:r>
    </w:p>
    <w:p w:rsidR="00CA64CF" w:rsidRPr="00042234" w:rsidRDefault="00DE35F2" w:rsidP="00222803">
      <w:pPr>
        <w:pStyle w:val="ListParagraph"/>
        <w:numPr>
          <w:ilvl w:val="0"/>
          <w:numId w:val="2"/>
        </w:numPr>
        <w:jc w:val="both"/>
      </w:pPr>
      <w:r w:rsidRPr="00042234">
        <w:rPr>
          <w:lang w:val="en-US"/>
        </w:rPr>
        <w:t xml:space="preserve">Does the law underpin, or is it the umbrella? </w:t>
      </w:r>
    </w:p>
    <w:p w:rsidR="00BA0A7C" w:rsidRPr="00042234" w:rsidRDefault="00BF3E72" w:rsidP="00BA0A7C">
      <w:pPr>
        <w:pStyle w:val="Heading1"/>
        <w:jc w:val="both"/>
        <w:rPr>
          <w:rFonts w:ascii="Times New Roman" w:hAnsi="Times New Roman" w:cs="Times New Roman"/>
        </w:rPr>
      </w:pPr>
      <w:r w:rsidRPr="00042234">
        <w:rPr>
          <w:rFonts w:ascii="Times New Roman" w:hAnsi="Times New Roman" w:cs="Times New Roman"/>
          <w:lang w:val="en-US"/>
        </w:rPr>
        <w:t xml:space="preserve">4. The role of science, technology and engineering in preventing </w:t>
      </w:r>
      <w:r w:rsidR="00DE35F2" w:rsidRPr="00042234">
        <w:rPr>
          <w:rFonts w:ascii="Times New Roman" w:hAnsi="Times New Roman" w:cs="Times New Roman"/>
          <w:lang w:val="en-US"/>
        </w:rPr>
        <w:t>oil spills</w:t>
      </w:r>
    </w:p>
    <w:p w:rsidR="00BA0A7C" w:rsidRPr="00042234" w:rsidRDefault="00BA0A7C" w:rsidP="00E7576B">
      <w:pPr>
        <w:jc w:val="both"/>
        <w:rPr>
          <w:i/>
          <w:lang w:val="en-US"/>
        </w:rPr>
      </w:pPr>
      <w:r w:rsidRPr="00042234">
        <w:rPr>
          <w:i/>
          <w:lang w:val="en-US"/>
        </w:rPr>
        <w:t>Engineering</w:t>
      </w:r>
    </w:p>
    <w:p w:rsidR="00E77B64" w:rsidRPr="005915AD" w:rsidRDefault="00E7576B" w:rsidP="00E7576B">
      <w:pPr>
        <w:jc w:val="both"/>
        <w:rPr>
          <w:lang w:val="en-US"/>
        </w:rPr>
      </w:pPr>
      <w:r w:rsidRPr="00042234">
        <w:rPr>
          <w:lang w:val="en-US"/>
        </w:rPr>
        <w:t xml:space="preserve">One of the critical issues relating to the prevention of well blowouts is the engineering </w:t>
      </w:r>
      <w:r w:rsidR="00121507" w:rsidRPr="00042234">
        <w:rPr>
          <w:lang w:val="en-US"/>
        </w:rPr>
        <w:t>standard</w:t>
      </w:r>
      <w:r w:rsidRPr="00042234">
        <w:rPr>
          <w:lang w:val="en-US"/>
        </w:rPr>
        <w:t xml:space="preserve"> associated with the regulation of well integrity - does the legal framework require the use of best practice or mere </w:t>
      </w:r>
      <w:r w:rsidR="00E77B64">
        <w:rPr>
          <w:lang w:val="en-US"/>
        </w:rPr>
        <w:t>‘</w:t>
      </w:r>
      <w:r w:rsidRPr="00042234">
        <w:rPr>
          <w:lang w:val="en-US"/>
        </w:rPr>
        <w:t>good oilfield practice</w:t>
      </w:r>
      <w:r w:rsidR="00E77B64">
        <w:rPr>
          <w:lang w:val="en-US"/>
        </w:rPr>
        <w:t>’</w:t>
      </w:r>
      <w:r w:rsidRPr="00042234">
        <w:rPr>
          <w:lang w:val="en-US"/>
        </w:rPr>
        <w:t xml:space="preserve"> for the integrity of wells? This includes analysis of the type of engineering standards for wells: are they </w:t>
      </w:r>
      <w:r w:rsidR="00BA0A7C" w:rsidRPr="00042234">
        <w:rPr>
          <w:lang w:val="en-US"/>
        </w:rPr>
        <w:t xml:space="preserve">prescriptive </w:t>
      </w:r>
      <w:r w:rsidRPr="00042234">
        <w:rPr>
          <w:lang w:val="en-US"/>
        </w:rPr>
        <w:t>industry standards,</w:t>
      </w:r>
      <w:r w:rsidRPr="00042234">
        <w:rPr>
          <w:rStyle w:val="FootnoteReference"/>
          <w:lang w:val="en-US"/>
        </w:rPr>
        <w:footnoteReference w:id="23"/>
      </w:r>
      <w:r w:rsidR="00BA0A7C" w:rsidRPr="00042234">
        <w:rPr>
          <w:lang w:val="en-US"/>
        </w:rPr>
        <w:t xml:space="preserve"> or more holistic national requirements?</w:t>
      </w:r>
      <w:r w:rsidR="00BA0A7C" w:rsidRPr="00042234">
        <w:rPr>
          <w:rStyle w:val="FootnoteReference"/>
          <w:lang w:val="en-US"/>
        </w:rPr>
        <w:footnoteReference w:id="24"/>
      </w:r>
      <w:r w:rsidR="00BA0A7C" w:rsidRPr="00042234">
        <w:rPr>
          <w:lang w:val="en-US"/>
        </w:rPr>
        <w:t xml:space="preserve"> Furthermore, such eng</w:t>
      </w:r>
      <w:r w:rsidR="00B26277" w:rsidRPr="00042234">
        <w:rPr>
          <w:lang w:val="en-US"/>
        </w:rPr>
        <w:t>ineering requirements are likel</w:t>
      </w:r>
      <w:r w:rsidR="00BA0A7C" w:rsidRPr="00042234">
        <w:rPr>
          <w:lang w:val="en-US"/>
        </w:rPr>
        <w:t xml:space="preserve">y to alter in the Arctic compared to other exploration and </w:t>
      </w:r>
      <w:r w:rsidR="00B26277" w:rsidRPr="00042234">
        <w:rPr>
          <w:lang w:val="en-US"/>
        </w:rPr>
        <w:t>production</w:t>
      </w:r>
      <w:r w:rsidR="00BA0A7C" w:rsidRPr="00042234">
        <w:rPr>
          <w:lang w:val="en-US"/>
        </w:rPr>
        <w:t xml:space="preserve"> areas due to </w:t>
      </w:r>
      <w:r w:rsidR="00B26277" w:rsidRPr="00042234">
        <w:rPr>
          <w:lang w:val="en-US"/>
        </w:rPr>
        <w:t>the impact of temperature and ice on materials</w:t>
      </w:r>
      <w:r w:rsidR="00E77B64">
        <w:rPr>
          <w:lang w:val="en-US"/>
        </w:rPr>
        <w:t>.</w:t>
      </w:r>
    </w:p>
    <w:p w:rsidR="00BA0A7C" w:rsidRPr="00042234" w:rsidRDefault="00DE35F2" w:rsidP="00EF0810">
      <w:pPr>
        <w:jc w:val="both"/>
        <w:rPr>
          <w:i/>
          <w:lang w:val="en-US"/>
        </w:rPr>
      </w:pPr>
      <w:r w:rsidRPr="00042234">
        <w:rPr>
          <w:i/>
          <w:lang w:val="en-US"/>
        </w:rPr>
        <w:t>Geosciences/</w:t>
      </w:r>
      <w:r w:rsidR="00BA0A7C" w:rsidRPr="00042234">
        <w:rPr>
          <w:i/>
          <w:lang w:val="en-US"/>
        </w:rPr>
        <w:t>reservoir engineering</w:t>
      </w:r>
    </w:p>
    <w:p w:rsidR="00CA64CF" w:rsidRPr="00042234" w:rsidRDefault="00BA0A7C" w:rsidP="00EF0810">
      <w:pPr>
        <w:jc w:val="both"/>
      </w:pPr>
      <w:r w:rsidRPr="00042234">
        <w:rPr>
          <w:lang w:val="en-US"/>
        </w:rPr>
        <w:t xml:space="preserve">The importance of </w:t>
      </w:r>
      <w:r w:rsidR="00B26277" w:rsidRPr="00042234">
        <w:rPr>
          <w:lang w:val="en-US"/>
        </w:rPr>
        <w:t>geosciences</w:t>
      </w:r>
      <w:r w:rsidRPr="00042234">
        <w:rPr>
          <w:lang w:val="en-US"/>
        </w:rPr>
        <w:t xml:space="preserve"> and </w:t>
      </w:r>
      <w:r w:rsidR="00DE35F2" w:rsidRPr="00042234">
        <w:rPr>
          <w:lang w:val="en-US"/>
        </w:rPr>
        <w:t>reservoir engineer</w:t>
      </w:r>
      <w:r w:rsidRPr="00042234">
        <w:rPr>
          <w:lang w:val="en-US"/>
        </w:rPr>
        <w:t>ing in exploration cannot be understated</w:t>
      </w:r>
      <w:r w:rsidR="00025E14">
        <w:rPr>
          <w:lang w:val="en-US"/>
        </w:rPr>
        <w:t>.</w:t>
      </w:r>
      <w:r w:rsidRPr="00042234">
        <w:rPr>
          <w:lang w:val="en-US"/>
        </w:rPr>
        <w:t xml:space="preserve"> </w:t>
      </w:r>
      <w:r w:rsidR="00025E14">
        <w:rPr>
          <w:lang w:val="en-US"/>
        </w:rPr>
        <w:t>I</w:t>
      </w:r>
      <w:r w:rsidRPr="00042234">
        <w:rPr>
          <w:lang w:val="en-US"/>
        </w:rPr>
        <w:t xml:space="preserve">t is </w:t>
      </w:r>
      <w:r w:rsidR="00B26277" w:rsidRPr="00042234">
        <w:rPr>
          <w:lang w:val="en-US"/>
        </w:rPr>
        <w:t>critical</w:t>
      </w:r>
      <w:r w:rsidRPr="00042234">
        <w:rPr>
          <w:lang w:val="en-US"/>
        </w:rPr>
        <w:t xml:space="preserve"> that </w:t>
      </w:r>
      <w:r w:rsidR="00B26277" w:rsidRPr="00042234">
        <w:rPr>
          <w:lang w:val="en-US"/>
        </w:rPr>
        <w:t xml:space="preserve">reservoir </w:t>
      </w:r>
      <w:r w:rsidR="00902A3D" w:rsidRPr="00042234">
        <w:rPr>
          <w:lang w:val="en-US"/>
        </w:rPr>
        <w:t>modeling</w:t>
      </w:r>
      <w:r w:rsidR="00B26277" w:rsidRPr="00042234">
        <w:rPr>
          <w:lang w:val="en-US"/>
        </w:rPr>
        <w:t xml:space="preserve"> (including </w:t>
      </w:r>
      <w:r w:rsidR="00DE35F2" w:rsidRPr="00042234">
        <w:rPr>
          <w:lang w:val="en-US"/>
        </w:rPr>
        <w:t xml:space="preserve">stratigraphic sequences, pressure, temperature, well placement, </w:t>
      </w:r>
      <w:r w:rsidR="00B26277" w:rsidRPr="00042234">
        <w:rPr>
          <w:lang w:val="en-US"/>
        </w:rPr>
        <w:t xml:space="preserve">etc) are taken into consideration, particularly in the </w:t>
      </w:r>
      <w:r w:rsidR="00025E14">
        <w:rPr>
          <w:lang w:val="en-US"/>
        </w:rPr>
        <w:t xml:space="preserve">oil </w:t>
      </w:r>
      <w:r w:rsidR="00B26277" w:rsidRPr="00042234">
        <w:rPr>
          <w:lang w:val="en-US"/>
        </w:rPr>
        <w:t>exploration phase</w:t>
      </w:r>
      <w:r w:rsidR="00025E14">
        <w:rPr>
          <w:lang w:val="en-US"/>
        </w:rPr>
        <w:t>,</w:t>
      </w:r>
      <w:r w:rsidR="00B26277" w:rsidRPr="00042234">
        <w:rPr>
          <w:lang w:val="en-US"/>
        </w:rPr>
        <w:t xml:space="preserve"> to ensure that exploration wells are correctly placed and constructed to take into account pressure and temperature of geology.</w:t>
      </w:r>
    </w:p>
    <w:p w:rsidR="00CA64CF" w:rsidRPr="00042234" w:rsidRDefault="00DE35F2" w:rsidP="00EF0810">
      <w:pPr>
        <w:jc w:val="both"/>
        <w:rPr>
          <w:i/>
        </w:rPr>
      </w:pPr>
      <w:r w:rsidRPr="00042234">
        <w:rPr>
          <w:i/>
          <w:lang w:val="en-US"/>
        </w:rPr>
        <w:t>Psychology</w:t>
      </w:r>
    </w:p>
    <w:p w:rsidR="00CA64CF" w:rsidRPr="00042234" w:rsidRDefault="00BA2C1D" w:rsidP="00EF0810">
      <w:pPr>
        <w:jc w:val="both"/>
      </w:pPr>
      <w:r w:rsidRPr="00042234">
        <w:rPr>
          <w:lang w:val="en-US"/>
        </w:rPr>
        <w:t xml:space="preserve">The psychology and </w:t>
      </w:r>
      <w:r w:rsidR="00025E14" w:rsidRPr="00042234">
        <w:rPr>
          <w:lang w:val="en-US"/>
        </w:rPr>
        <w:t>organi</w:t>
      </w:r>
      <w:r w:rsidR="00025E14">
        <w:rPr>
          <w:lang w:val="en-US"/>
        </w:rPr>
        <w:t>s</w:t>
      </w:r>
      <w:r w:rsidR="00025E14" w:rsidRPr="00042234">
        <w:rPr>
          <w:lang w:val="en-US"/>
        </w:rPr>
        <w:t xml:space="preserve">ational </w:t>
      </w:r>
      <w:r w:rsidR="00DE35F2" w:rsidRPr="00042234">
        <w:rPr>
          <w:lang w:val="en-US"/>
        </w:rPr>
        <w:t xml:space="preserve">culture/behaviour </w:t>
      </w:r>
      <w:r w:rsidRPr="00042234">
        <w:rPr>
          <w:lang w:val="en-US"/>
        </w:rPr>
        <w:t>of an organisation</w:t>
      </w:r>
      <w:r w:rsidR="00025E14">
        <w:rPr>
          <w:lang w:val="en-US"/>
        </w:rPr>
        <w:t>,</w:t>
      </w:r>
      <w:r w:rsidRPr="00042234">
        <w:rPr>
          <w:lang w:val="en-US"/>
        </w:rPr>
        <w:t xml:space="preserve"> particularly in relation to health safety and </w:t>
      </w:r>
      <w:r w:rsidR="00700897" w:rsidRPr="00042234">
        <w:rPr>
          <w:lang w:val="en-US"/>
        </w:rPr>
        <w:t>environment</w:t>
      </w:r>
      <w:r w:rsidR="00025E14">
        <w:rPr>
          <w:lang w:val="en-US"/>
        </w:rPr>
        <w:t>,</w:t>
      </w:r>
      <w:r w:rsidRPr="00042234">
        <w:rPr>
          <w:lang w:val="en-US"/>
        </w:rPr>
        <w:t xml:space="preserve"> </w:t>
      </w:r>
      <w:r w:rsidR="00025E14">
        <w:rPr>
          <w:lang w:val="en-US"/>
        </w:rPr>
        <w:t>is</w:t>
      </w:r>
      <w:r w:rsidRPr="00042234">
        <w:rPr>
          <w:lang w:val="en-US"/>
        </w:rPr>
        <w:t xml:space="preserve"> critical in oil spil</w:t>
      </w:r>
      <w:r w:rsidR="00700897" w:rsidRPr="00042234">
        <w:rPr>
          <w:lang w:val="en-US"/>
        </w:rPr>
        <w:t xml:space="preserve">l prevention and response. Investigation into the conduct of </w:t>
      </w:r>
      <w:r w:rsidR="00902A3D" w:rsidRPr="00042234">
        <w:rPr>
          <w:lang w:val="en-US"/>
        </w:rPr>
        <w:t xml:space="preserve">BP in the aftermath of </w:t>
      </w:r>
      <w:r w:rsidR="00902A3D" w:rsidRPr="00042234">
        <w:rPr>
          <w:i/>
          <w:lang w:val="en-US"/>
        </w:rPr>
        <w:t xml:space="preserve">Deepwater Horizon </w:t>
      </w:r>
      <w:r w:rsidR="00902A3D" w:rsidRPr="00042234">
        <w:rPr>
          <w:lang w:val="en-US"/>
        </w:rPr>
        <w:t xml:space="preserve">demonstrated failings in the </w:t>
      </w:r>
      <w:r w:rsidR="00025E14" w:rsidRPr="00042234">
        <w:rPr>
          <w:lang w:val="en-US"/>
        </w:rPr>
        <w:t>organi</w:t>
      </w:r>
      <w:r w:rsidR="00025E14">
        <w:rPr>
          <w:lang w:val="en-US"/>
        </w:rPr>
        <w:t>s</w:t>
      </w:r>
      <w:r w:rsidR="00025E14" w:rsidRPr="00042234">
        <w:rPr>
          <w:lang w:val="en-US"/>
        </w:rPr>
        <w:t xml:space="preserve">ational </w:t>
      </w:r>
      <w:r w:rsidR="00902A3D" w:rsidRPr="00042234">
        <w:rPr>
          <w:lang w:val="en-US"/>
        </w:rPr>
        <w:t>culture and attitude towards safety.</w:t>
      </w:r>
      <w:r w:rsidR="00902A3D" w:rsidRPr="00042234">
        <w:rPr>
          <w:rStyle w:val="FootnoteReference"/>
          <w:lang w:val="en-US"/>
        </w:rPr>
        <w:footnoteReference w:id="25"/>
      </w:r>
    </w:p>
    <w:p w:rsidR="00CA64CF" w:rsidRPr="00042234" w:rsidRDefault="00BF3E72" w:rsidP="00EF0810">
      <w:pPr>
        <w:pStyle w:val="Heading1"/>
        <w:jc w:val="both"/>
        <w:rPr>
          <w:rFonts w:ascii="Times New Roman" w:hAnsi="Times New Roman" w:cs="Times New Roman"/>
        </w:rPr>
      </w:pPr>
      <w:r w:rsidRPr="00042234">
        <w:rPr>
          <w:rFonts w:ascii="Times New Roman" w:hAnsi="Times New Roman" w:cs="Times New Roman"/>
          <w:lang w:val="en-US"/>
        </w:rPr>
        <w:t xml:space="preserve">5. The role of science, technology and engineering in </w:t>
      </w:r>
      <w:r w:rsidR="00A83B7A" w:rsidRPr="00042234">
        <w:rPr>
          <w:rFonts w:ascii="Times New Roman" w:hAnsi="Times New Roman" w:cs="Times New Roman"/>
          <w:lang w:val="en-US"/>
        </w:rPr>
        <w:t>oil spill preparedness and response</w:t>
      </w:r>
    </w:p>
    <w:p w:rsidR="00CA64CF" w:rsidRPr="00042234" w:rsidRDefault="00084458" w:rsidP="00EF0810">
      <w:pPr>
        <w:jc w:val="both"/>
        <w:rPr>
          <w:i/>
        </w:rPr>
      </w:pPr>
      <w:r w:rsidRPr="00042234">
        <w:rPr>
          <w:i/>
          <w:lang w:val="en-US"/>
        </w:rPr>
        <w:t>Logistics and planning</w:t>
      </w:r>
    </w:p>
    <w:p w:rsidR="00084458" w:rsidRPr="00042234" w:rsidRDefault="00084458" w:rsidP="00EF0810">
      <w:pPr>
        <w:jc w:val="both"/>
        <w:rPr>
          <w:lang w:val="en-US"/>
        </w:rPr>
      </w:pPr>
      <w:r w:rsidRPr="00042234">
        <w:rPr>
          <w:lang w:val="en-US"/>
        </w:rPr>
        <w:t xml:space="preserve">The </w:t>
      </w:r>
      <w:r w:rsidR="00E712BE" w:rsidRPr="00042234">
        <w:rPr>
          <w:lang w:val="en-US"/>
        </w:rPr>
        <w:t>remote location of the Arctic and the poor infrastructure of the region means that any coordinated preparation and response to oil spills requires logistics and planning. Considerations include:</w:t>
      </w:r>
    </w:p>
    <w:p w:rsidR="00E712BE" w:rsidRPr="00042234" w:rsidRDefault="00E712BE" w:rsidP="00E712BE">
      <w:pPr>
        <w:pStyle w:val="ListParagraph"/>
        <w:numPr>
          <w:ilvl w:val="0"/>
          <w:numId w:val="4"/>
        </w:numPr>
        <w:jc w:val="both"/>
      </w:pPr>
      <w:r w:rsidRPr="00042234">
        <w:rPr>
          <w:lang w:val="en-US"/>
        </w:rPr>
        <w:t>Where will oil spill response materials be sited?</w:t>
      </w:r>
    </w:p>
    <w:p w:rsidR="00E712BE" w:rsidRPr="00042234" w:rsidRDefault="00E712BE" w:rsidP="00E712BE">
      <w:pPr>
        <w:pStyle w:val="ListParagraph"/>
        <w:numPr>
          <w:ilvl w:val="0"/>
          <w:numId w:val="4"/>
        </w:numPr>
        <w:jc w:val="both"/>
      </w:pPr>
      <w:r w:rsidRPr="00042234">
        <w:rPr>
          <w:lang w:val="en-US"/>
        </w:rPr>
        <w:t xml:space="preserve">What organisation and level will be responsible for coordinating and </w:t>
      </w:r>
      <w:r w:rsidR="005629CC" w:rsidRPr="00042234">
        <w:rPr>
          <w:lang w:val="en-US"/>
        </w:rPr>
        <w:t>leading</w:t>
      </w:r>
      <w:r w:rsidRPr="00042234">
        <w:rPr>
          <w:lang w:val="en-US"/>
        </w:rPr>
        <w:t xml:space="preserve"> response? Will it be national, regional or local? Will it be private</w:t>
      </w:r>
      <w:r w:rsidR="00247F67">
        <w:rPr>
          <w:lang w:val="en-US"/>
        </w:rPr>
        <w:t xml:space="preserve"> companies</w:t>
      </w:r>
      <w:r w:rsidRPr="00042234">
        <w:rPr>
          <w:lang w:val="en-US"/>
        </w:rPr>
        <w:t xml:space="preserve"> or government?</w:t>
      </w:r>
    </w:p>
    <w:p w:rsidR="00CA64CF" w:rsidRPr="00042234" w:rsidRDefault="00E712BE" w:rsidP="00E712BE">
      <w:pPr>
        <w:pStyle w:val="ListParagraph"/>
        <w:numPr>
          <w:ilvl w:val="0"/>
          <w:numId w:val="4"/>
        </w:numPr>
        <w:jc w:val="both"/>
      </w:pPr>
      <w:r w:rsidRPr="00042234">
        <w:rPr>
          <w:lang w:val="en-US"/>
        </w:rPr>
        <w:t xml:space="preserve">What sort of training and preparation will be undertaken for oil spill response? Will it be for small or major incidents? </w:t>
      </w:r>
    </w:p>
    <w:p w:rsidR="00E712BE" w:rsidRPr="00042234" w:rsidRDefault="005629CC" w:rsidP="00E712BE">
      <w:pPr>
        <w:pStyle w:val="ListParagraph"/>
        <w:numPr>
          <w:ilvl w:val="0"/>
          <w:numId w:val="4"/>
        </w:numPr>
        <w:jc w:val="both"/>
      </w:pPr>
      <w:r w:rsidRPr="00042234">
        <w:rPr>
          <w:lang w:val="en-US"/>
        </w:rPr>
        <w:t xml:space="preserve">How will extra/necessary materials be moved to needed site? How will this differ in different seasons? </w:t>
      </w:r>
      <w:r w:rsidR="00121507" w:rsidRPr="00042234">
        <w:rPr>
          <w:lang w:val="en-US"/>
        </w:rPr>
        <w:t xml:space="preserve">For instance, if a capping stack is required to </w:t>
      </w:r>
      <w:proofErr w:type="gramStart"/>
      <w:r w:rsidR="00121507" w:rsidRPr="00042234">
        <w:rPr>
          <w:lang w:val="en-US"/>
        </w:rPr>
        <w:t>effect</w:t>
      </w:r>
      <w:proofErr w:type="gramEnd"/>
      <w:r w:rsidR="00121507" w:rsidRPr="00042234">
        <w:rPr>
          <w:lang w:val="en-US"/>
        </w:rPr>
        <w:t xml:space="preserve"> a well kill, </w:t>
      </w:r>
      <w:r w:rsidR="00121507">
        <w:rPr>
          <w:lang w:val="en-US"/>
        </w:rPr>
        <w:t>which</w:t>
      </w:r>
      <w:r w:rsidR="00121507" w:rsidRPr="00042234">
        <w:rPr>
          <w:lang w:val="en-US"/>
        </w:rPr>
        <w:t xml:space="preserve"> organisation will organize? </w:t>
      </w:r>
      <w:r w:rsidRPr="00042234">
        <w:rPr>
          <w:lang w:val="en-US"/>
        </w:rPr>
        <w:t xml:space="preserve">What </w:t>
      </w:r>
      <w:r w:rsidR="00BD6B1C" w:rsidRPr="00042234">
        <w:rPr>
          <w:lang w:val="en-US"/>
        </w:rPr>
        <w:t>logistics</w:t>
      </w:r>
      <w:r w:rsidRPr="00042234">
        <w:rPr>
          <w:lang w:val="en-US"/>
        </w:rPr>
        <w:t xml:space="preserve"> will be required – how will it be flown in, what airport, and how will it be transported to site? </w:t>
      </w:r>
    </w:p>
    <w:p w:rsidR="00CA64CF" w:rsidRPr="00042234" w:rsidRDefault="00D31F7F" w:rsidP="00EF0810">
      <w:pPr>
        <w:jc w:val="both"/>
        <w:rPr>
          <w:i/>
        </w:rPr>
      </w:pPr>
      <w:r w:rsidRPr="00042234">
        <w:rPr>
          <w:i/>
          <w:lang w:val="en-US"/>
        </w:rPr>
        <w:t>GIS</w:t>
      </w:r>
    </w:p>
    <w:p w:rsidR="00CA64CF" w:rsidRPr="00042234" w:rsidRDefault="005629CC" w:rsidP="00EF0810">
      <w:pPr>
        <w:jc w:val="both"/>
      </w:pPr>
      <w:r w:rsidRPr="00042234">
        <w:rPr>
          <w:lang w:val="en-US"/>
        </w:rPr>
        <w:t xml:space="preserve">The </w:t>
      </w:r>
      <w:r w:rsidR="00121507" w:rsidRPr="00042234">
        <w:rPr>
          <w:lang w:val="en-US"/>
        </w:rPr>
        <w:t>modeling</w:t>
      </w:r>
      <w:r w:rsidR="00DE35F2" w:rsidRPr="00042234">
        <w:rPr>
          <w:lang w:val="en-US"/>
        </w:rPr>
        <w:t xml:space="preserve"> </w:t>
      </w:r>
      <w:r w:rsidR="00BD6B1C" w:rsidRPr="00042234">
        <w:rPr>
          <w:lang w:val="en-US"/>
        </w:rPr>
        <w:t xml:space="preserve">and prediction of the spread of </w:t>
      </w:r>
      <w:r w:rsidRPr="00042234">
        <w:rPr>
          <w:lang w:val="en-US"/>
        </w:rPr>
        <w:t>oil spills is essential in</w:t>
      </w:r>
      <w:r w:rsidR="00FF7987" w:rsidRPr="00042234">
        <w:rPr>
          <w:lang w:val="en-US"/>
        </w:rPr>
        <w:t xml:space="preserve"> order to firstly predict how oil</w:t>
      </w:r>
      <w:r w:rsidRPr="00042234">
        <w:rPr>
          <w:lang w:val="en-US"/>
        </w:rPr>
        <w:t xml:space="preserve"> will </w:t>
      </w:r>
      <w:r w:rsidR="00FF7987" w:rsidRPr="00042234">
        <w:rPr>
          <w:lang w:val="en-US"/>
        </w:rPr>
        <w:t>move</w:t>
      </w:r>
      <w:r w:rsidRPr="00042234">
        <w:rPr>
          <w:lang w:val="en-US"/>
        </w:rPr>
        <w:t xml:space="preserve">, and also to muster and coordinate response. Therefore, it is essential that GIS </w:t>
      </w:r>
      <w:r w:rsidR="00BD6B1C" w:rsidRPr="00042234">
        <w:rPr>
          <w:lang w:val="en-US"/>
        </w:rPr>
        <w:t xml:space="preserve">is available to regulators and </w:t>
      </w:r>
      <w:r w:rsidRPr="00042234">
        <w:rPr>
          <w:lang w:val="en-US"/>
        </w:rPr>
        <w:t xml:space="preserve">coordinators to enable </w:t>
      </w:r>
      <w:r w:rsidR="00DE35F2" w:rsidRPr="00042234">
        <w:rPr>
          <w:lang w:val="en-US"/>
        </w:rPr>
        <w:t>predictions of oil spill scenarios</w:t>
      </w:r>
      <w:r w:rsidR="00BD6B1C" w:rsidRPr="00042234">
        <w:rPr>
          <w:lang w:val="en-US"/>
        </w:rPr>
        <w:t xml:space="preserve"> for planning purposes, and, should there be a spill, available to assist in the mapping and prediction of spill location. </w:t>
      </w:r>
    </w:p>
    <w:p w:rsidR="00CA64CF" w:rsidRPr="00042234" w:rsidRDefault="00BD6B1C" w:rsidP="00EF0810">
      <w:pPr>
        <w:jc w:val="both"/>
        <w:rPr>
          <w:i/>
        </w:rPr>
      </w:pPr>
      <w:r w:rsidRPr="00042234">
        <w:rPr>
          <w:i/>
          <w:lang w:val="en-US"/>
        </w:rPr>
        <w:t xml:space="preserve">Political Science and </w:t>
      </w:r>
      <w:r w:rsidR="00DE35F2" w:rsidRPr="00042234">
        <w:rPr>
          <w:i/>
          <w:lang w:val="en-US"/>
        </w:rPr>
        <w:t>International Relations</w:t>
      </w:r>
    </w:p>
    <w:p w:rsidR="00CA64CF" w:rsidRPr="00042234" w:rsidRDefault="00BD6B1C" w:rsidP="00EF0810">
      <w:pPr>
        <w:jc w:val="both"/>
      </w:pPr>
      <w:r w:rsidRPr="00042234">
        <w:rPr>
          <w:lang w:val="en-US"/>
        </w:rPr>
        <w:t xml:space="preserve">The establishment and continuation of cooperative arrangements between </w:t>
      </w:r>
      <w:r w:rsidR="00D31F7F" w:rsidRPr="00042234">
        <w:rPr>
          <w:lang w:val="en-US"/>
        </w:rPr>
        <w:t>governments</w:t>
      </w:r>
      <w:r w:rsidRPr="00042234">
        <w:rPr>
          <w:lang w:val="en-US"/>
        </w:rPr>
        <w:t xml:space="preserve"> is essential for the management of Arctic </w:t>
      </w:r>
      <w:r w:rsidR="00D31F7F" w:rsidRPr="00042234">
        <w:rPr>
          <w:lang w:val="en-US"/>
        </w:rPr>
        <w:t>petroleum</w:t>
      </w:r>
      <w:r w:rsidRPr="00042234">
        <w:rPr>
          <w:lang w:val="en-US"/>
        </w:rPr>
        <w:t xml:space="preserve"> </w:t>
      </w:r>
      <w:r w:rsidR="00D31F7F" w:rsidRPr="00042234">
        <w:rPr>
          <w:lang w:val="en-US"/>
        </w:rPr>
        <w:t>activities</w:t>
      </w:r>
      <w:r w:rsidRPr="00042234">
        <w:rPr>
          <w:lang w:val="en-US"/>
        </w:rPr>
        <w:t>, especially in the Euro-Barents Region</w:t>
      </w:r>
      <w:r w:rsidR="00D3717B">
        <w:rPr>
          <w:lang w:val="en-US"/>
        </w:rPr>
        <w:t>,</w:t>
      </w:r>
      <w:r w:rsidRPr="00042234">
        <w:rPr>
          <w:lang w:val="en-US"/>
        </w:rPr>
        <w:t xml:space="preserve"> where there is likely to be joint development of petroleum resources between Russia and Norway. Such activities</w:t>
      </w:r>
      <w:r w:rsidR="00D31F7F" w:rsidRPr="00042234">
        <w:rPr>
          <w:lang w:val="en-US"/>
        </w:rPr>
        <w:t xml:space="preserve"> will require delicate negotiation and mutual decision-making, built on trust and knowledge. Furthermore, should an oil spill occur, and with it trans-boundary pollution, international relations and politics will be essential to maintain cordiali</w:t>
      </w:r>
      <w:r w:rsidR="00945D96">
        <w:rPr>
          <w:lang w:val="en-US"/>
        </w:rPr>
        <w:t>ty between the nations affected</w:t>
      </w:r>
      <w:r w:rsidR="00D31F7F" w:rsidRPr="00042234">
        <w:rPr>
          <w:lang w:val="en-US"/>
        </w:rPr>
        <w:t xml:space="preserve"> </w:t>
      </w:r>
      <w:r w:rsidR="00DE35F2" w:rsidRPr="00042234">
        <w:rPr>
          <w:lang w:val="en-US"/>
        </w:rPr>
        <w:t xml:space="preserve">and maintain cooperative arrangements </w:t>
      </w:r>
      <w:r w:rsidR="00DE35F2" w:rsidRPr="00042234">
        <w:rPr>
          <w:cs/>
          <w:lang w:val="mr-IN" w:bidi="mr-IN"/>
        </w:rPr>
        <w:t>–</w:t>
      </w:r>
      <w:r w:rsidR="00DE35F2" w:rsidRPr="00042234">
        <w:rPr>
          <w:lang w:val="en-US"/>
        </w:rPr>
        <w:t xml:space="preserve"> regional agreements for materials?</w:t>
      </w:r>
    </w:p>
    <w:p w:rsidR="00CA64CF" w:rsidRPr="00042234" w:rsidRDefault="00D31F7F" w:rsidP="00EF0810">
      <w:pPr>
        <w:jc w:val="both"/>
        <w:rPr>
          <w:i/>
          <w:lang w:val="en-US"/>
        </w:rPr>
      </w:pPr>
      <w:r w:rsidRPr="00042234">
        <w:rPr>
          <w:i/>
          <w:lang w:val="en-US"/>
        </w:rPr>
        <w:t>Science</w:t>
      </w:r>
    </w:p>
    <w:p w:rsidR="00D31F7F" w:rsidRPr="00042234" w:rsidRDefault="00121507" w:rsidP="00EF0810">
      <w:pPr>
        <w:jc w:val="both"/>
      </w:pPr>
      <w:r w:rsidRPr="00042234">
        <w:t>Responses to an oil spill include</w:t>
      </w:r>
      <w:r w:rsidR="001A7697" w:rsidRPr="00042234">
        <w:t xml:space="preserve"> three main methods:  physical (boom and skim)</w:t>
      </w:r>
      <w:r w:rsidR="00D3717B">
        <w:t>;</w:t>
      </w:r>
      <w:r w:rsidR="001A7697" w:rsidRPr="00042234">
        <w:t xml:space="preserve"> chemical (the use of dispersants)</w:t>
      </w:r>
      <w:proofErr w:type="gramStart"/>
      <w:r w:rsidR="00D3717B">
        <w:t>;</w:t>
      </w:r>
      <w:proofErr w:type="gramEnd"/>
      <w:r w:rsidR="001A7697" w:rsidRPr="00042234">
        <w:t xml:space="preserve"> or natural (utilising nature to breakdown the oil). The regulation of the implementation of these responses in the Arctic depends on the </w:t>
      </w:r>
      <w:r w:rsidR="00A52DB0" w:rsidRPr="00042234">
        <w:t xml:space="preserve">physical environment, which </w:t>
      </w:r>
      <w:r w:rsidR="0007603D" w:rsidRPr="00042234">
        <w:t>requires the input of scientific knowledge regarding the physical environment, the action of chemicals in that environ</w:t>
      </w:r>
      <w:r w:rsidR="00D3717B">
        <w:t>ment</w:t>
      </w:r>
      <w:r w:rsidR="0007603D" w:rsidRPr="00042234">
        <w:t xml:space="preserve">, and the behaviour of oil in climatic conditions. Without such </w:t>
      </w:r>
      <w:r w:rsidR="00A52DB0" w:rsidRPr="00042234">
        <w:t>knowledge</w:t>
      </w:r>
      <w:r w:rsidR="0007603D" w:rsidRPr="00042234">
        <w:t xml:space="preserve">, the regulation of oil spill prevention and response will be impossible. </w:t>
      </w:r>
      <w:r w:rsidR="00D3717B">
        <w:t>Therefore, States must take a precautionary and scientifically informed approach to deploying oil spill response regulation and policy.</w:t>
      </w:r>
    </w:p>
    <w:p w:rsidR="00CA64CF" w:rsidRPr="00042234" w:rsidRDefault="00DE35F2" w:rsidP="00EF0810">
      <w:pPr>
        <w:jc w:val="both"/>
        <w:rPr>
          <w:i/>
        </w:rPr>
      </w:pPr>
      <w:r w:rsidRPr="00042234">
        <w:rPr>
          <w:i/>
          <w:lang w:val="en-US"/>
        </w:rPr>
        <w:t>Engineering</w:t>
      </w:r>
    </w:p>
    <w:p w:rsidR="00CA64CF" w:rsidRPr="00042234" w:rsidRDefault="0007603D" w:rsidP="00EF0810">
      <w:pPr>
        <w:jc w:val="both"/>
      </w:pPr>
      <w:r w:rsidRPr="00042234">
        <w:rPr>
          <w:lang w:val="en-US"/>
        </w:rPr>
        <w:t>One of the greatest difficulties with a well blowout is capping a well. This raises many engineering questions: what is the best approach to capping a well? What materials are required</w:t>
      </w:r>
      <w:r w:rsidR="00DE35F2" w:rsidRPr="00042234">
        <w:rPr>
          <w:lang w:val="en-US"/>
        </w:rPr>
        <w:t xml:space="preserve">? </w:t>
      </w:r>
      <w:r w:rsidRPr="00042234">
        <w:rPr>
          <w:lang w:val="en-US"/>
        </w:rPr>
        <w:t>What design is likely to be suited to the cold environ where methane hydrate formation is a problem? Such questions need to be addressed from an engin</w:t>
      </w:r>
      <w:r w:rsidR="00E91FD1" w:rsidRPr="00042234">
        <w:rPr>
          <w:lang w:val="en-US"/>
        </w:rPr>
        <w:t>eering standpoint in order to be</w:t>
      </w:r>
      <w:r w:rsidRPr="00042234">
        <w:rPr>
          <w:lang w:val="en-US"/>
        </w:rPr>
        <w:t xml:space="preserve"> able to </w:t>
      </w:r>
      <w:r w:rsidR="00A52DB0" w:rsidRPr="00042234">
        <w:rPr>
          <w:lang w:val="en-US"/>
        </w:rPr>
        <w:t>formulate oil spill response regulation.</w:t>
      </w:r>
    </w:p>
    <w:p w:rsidR="00CA64CF" w:rsidRPr="00042234" w:rsidRDefault="00A52DB0" w:rsidP="00A52DB0">
      <w:pPr>
        <w:pStyle w:val="Heading1"/>
        <w:rPr>
          <w:rFonts w:ascii="Times New Roman" w:hAnsi="Times New Roman" w:cs="Times New Roman"/>
        </w:rPr>
      </w:pPr>
      <w:r w:rsidRPr="00042234">
        <w:rPr>
          <w:rFonts w:ascii="Times New Roman" w:hAnsi="Times New Roman" w:cs="Times New Roman"/>
          <w:lang w:val="en-US"/>
        </w:rPr>
        <w:t>6. Conclusion</w:t>
      </w:r>
    </w:p>
    <w:p w:rsidR="00CA64CF" w:rsidRPr="00042234" w:rsidRDefault="001C44A0" w:rsidP="00EF0810">
      <w:pPr>
        <w:jc w:val="both"/>
      </w:pPr>
      <w:r w:rsidRPr="00042234">
        <w:rPr>
          <w:lang w:val="en-US"/>
        </w:rPr>
        <w:t>W</w:t>
      </w:r>
      <w:r w:rsidR="00E91FD1" w:rsidRPr="00042234">
        <w:rPr>
          <w:lang w:val="en-US"/>
        </w:rPr>
        <w:t>hen seeking to regulate oil exploitation in the arctic</w:t>
      </w:r>
      <w:r w:rsidRPr="00042234">
        <w:rPr>
          <w:lang w:val="en-US"/>
        </w:rPr>
        <w:t>, it</w:t>
      </w:r>
      <w:r w:rsidR="00E91FD1" w:rsidRPr="00042234">
        <w:rPr>
          <w:lang w:val="en-US"/>
        </w:rPr>
        <w:t xml:space="preserve"> is essential to understand the role that other disciplines play. Even though the law p</w:t>
      </w:r>
      <w:r w:rsidRPr="00042234">
        <w:rPr>
          <w:lang w:val="en-US"/>
        </w:rPr>
        <w:t xml:space="preserve">rovides both </w:t>
      </w:r>
      <w:r w:rsidR="00DE35F2" w:rsidRPr="00042234">
        <w:rPr>
          <w:lang w:val="en-US"/>
        </w:rPr>
        <w:t xml:space="preserve">the </w:t>
      </w:r>
      <w:r w:rsidR="00DE35F2" w:rsidRPr="00042234">
        <w:rPr>
          <w:bCs/>
          <w:lang w:val="en-US"/>
        </w:rPr>
        <w:t>umbrella</w:t>
      </w:r>
      <w:r w:rsidR="00DE35F2" w:rsidRPr="00042234">
        <w:rPr>
          <w:lang w:val="en-US"/>
        </w:rPr>
        <w:t xml:space="preserve"> and the </w:t>
      </w:r>
      <w:r w:rsidR="00DE35F2" w:rsidRPr="00042234">
        <w:rPr>
          <w:bCs/>
          <w:lang w:val="en-US"/>
        </w:rPr>
        <w:t>foundation</w:t>
      </w:r>
      <w:r w:rsidRPr="00042234">
        <w:rPr>
          <w:bCs/>
          <w:lang w:val="en-US"/>
        </w:rPr>
        <w:t xml:space="preserve"> for OSPPR, it cannot possibly effectively</w:t>
      </w:r>
      <w:r w:rsidR="00D3717B">
        <w:rPr>
          <w:bCs/>
          <w:lang w:val="en-US"/>
        </w:rPr>
        <w:t xml:space="preserve"> and comprehensively</w:t>
      </w:r>
      <w:r w:rsidRPr="00042234">
        <w:rPr>
          <w:bCs/>
          <w:lang w:val="en-US"/>
        </w:rPr>
        <w:t xml:space="preserve"> regulate without the input of other disciplines. There is a need for a multi-disciplinary assessment that includes natural sciences, social sciences and engineering to ensure that the Arctic natural environment is protected from the impacts and effects of oil and gas exploration and production.</w:t>
      </w:r>
    </w:p>
    <w:p w:rsidR="004947AE" w:rsidRPr="00042234" w:rsidRDefault="004947AE" w:rsidP="00A52DB0">
      <w:pPr>
        <w:spacing w:before="0" w:after="0"/>
        <w:rPr>
          <w:b/>
          <w:bCs/>
          <w:lang w:val="en-US"/>
        </w:rPr>
      </w:pPr>
    </w:p>
    <w:sectPr w:rsidR="004947AE" w:rsidRPr="00042234" w:rsidSect="005915AD">
      <w:footerReference w:type="even" r:id="rId10"/>
      <w:footerReference w:type="default" r:id="rId11"/>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52A" w:rsidRDefault="00DB552A" w:rsidP="00E406CD">
      <w:r>
        <w:separator/>
      </w:r>
    </w:p>
  </w:endnote>
  <w:endnote w:type="continuationSeparator" w:id="0">
    <w:p w:rsidR="00DB552A" w:rsidRDefault="00DB552A" w:rsidP="00E40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rdia New">
    <w:panose1 w:val="00000000000000000000"/>
    <w:charset w:val="DE"/>
    <w:family w:val="roman"/>
    <w:notTrueType/>
    <w:pitch w:val="variable"/>
    <w:sig w:usb0="01000001" w:usb1="00000000" w:usb2="00000000" w:usb3="00000000" w:csb0="0001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ngsana New">
    <w:panose1 w:val="00000000000000000000"/>
    <w:charset w:val="DE"/>
    <w:family w:val="roman"/>
    <w:notTrueType/>
    <w:pitch w:val="variable"/>
    <w:sig w:usb0="01000001" w:usb1="00000000" w:usb2="00000000" w:usb3="00000000" w:csb0="00010000"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72D" w:rsidRDefault="00A5472D" w:rsidP="00AA25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5472D" w:rsidRDefault="00A5472D" w:rsidP="00AA256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72D" w:rsidRDefault="00A5472D" w:rsidP="00AA25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56E3">
      <w:rPr>
        <w:rStyle w:val="PageNumber"/>
        <w:noProof/>
      </w:rPr>
      <w:t>6</w:t>
    </w:r>
    <w:r>
      <w:rPr>
        <w:rStyle w:val="PageNumber"/>
      </w:rPr>
      <w:fldChar w:fldCharType="end"/>
    </w:r>
  </w:p>
  <w:p w:rsidR="00A5472D" w:rsidRDefault="00A5472D" w:rsidP="00AA256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52A" w:rsidRDefault="00DB552A" w:rsidP="00E406CD">
      <w:r>
        <w:separator/>
      </w:r>
    </w:p>
  </w:footnote>
  <w:footnote w:type="continuationSeparator" w:id="0">
    <w:p w:rsidR="00DB552A" w:rsidRDefault="00DB552A" w:rsidP="00E406CD">
      <w:r>
        <w:continuationSeparator/>
      </w:r>
    </w:p>
  </w:footnote>
  <w:footnote w:id="1">
    <w:p w:rsidR="00A5472D" w:rsidRPr="00EF7A22" w:rsidRDefault="00A5472D" w:rsidP="00042234">
      <w:pPr>
        <w:pStyle w:val="FootnoteText"/>
        <w:spacing w:before="0" w:after="0"/>
        <w:contextualSpacing/>
        <w:rPr>
          <w:sz w:val="16"/>
          <w:szCs w:val="16"/>
          <w:lang w:val="en-US"/>
        </w:rPr>
      </w:pPr>
      <w:r w:rsidRPr="00EF7A22">
        <w:rPr>
          <w:rStyle w:val="FootnoteReference"/>
          <w:sz w:val="16"/>
          <w:szCs w:val="16"/>
        </w:rPr>
        <w:footnoteRef/>
      </w:r>
      <w:r w:rsidRPr="00EF7A22">
        <w:rPr>
          <w:sz w:val="16"/>
          <w:szCs w:val="16"/>
        </w:rPr>
        <w:t xml:space="preserve"> </w:t>
      </w:r>
      <w:proofErr w:type="gramStart"/>
      <w:r w:rsidRPr="00EF7A22">
        <w:rPr>
          <w:sz w:val="16"/>
          <w:szCs w:val="16"/>
          <w:lang w:val="en-US"/>
        </w:rPr>
        <w:t>Professor of Petroleum Law and Director of the Centre for Energy Law, University of Aberdeen.</w:t>
      </w:r>
      <w:proofErr w:type="gramEnd"/>
      <w:r w:rsidRPr="00EF7A22">
        <w:rPr>
          <w:sz w:val="16"/>
          <w:szCs w:val="16"/>
          <w:lang w:val="en-US"/>
        </w:rPr>
        <w:t xml:space="preserve"> Corresponding email: </w:t>
      </w:r>
      <w:hyperlink r:id="rId1" w:history="1">
        <w:r w:rsidRPr="00EF7A22">
          <w:rPr>
            <w:rStyle w:val="Hyperlink"/>
            <w:sz w:val="16"/>
            <w:szCs w:val="16"/>
            <w:lang w:val="en-US"/>
          </w:rPr>
          <w:t>thunter@abdn.ac.uk</w:t>
        </w:r>
      </w:hyperlink>
      <w:r w:rsidRPr="00EF7A22">
        <w:rPr>
          <w:sz w:val="16"/>
          <w:szCs w:val="16"/>
          <w:lang w:val="en-US"/>
        </w:rPr>
        <w:t xml:space="preserve"> </w:t>
      </w:r>
    </w:p>
  </w:footnote>
  <w:footnote w:id="2">
    <w:p w:rsidR="00A5472D" w:rsidRPr="00EF7A22" w:rsidRDefault="00A5472D" w:rsidP="00042234">
      <w:pPr>
        <w:pStyle w:val="FootnoteText"/>
        <w:spacing w:before="0" w:after="0"/>
        <w:contextualSpacing/>
        <w:rPr>
          <w:sz w:val="16"/>
          <w:szCs w:val="16"/>
          <w:lang w:val="en-US"/>
        </w:rPr>
      </w:pPr>
      <w:r w:rsidRPr="00EF7A22">
        <w:rPr>
          <w:rStyle w:val="FootnoteReference"/>
          <w:sz w:val="16"/>
          <w:szCs w:val="16"/>
        </w:rPr>
        <w:footnoteRef/>
      </w:r>
      <w:r w:rsidRPr="00EF7A22">
        <w:rPr>
          <w:sz w:val="16"/>
          <w:szCs w:val="16"/>
        </w:rPr>
        <w:t xml:space="preserve"> Donald </w:t>
      </w:r>
      <w:r w:rsidRPr="00EF7A22">
        <w:rPr>
          <w:sz w:val="16"/>
          <w:szCs w:val="16"/>
          <w:lang w:val="en-US"/>
        </w:rPr>
        <w:t xml:space="preserve">Gautier </w:t>
      </w:r>
      <w:proofErr w:type="gramStart"/>
      <w:r w:rsidRPr="00EF7A22">
        <w:rPr>
          <w:sz w:val="16"/>
          <w:szCs w:val="16"/>
          <w:lang w:val="en-US"/>
        </w:rPr>
        <w:t>et</w:t>
      </w:r>
      <w:proofErr w:type="gramEnd"/>
      <w:r w:rsidRPr="00EF7A22">
        <w:rPr>
          <w:sz w:val="16"/>
          <w:szCs w:val="16"/>
          <w:lang w:val="en-US"/>
        </w:rPr>
        <w:t xml:space="preserve">. </w:t>
      </w:r>
      <w:proofErr w:type="gramStart"/>
      <w:r w:rsidRPr="00EF7A22">
        <w:rPr>
          <w:sz w:val="16"/>
          <w:szCs w:val="16"/>
          <w:lang w:val="en-US"/>
        </w:rPr>
        <w:t>al</w:t>
      </w:r>
      <w:proofErr w:type="gramEnd"/>
      <w:r w:rsidRPr="00EF7A22">
        <w:rPr>
          <w:sz w:val="16"/>
          <w:szCs w:val="16"/>
          <w:lang w:val="en-US"/>
        </w:rPr>
        <w:t xml:space="preserve">., ‘Assessment of Undiscovered Oil and Gas in the Arctic’ (2009) 324 </w:t>
      </w:r>
      <w:r w:rsidRPr="00EF7A22">
        <w:rPr>
          <w:i/>
          <w:sz w:val="16"/>
          <w:szCs w:val="16"/>
          <w:lang w:val="en-US"/>
        </w:rPr>
        <w:t xml:space="preserve">Science </w:t>
      </w:r>
      <w:r w:rsidRPr="00EF7A22">
        <w:rPr>
          <w:sz w:val="16"/>
          <w:szCs w:val="16"/>
          <w:lang w:val="en-US"/>
        </w:rPr>
        <w:t>1175 – 1179, 1175.</w:t>
      </w:r>
    </w:p>
  </w:footnote>
  <w:footnote w:id="3">
    <w:p w:rsidR="00A5472D" w:rsidRPr="00811B27" w:rsidRDefault="00A5472D" w:rsidP="00042234">
      <w:pPr>
        <w:pStyle w:val="FootnoteText"/>
        <w:spacing w:before="0" w:after="0"/>
        <w:contextualSpacing/>
        <w:rPr>
          <w:sz w:val="16"/>
          <w:szCs w:val="16"/>
          <w:lang w:val="en-US"/>
        </w:rPr>
      </w:pPr>
      <w:r w:rsidRPr="00EF7A22">
        <w:rPr>
          <w:rStyle w:val="FootnoteReference"/>
          <w:sz w:val="16"/>
          <w:szCs w:val="16"/>
        </w:rPr>
        <w:footnoteRef/>
      </w:r>
      <w:r w:rsidRPr="00EF7A22">
        <w:rPr>
          <w:sz w:val="16"/>
          <w:szCs w:val="16"/>
        </w:rPr>
        <w:t xml:space="preserve"> </w:t>
      </w:r>
      <w:r w:rsidRPr="00811B27">
        <w:rPr>
          <w:sz w:val="16"/>
          <w:szCs w:val="16"/>
        </w:rPr>
        <w:t>This means that estimates of undiscovered, technically recoverable oil and gas in the Arctic are approximately 90 billion bbl oil, 1670 Tcf gas and 44 bil</w:t>
      </w:r>
      <w:r>
        <w:rPr>
          <w:sz w:val="16"/>
          <w:szCs w:val="16"/>
        </w:rPr>
        <w:t xml:space="preserve">lion bbl of natural gas liquids. See </w:t>
      </w:r>
      <w:proofErr w:type="spellStart"/>
      <w:r w:rsidRPr="00811B27">
        <w:rPr>
          <w:sz w:val="16"/>
          <w:szCs w:val="16"/>
        </w:rPr>
        <w:t>Gaultier</w:t>
      </w:r>
      <w:proofErr w:type="spellEnd"/>
      <w:r w:rsidRPr="00811B27">
        <w:rPr>
          <w:sz w:val="16"/>
          <w:szCs w:val="16"/>
        </w:rPr>
        <w:t>, Ibid.</w:t>
      </w:r>
    </w:p>
  </w:footnote>
  <w:footnote w:id="4">
    <w:p w:rsidR="00A5472D" w:rsidRPr="00EF7A22" w:rsidRDefault="00A5472D" w:rsidP="00042234">
      <w:pPr>
        <w:pStyle w:val="FootnoteText"/>
        <w:spacing w:before="0" w:after="0"/>
        <w:contextualSpacing/>
        <w:rPr>
          <w:sz w:val="16"/>
          <w:szCs w:val="16"/>
          <w:lang w:val="en-US"/>
        </w:rPr>
      </w:pPr>
      <w:r w:rsidRPr="00EF7A22">
        <w:rPr>
          <w:rStyle w:val="FootnoteReference"/>
          <w:sz w:val="16"/>
          <w:szCs w:val="16"/>
        </w:rPr>
        <w:footnoteRef/>
      </w:r>
      <w:r w:rsidRPr="00EF7A22">
        <w:rPr>
          <w:sz w:val="16"/>
          <w:szCs w:val="16"/>
        </w:rPr>
        <w:t xml:space="preserve"> The </w:t>
      </w:r>
      <w:r>
        <w:rPr>
          <w:sz w:val="16"/>
          <w:szCs w:val="16"/>
        </w:rPr>
        <w:t xml:space="preserve">Euro-Barents </w:t>
      </w:r>
      <w:r w:rsidRPr="00EF7A22">
        <w:rPr>
          <w:sz w:val="16"/>
          <w:szCs w:val="16"/>
        </w:rPr>
        <w:t>Arctic is the area of Norway and Russia, and includes the Barents Sea, Kara Sea,</w:t>
      </w:r>
      <w:r>
        <w:rPr>
          <w:sz w:val="16"/>
          <w:szCs w:val="16"/>
        </w:rPr>
        <w:t xml:space="preserve"> and the White Sea.</w:t>
      </w:r>
    </w:p>
  </w:footnote>
  <w:footnote w:id="5">
    <w:p w:rsidR="00A5472D" w:rsidRPr="00EF7A22" w:rsidRDefault="00A5472D" w:rsidP="00042234">
      <w:pPr>
        <w:pStyle w:val="FootnoteText"/>
        <w:spacing w:before="0" w:after="0"/>
        <w:contextualSpacing/>
        <w:rPr>
          <w:sz w:val="16"/>
          <w:szCs w:val="16"/>
        </w:rPr>
      </w:pPr>
      <w:r w:rsidRPr="00EF7A22">
        <w:rPr>
          <w:rStyle w:val="FootnoteReference"/>
          <w:sz w:val="16"/>
          <w:szCs w:val="16"/>
        </w:rPr>
        <w:footnoteRef/>
      </w:r>
      <w:r w:rsidRPr="00EF7A22">
        <w:rPr>
          <w:sz w:val="16"/>
          <w:szCs w:val="16"/>
        </w:rPr>
        <w:t xml:space="preserve"> Petroleum Safety Authority, Norway, </w:t>
      </w:r>
      <w:r w:rsidRPr="00EF7A22">
        <w:rPr>
          <w:i/>
          <w:sz w:val="16"/>
          <w:szCs w:val="16"/>
        </w:rPr>
        <w:t>Safety – Status and Signals, 2012-13:</w:t>
      </w:r>
      <w:r w:rsidRPr="00EF7A22">
        <w:rPr>
          <w:sz w:val="16"/>
          <w:szCs w:val="16"/>
        </w:rPr>
        <w:t xml:space="preserve"> </w:t>
      </w:r>
      <w:r w:rsidRPr="00EF7A22">
        <w:rPr>
          <w:i/>
          <w:sz w:val="16"/>
          <w:szCs w:val="16"/>
        </w:rPr>
        <w:t xml:space="preserve">Ekofisk Bravo, (1977) </w:t>
      </w:r>
      <w:r w:rsidRPr="00EF7A22">
        <w:rPr>
          <w:sz w:val="16"/>
          <w:szCs w:val="16"/>
        </w:rPr>
        <w:t xml:space="preserve">(2013) </w:t>
      </w:r>
      <w:hyperlink r:id="rId2" w:history="1">
        <w:r w:rsidRPr="00EF7A22">
          <w:rPr>
            <w:rStyle w:val="Hyperlink"/>
            <w:sz w:val="16"/>
            <w:szCs w:val="16"/>
          </w:rPr>
          <w:t>http://www.ptil.no/articles-in-safety-status-and-signals-2012-2013/ekofisk-bravo-1977-article9121-1095.html</w:t>
        </w:r>
      </w:hyperlink>
      <w:r w:rsidRPr="00EF7A22">
        <w:rPr>
          <w:sz w:val="16"/>
          <w:szCs w:val="16"/>
        </w:rPr>
        <w:t xml:space="preserve"> accessed 11 March 2017.</w:t>
      </w:r>
    </w:p>
  </w:footnote>
  <w:footnote w:id="6">
    <w:p w:rsidR="00A5472D" w:rsidRPr="00EF7A22" w:rsidRDefault="00A5472D" w:rsidP="00042234">
      <w:pPr>
        <w:pStyle w:val="FootnoteText"/>
        <w:spacing w:before="0" w:after="0"/>
        <w:contextualSpacing/>
        <w:rPr>
          <w:sz w:val="16"/>
          <w:szCs w:val="16"/>
        </w:rPr>
      </w:pPr>
      <w:r w:rsidRPr="00EF7A22">
        <w:rPr>
          <w:rStyle w:val="FootnoteReference"/>
          <w:sz w:val="16"/>
          <w:szCs w:val="16"/>
        </w:rPr>
        <w:footnoteRef/>
      </w:r>
      <w:r w:rsidRPr="00EF7A22">
        <w:rPr>
          <w:sz w:val="16"/>
          <w:szCs w:val="16"/>
        </w:rPr>
        <w:t xml:space="preserve"> A well kill refers to placing well mud of sufficient density to stop the flow of hydrocarbons from a well. See Schlumberger </w:t>
      </w:r>
      <w:r w:rsidRPr="00EF7A22">
        <w:rPr>
          <w:i/>
          <w:sz w:val="16"/>
          <w:szCs w:val="16"/>
        </w:rPr>
        <w:t xml:space="preserve">Oilfield Glossary </w:t>
      </w:r>
      <w:hyperlink r:id="rId3" w:history="1">
        <w:r w:rsidRPr="00EF7A22">
          <w:rPr>
            <w:rStyle w:val="Hyperlink"/>
            <w:sz w:val="16"/>
            <w:szCs w:val="16"/>
          </w:rPr>
          <w:t>http://www.glossary.oilfield.slb.com/Terms/k/kill.aspx</w:t>
        </w:r>
      </w:hyperlink>
      <w:r w:rsidRPr="00EF7A22">
        <w:rPr>
          <w:i/>
          <w:sz w:val="16"/>
          <w:szCs w:val="16"/>
        </w:rPr>
        <w:t xml:space="preserve"> </w:t>
      </w:r>
      <w:r w:rsidRPr="00EF7A22">
        <w:rPr>
          <w:sz w:val="16"/>
          <w:szCs w:val="16"/>
        </w:rPr>
        <w:t>accessed 25 March 2017.</w:t>
      </w:r>
    </w:p>
  </w:footnote>
  <w:footnote w:id="7">
    <w:p w:rsidR="00A5472D" w:rsidRPr="00EF7A22" w:rsidRDefault="00A5472D" w:rsidP="00042234">
      <w:pPr>
        <w:pStyle w:val="FootnoteText"/>
        <w:spacing w:before="0" w:after="0"/>
        <w:contextualSpacing/>
        <w:rPr>
          <w:sz w:val="16"/>
          <w:szCs w:val="16"/>
        </w:rPr>
      </w:pPr>
      <w:r w:rsidRPr="00EF7A22">
        <w:rPr>
          <w:rStyle w:val="FootnoteReference"/>
          <w:sz w:val="16"/>
          <w:szCs w:val="16"/>
        </w:rPr>
        <w:footnoteRef/>
      </w:r>
      <w:r w:rsidRPr="00EF7A22">
        <w:rPr>
          <w:sz w:val="16"/>
          <w:szCs w:val="16"/>
        </w:rPr>
        <w:t xml:space="preserve"> Bureau of Land Management and ERCO, </w:t>
      </w:r>
      <w:r w:rsidRPr="00EF7A22">
        <w:rPr>
          <w:i/>
          <w:sz w:val="16"/>
          <w:szCs w:val="16"/>
        </w:rPr>
        <w:t xml:space="preserve">Ixtoc oil spill assessment: final report executive summary </w:t>
      </w:r>
      <w:r w:rsidRPr="00EF7A22">
        <w:rPr>
          <w:sz w:val="16"/>
          <w:szCs w:val="16"/>
        </w:rPr>
        <w:t>(1982) http://invertebrates.si.edu/boem/reports/IXTOC_exec.pdf</w:t>
      </w:r>
    </w:p>
  </w:footnote>
  <w:footnote w:id="8">
    <w:p w:rsidR="00A5472D" w:rsidRPr="00EF7A22" w:rsidRDefault="00A5472D" w:rsidP="00042234">
      <w:pPr>
        <w:pStyle w:val="FootnoteText"/>
        <w:spacing w:before="0" w:after="0"/>
        <w:contextualSpacing/>
        <w:rPr>
          <w:sz w:val="16"/>
          <w:szCs w:val="16"/>
        </w:rPr>
      </w:pPr>
      <w:r w:rsidRPr="00EF7A22">
        <w:rPr>
          <w:rStyle w:val="FootnoteReference"/>
          <w:sz w:val="16"/>
          <w:szCs w:val="16"/>
        </w:rPr>
        <w:footnoteRef/>
      </w:r>
      <w:r w:rsidRPr="00EF7A22">
        <w:rPr>
          <w:sz w:val="16"/>
          <w:szCs w:val="16"/>
        </w:rPr>
        <w:t xml:space="preserve"> </w:t>
      </w:r>
      <w:r>
        <w:rPr>
          <w:sz w:val="16"/>
          <w:szCs w:val="16"/>
        </w:rPr>
        <w:t>Ibid</w:t>
      </w:r>
    </w:p>
  </w:footnote>
  <w:footnote w:id="9">
    <w:p w:rsidR="00A5472D" w:rsidRPr="00EF7A22" w:rsidRDefault="00A5472D" w:rsidP="00042234">
      <w:pPr>
        <w:pStyle w:val="FootnoteText"/>
        <w:spacing w:before="0" w:after="0"/>
        <w:contextualSpacing/>
        <w:rPr>
          <w:sz w:val="16"/>
          <w:szCs w:val="16"/>
        </w:rPr>
      </w:pPr>
      <w:r w:rsidRPr="00EF7A22">
        <w:rPr>
          <w:rStyle w:val="FootnoteReference"/>
          <w:sz w:val="16"/>
          <w:szCs w:val="16"/>
        </w:rPr>
        <w:footnoteRef/>
      </w:r>
      <w:r w:rsidRPr="00EF7A22">
        <w:rPr>
          <w:sz w:val="16"/>
          <w:szCs w:val="16"/>
        </w:rPr>
        <w:t xml:space="preserve"> All other major oil spills in Australia have been the result of ship-sourced pollution.   For details of all major oil spills in Australia’s waters in the last thirty years, refer to Australian Maritime Safety Authority, </w:t>
      </w:r>
      <w:r w:rsidRPr="00EF7A22">
        <w:rPr>
          <w:i/>
          <w:sz w:val="16"/>
          <w:szCs w:val="16"/>
        </w:rPr>
        <w:t xml:space="preserve">Major Oil Spills in Australia </w:t>
      </w:r>
      <w:r w:rsidRPr="00EF7A22">
        <w:rPr>
          <w:sz w:val="16"/>
          <w:szCs w:val="16"/>
        </w:rPr>
        <w:t>(2009) &lt;</w:t>
      </w:r>
      <w:hyperlink r:id="rId4" w:history="1">
        <w:r w:rsidRPr="00EF7A22">
          <w:rPr>
            <w:rStyle w:val="Hyperlink"/>
            <w:sz w:val="16"/>
            <w:szCs w:val="16"/>
          </w:rPr>
          <w:t>http://www.amsa.gov.au/Marine_Environment_Protection/Major_Oil_Spills_in_Australia/</w:t>
        </w:r>
      </w:hyperlink>
      <w:r w:rsidRPr="00EF7A22">
        <w:rPr>
          <w:sz w:val="16"/>
          <w:szCs w:val="16"/>
        </w:rPr>
        <w:t>&gt; at 21 April 2010.</w:t>
      </w:r>
    </w:p>
  </w:footnote>
  <w:footnote w:id="10">
    <w:p w:rsidR="00A5472D" w:rsidRPr="00EF7A22" w:rsidRDefault="00A5472D" w:rsidP="00042234">
      <w:pPr>
        <w:pStyle w:val="FootnoteText"/>
        <w:spacing w:before="0" w:after="0"/>
        <w:contextualSpacing/>
        <w:rPr>
          <w:sz w:val="16"/>
          <w:szCs w:val="16"/>
        </w:rPr>
      </w:pPr>
      <w:r w:rsidRPr="00EF7A22">
        <w:rPr>
          <w:rStyle w:val="FootnoteReference"/>
          <w:sz w:val="16"/>
          <w:szCs w:val="16"/>
        </w:rPr>
        <w:footnoteRef/>
      </w:r>
      <w:r w:rsidRPr="00EF7A22">
        <w:rPr>
          <w:sz w:val="16"/>
          <w:szCs w:val="16"/>
        </w:rPr>
        <w:t xml:space="preserve">Australian Maritime Safety Authority, </w:t>
      </w:r>
      <w:r w:rsidRPr="00EF7A22">
        <w:rPr>
          <w:i/>
          <w:sz w:val="16"/>
          <w:szCs w:val="16"/>
        </w:rPr>
        <w:t xml:space="preserve">Major Oil Spill: Montara Well Head Platform </w:t>
      </w:r>
      <w:r w:rsidRPr="00EF7A22">
        <w:rPr>
          <w:sz w:val="16"/>
          <w:szCs w:val="16"/>
        </w:rPr>
        <w:t xml:space="preserve">(2009) Australian Maritime Safety Authority, </w:t>
      </w:r>
      <w:r w:rsidRPr="00EF7A22">
        <w:rPr>
          <w:i/>
          <w:sz w:val="16"/>
          <w:szCs w:val="16"/>
        </w:rPr>
        <w:t xml:space="preserve">Major Oil Spill: Montara Well Head Platform </w:t>
      </w:r>
      <w:r w:rsidRPr="00EF7A22">
        <w:rPr>
          <w:sz w:val="16"/>
          <w:szCs w:val="16"/>
        </w:rPr>
        <w:t xml:space="preserve">(2009) </w:t>
      </w:r>
      <w:hyperlink r:id="rId5" w:history="1">
        <w:r w:rsidRPr="00EF7A22">
          <w:rPr>
            <w:rStyle w:val="Hyperlink"/>
            <w:sz w:val="16"/>
            <w:szCs w:val="16"/>
          </w:rPr>
          <w:t>http://www.amsa.gov.au/Marine_Environment_Protection/Major_Oil_Spills_in_Australia/Montara_Wellhead/index.asp</w:t>
        </w:r>
      </w:hyperlink>
      <w:r w:rsidRPr="00EF7A22">
        <w:rPr>
          <w:sz w:val="16"/>
          <w:szCs w:val="16"/>
        </w:rPr>
        <w:t xml:space="preserve">&gt; at 14 April 2017. </w:t>
      </w:r>
    </w:p>
  </w:footnote>
  <w:footnote w:id="11">
    <w:p w:rsidR="00A5472D" w:rsidRPr="00EF7A22" w:rsidRDefault="00A5472D" w:rsidP="00042234">
      <w:pPr>
        <w:pStyle w:val="FootnoteText"/>
        <w:spacing w:before="0" w:after="0"/>
        <w:contextualSpacing/>
        <w:rPr>
          <w:sz w:val="16"/>
          <w:szCs w:val="16"/>
        </w:rPr>
      </w:pPr>
      <w:r w:rsidRPr="00EF7A22">
        <w:rPr>
          <w:rStyle w:val="FootnoteReference"/>
          <w:sz w:val="16"/>
          <w:szCs w:val="16"/>
        </w:rPr>
        <w:footnoteRef/>
      </w:r>
      <w:r w:rsidRPr="00EF7A22">
        <w:rPr>
          <w:sz w:val="16"/>
          <w:szCs w:val="16"/>
        </w:rPr>
        <w:t xml:space="preserve"> The spill did not reach the Australian coastline due to its distance from the Australian coast, nor were there any discernable impacts on wildlife. However, there have been numerous allegations from West Timor fisherman of impact on fisheries and sea weed farming, leading to a class action brought by West Timorese fishermen. See Gabrielle </w:t>
      </w:r>
      <w:proofErr w:type="spellStart"/>
      <w:r w:rsidRPr="00EF7A22">
        <w:rPr>
          <w:sz w:val="16"/>
          <w:szCs w:val="16"/>
        </w:rPr>
        <w:t>Dunlevy</w:t>
      </w:r>
      <w:proofErr w:type="spellEnd"/>
      <w:r w:rsidRPr="00EF7A22">
        <w:rPr>
          <w:sz w:val="16"/>
          <w:szCs w:val="16"/>
        </w:rPr>
        <w:t>, ‘Indonesian seaweed farmers to file $200m class action over Timor Sea oil spill</w:t>
      </w:r>
      <w:r w:rsidRPr="00EF7A22">
        <w:rPr>
          <w:i/>
          <w:sz w:val="16"/>
          <w:szCs w:val="16"/>
        </w:rPr>
        <w:t xml:space="preserve">’ </w:t>
      </w:r>
      <w:r w:rsidRPr="00EF7A22">
        <w:rPr>
          <w:sz w:val="16"/>
          <w:szCs w:val="16"/>
        </w:rPr>
        <w:t xml:space="preserve">(2016) </w:t>
      </w:r>
      <w:r w:rsidRPr="00EF7A22">
        <w:rPr>
          <w:i/>
          <w:sz w:val="16"/>
          <w:szCs w:val="16"/>
        </w:rPr>
        <w:t>The Guardian</w:t>
      </w:r>
      <w:r w:rsidRPr="00EF7A22">
        <w:rPr>
          <w:sz w:val="16"/>
          <w:szCs w:val="16"/>
        </w:rPr>
        <w:t xml:space="preserve">, </w:t>
      </w:r>
      <w:hyperlink r:id="rId6" w:history="1">
        <w:r w:rsidRPr="00EF7A22">
          <w:rPr>
            <w:rStyle w:val="Hyperlink"/>
            <w:sz w:val="16"/>
            <w:szCs w:val="16"/>
          </w:rPr>
          <w:t>https://www.theguardian.com/world/2016/aug/02/indonesia-seaweed-farmers-class-action-timor-sea-montara-oil-spill-2009-australia</w:t>
        </w:r>
      </w:hyperlink>
      <w:r w:rsidRPr="00EF7A22">
        <w:rPr>
          <w:sz w:val="16"/>
          <w:szCs w:val="16"/>
        </w:rPr>
        <w:t xml:space="preserve"> at 15 April 2017.</w:t>
      </w:r>
    </w:p>
  </w:footnote>
  <w:footnote w:id="12">
    <w:p w:rsidR="00A5472D" w:rsidRPr="00EF7A22" w:rsidRDefault="00A5472D" w:rsidP="00042234">
      <w:pPr>
        <w:pStyle w:val="FootnoteText"/>
        <w:spacing w:before="0" w:after="0"/>
        <w:contextualSpacing/>
        <w:rPr>
          <w:sz w:val="16"/>
          <w:szCs w:val="16"/>
        </w:rPr>
      </w:pPr>
      <w:r w:rsidRPr="00EF7A22">
        <w:rPr>
          <w:rStyle w:val="FootnoteReference"/>
          <w:sz w:val="16"/>
          <w:szCs w:val="16"/>
        </w:rPr>
        <w:footnoteRef/>
      </w:r>
      <w:r w:rsidRPr="00EF7A22">
        <w:rPr>
          <w:sz w:val="16"/>
          <w:szCs w:val="16"/>
        </w:rPr>
        <w:t xml:space="preserve"> An estimation of the amount of oil released varies. For this chapter the estimation from the </w:t>
      </w:r>
      <w:r w:rsidRPr="00EF7A22">
        <w:rPr>
          <w:i/>
          <w:sz w:val="16"/>
          <w:szCs w:val="16"/>
        </w:rPr>
        <w:t xml:space="preserve">Smithsonian National Museum of Natural History Ocean Portal </w:t>
      </w:r>
      <w:r w:rsidRPr="00EF7A22">
        <w:rPr>
          <w:sz w:val="16"/>
          <w:szCs w:val="16"/>
        </w:rPr>
        <w:t xml:space="preserve">has been selected due to independence of source. See </w:t>
      </w:r>
      <w:hyperlink r:id="rId7" w:history="1">
        <w:r w:rsidRPr="00EF7A22">
          <w:rPr>
            <w:rStyle w:val="Hyperlink"/>
            <w:sz w:val="16"/>
            <w:szCs w:val="16"/>
          </w:rPr>
          <w:t>http://ocean.si.edu/gulf-oil-spill</w:t>
        </w:r>
      </w:hyperlink>
      <w:r w:rsidRPr="00EF7A22">
        <w:rPr>
          <w:sz w:val="16"/>
          <w:szCs w:val="16"/>
        </w:rPr>
        <w:t xml:space="preserve"> accessed 22 March 2017.</w:t>
      </w:r>
    </w:p>
  </w:footnote>
  <w:footnote w:id="13">
    <w:p w:rsidR="00A5472D" w:rsidRPr="00EF7A22" w:rsidRDefault="00A5472D" w:rsidP="00042234">
      <w:pPr>
        <w:pStyle w:val="FootnoteText"/>
        <w:spacing w:before="0" w:after="0"/>
        <w:contextualSpacing/>
        <w:rPr>
          <w:sz w:val="16"/>
          <w:szCs w:val="16"/>
        </w:rPr>
      </w:pPr>
      <w:r w:rsidRPr="00EF7A22">
        <w:rPr>
          <w:rStyle w:val="FootnoteReference"/>
          <w:sz w:val="16"/>
          <w:szCs w:val="16"/>
        </w:rPr>
        <w:footnoteRef/>
      </w:r>
      <w:r w:rsidRPr="00EF7A22">
        <w:rPr>
          <w:sz w:val="16"/>
          <w:szCs w:val="16"/>
        </w:rPr>
        <w:t xml:space="preserve"> Lord Cullen, </w:t>
      </w:r>
      <w:r w:rsidRPr="00EF7A22">
        <w:rPr>
          <w:i/>
          <w:sz w:val="16"/>
          <w:szCs w:val="16"/>
        </w:rPr>
        <w:t>The Public Inquiry into the Piper Alpha Disaster, Vols. 1and 2</w:t>
      </w:r>
      <w:r w:rsidRPr="00EF7A22">
        <w:rPr>
          <w:sz w:val="16"/>
          <w:szCs w:val="16"/>
        </w:rPr>
        <w:t xml:space="preserve"> (Report to Parliament by the Secretary of State for Energy by Command of Her Majesty, November 1990).</w:t>
      </w:r>
    </w:p>
  </w:footnote>
  <w:footnote w:id="14">
    <w:p w:rsidR="00A5472D" w:rsidRPr="00EF7A22" w:rsidRDefault="00A5472D" w:rsidP="00042234">
      <w:pPr>
        <w:pStyle w:val="FootnoteText"/>
        <w:spacing w:before="0" w:after="0"/>
        <w:contextualSpacing/>
        <w:rPr>
          <w:sz w:val="16"/>
          <w:szCs w:val="16"/>
        </w:rPr>
      </w:pPr>
      <w:r w:rsidRPr="00EF7A22">
        <w:rPr>
          <w:rStyle w:val="FootnoteReference"/>
          <w:sz w:val="16"/>
          <w:szCs w:val="16"/>
        </w:rPr>
        <w:footnoteRef/>
      </w:r>
      <w:r w:rsidRPr="00EF7A22">
        <w:rPr>
          <w:sz w:val="16"/>
          <w:szCs w:val="16"/>
        </w:rPr>
        <w:t xml:space="preserve"> M Elisabeth </w:t>
      </w:r>
      <w:proofErr w:type="spellStart"/>
      <w:r w:rsidRPr="00EF7A22">
        <w:rPr>
          <w:sz w:val="16"/>
          <w:szCs w:val="16"/>
        </w:rPr>
        <w:t>Paté</w:t>
      </w:r>
      <w:proofErr w:type="spellEnd"/>
      <w:r w:rsidRPr="00EF7A22">
        <w:rPr>
          <w:sz w:val="16"/>
          <w:szCs w:val="16"/>
        </w:rPr>
        <w:t xml:space="preserve">-Cornell, ‘Learning from the Piper Alpha accident: a </w:t>
      </w:r>
      <w:proofErr w:type="spellStart"/>
      <w:r w:rsidRPr="00EF7A22">
        <w:rPr>
          <w:sz w:val="16"/>
          <w:szCs w:val="16"/>
        </w:rPr>
        <w:t>postmortem</w:t>
      </w:r>
      <w:proofErr w:type="spellEnd"/>
      <w:r w:rsidRPr="00EF7A22">
        <w:rPr>
          <w:sz w:val="16"/>
          <w:szCs w:val="16"/>
        </w:rPr>
        <w:t xml:space="preserve"> analysis of technical and organi</w:t>
      </w:r>
      <w:r>
        <w:rPr>
          <w:sz w:val="16"/>
          <w:szCs w:val="16"/>
        </w:rPr>
        <w:t>s</w:t>
      </w:r>
      <w:r w:rsidRPr="00EF7A22">
        <w:rPr>
          <w:sz w:val="16"/>
          <w:szCs w:val="16"/>
        </w:rPr>
        <w:t xml:space="preserve">ational factors’ (1993) 13 (2) </w:t>
      </w:r>
      <w:r w:rsidRPr="00EF7A22">
        <w:rPr>
          <w:i/>
          <w:sz w:val="16"/>
          <w:szCs w:val="16"/>
        </w:rPr>
        <w:t>Risk Analysis</w:t>
      </w:r>
      <w:r w:rsidRPr="00EF7A22">
        <w:rPr>
          <w:sz w:val="16"/>
          <w:szCs w:val="16"/>
        </w:rPr>
        <w:t>, 215-232.</w:t>
      </w:r>
    </w:p>
  </w:footnote>
  <w:footnote w:id="15">
    <w:p w:rsidR="00A5472D" w:rsidRPr="00EF7A22" w:rsidRDefault="00A5472D" w:rsidP="00042234">
      <w:pPr>
        <w:pStyle w:val="FootnoteText"/>
        <w:spacing w:before="0" w:after="0"/>
        <w:contextualSpacing/>
        <w:rPr>
          <w:sz w:val="16"/>
          <w:szCs w:val="16"/>
        </w:rPr>
      </w:pPr>
      <w:r w:rsidRPr="00EF7A22">
        <w:rPr>
          <w:rStyle w:val="FootnoteReference"/>
          <w:sz w:val="16"/>
          <w:szCs w:val="16"/>
        </w:rPr>
        <w:footnoteRef/>
      </w:r>
      <w:r w:rsidRPr="00EF7A22">
        <w:rPr>
          <w:sz w:val="16"/>
          <w:szCs w:val="16"/>
        </w:rPr>
        <w:t xml:space="preserve"> Bob Skelton, </w:t>
      </w:r>
      <w:r w:rsidRPr="00EF7A22">
        <w:rPr>
          <w:i/>
          <w:sz w:val="16"/>
          <w:szCs w:val="16"/>
        </w:rPr>
        <w:t>Process Safety Analysis: an Introduction</w:t>
      </w:r>
      <w:r w:rsidRPr="00EF7A22">
        <w:rPr>
          <w:sz w:val="16"/>
          <w:szCs w:val="16"/>
        </w:rPr>
        <w:t xml:space="preserve"> (1997) Institute</w:t>
      </w:r>
      <w:r>
        <w:rPr>
          <w:sz w:val="16"/>
          <w:szCs w:val="16"/>
        </w:rPr>
        <w:t xml:space="preserve"> of Chemical E</w:t>
      </w:r>
      <w:r w:rsidRPr="00EF7A22">
        <w:rPr>
          <w:sz w:val="16"/>
          <w:szCs w:val="16"/>
        </w:rPr>
        <w:t xml:space="preserve">ngineers. </w:t>
      </w:r>
    </w:p>
  </w:footnote>
  <w:footnote w:id="16">
    <w:p w:rsidR="00A5472D" w:rsidRPr="00EF7A22" w:rsidRDefault="00A5472D" w:rsidP="00042234">
      <w:pPr>
        <w:pStyle w:val="FootnoteText"/>
        <w:spacing w:before="0" w:after="0"/>
        <w:contextualSpacing/>
        <w:rPr>
          <w:sz w:val="16"/>
          <w:szCs w:val="16"/>
        </w:rPr>
      </w:pPr>
      <w:r w:rsidRPr="00EF7A22">
        <w:rPr>
          <w:rStyle w:val="FootnoteReference"/>
          <w:sz w:val="16"/>
          <w:szCs w:val="16"/>
        </w:rPr>
        <w:footnoteRef/>
      </w:r>
      <w:r w:rsidRPr="00EF7A22">
        <w:rPr>
          <w:sz w:val="16"/>
          <w:szCs w:val="16"/>
        </w:rPr>
        <w:t xml:space="preserve"> Find ref </w:t>
      </w:r>
    </w:p>
  </w:footnote>
  <w:footnote w:id="17">
    <w:p w:rsidR="00A5472D" w:rsidRPr="00EF7A22" w:rsidRDefault="00A5472D" w:rsidP="00042234">
      <w:pPr>
        <w:pStyle w:val="FootnoteText"/>
        <w:spacing w:before="0" w:after="0"/>
        <w:contextualSpacing/>
        <w:rPr>
          <w:sz w:val="16"/>
          <w:szCs w:val="16"/>
          <w:lang w:val="en-US"/>
        </w:rPr>
      </w:pPr>
      <w:r w:rsidRPr="00EF7A22">
        <w:rPr>
          <w:rStyle w:val="FootnoteReference"/>
          <w:sz w:val="16"/>
          <w:szCs w:val="16"/>
        </w:rPr>
        <w:footnoteRef/>
      </w:r>
      <w:r w:rsidRPr="00EF7A22">
        <w:rPr>
          <w:sz w:val="16"/>
          <w:szCs w:val="16"/>
        </w:rPr>
        <w:t xml:space="preserve"> As demonstrated in section 2.1 above, the </w:t>
      </w:r>
      <w:proofErr w:type="spellStart"/>
      <w:r w:rsidRPr="00EF7A22">
        <w:rPr>
          <w:sz w:val="16"/>
          <w:szCs w:val="16"/>
        </w:rPr>
        <w:t>Ixtos</w:t>
      </w:r>
      <w:proofErr w:type="spellEnd"/>
      <w:r w:rsidRPr="00EF7A22">
        <w:rPr>
          <w:sz w:val="16"/>
          <w:szCs w:val="16"/>
        </w:rPr>
        <w:t xml:space="preserve"> 1 and DWH well blowouts contributed over 130 million gallons of oil, and would have continued to keep leading but for the wellbeing capped. The concern with spills from oil wells is the amount of time it takes to cap a well. Both the Montara and DWH blowouts took over two months to cap, with the </w:t>
      </w:r>
      <w:proofErr w:type="spellStart"/>
      <w:r w:rsidRPr="00EF7A22">
        <w:rPr>
          <w:sz w:val="16"/>
          <w:szCs w:val="16"/>
        </w:rPr>
        <w:t>Ixtos</w:t>
      </w:r>
      <w:proofErr w:type="spellEnd"/>
      <w:r w:rsidRPr="00EF7A22">
        <w:rPr>
          <w:sz w:val="16"/>
          <w:szCs w:val="16"/>
        </w:rPr>
        <w:t xml:space="preserve"> 1 well taking almost ten months to cap. It is this delay in capping a well, and the continuous, infinite source of oil that makes platform spills the gravest source of oil spills</w:t>
      </w:r>
    </w:p>
  </w:footnote>
  <w:footnote w:id="18">
    <w:p w:rsidR="00A5472D" w:rsidRPr="00BA0A7C" w:rsidRDefault="00A5472D" w:rsidP="00042234">
      <w:pPr>
        <w:pStyle w:val="FootnoteText"/>
        <w:spacing w:before="0" w:after="0"/>
        <w:contextualSpacing/>
        <w:rPr>
          <w:sz w:val="16"/>
          <w:szCs w:val="16"/>
        </w:rPr>
      </w:pPr>
      <w:r w:rsidRPr="009A5C26">
        <w:rPr>
          <w:rStyle w:val="FootnoteReference"/>
          <w:sz w:val="16"/>
          <w:szCs w:val="16"/>
        </w:rPr>
        <w:footnoteRef/>
      </w:r>
      <w:r w:rsidRPr="009A5C26">
        <w:rPr>
          <w:sz w:val="16"/>
          <w:szCs w:val="16"/>
        </w:rPr>
        <w:t xml:space="preserve"> </w:t>
      </w:r>
      <w:proofErr w:type="gramStart"/>
      <w:r w:rsidRPr="00BA0A7C">
        <w:rPr>
          <w:sz w:val="16"/>
          <w:szCs w:val="16"/>
        </w:rPr>
        <w:t>Article 194 (1) of UNCLOS.</w:t>
      </w:r>
      <w:proofErr w:type="gramEnd"/>
      <w:r w:rsidRPr="00BA0A7C">
        <w:rPr>
          <w:sz w:val="16"/>
          <w:szCs w:val="16"/>
        </w:rPr>
        <w:t xml:space="preserve"> Italics added by author. </w:t>
      </w:r>
    </w:p>
  </w:footnote>
  <w:footnote w:id="19">
    <w:p w:rsidR="00A5472D" w:rsidRPr="00BA0A7C" w:rsidRDefault="00A5472D" w:rsidP="00042234">
      <w:pPr>
        <w:pStyle w:val="FootnoteText"/>
        <w:spacing w:before="0" w:after="0"/>
        <w:contextualSpacing/>
        <w:rPr>
          <w:sz w:val="16"/>
          <w:szCs w:val="16"/>
        </w:rPr>
      </w:pPr>
      <w:r w:rsidRPr="00BA0A7C">
        <w:rPr>
          <w:rStyle w:val="FootnoteReference"/>
          <w:sz w:val="16"/>
          <w:szCs w:val="16"/>
        </w:rPr>
        <w:footnoteRef/>
      </w:r>
      <w:r w:rsidRPr="00BA0A7C">
        <w:rPr>
          <w:sz w:val="16"/>
          <w:szCs w:val="16"/>
        </w:rPr>
        <w:t xml:space="preserve"> UNCLOS, article 194 (2).</w:t>
      </w:r>
    </w:p>
  </w:footnote>
  <w:footnote w:id="20">
    <w:p w:rsidR="00A5472D" w:rsidRPr="00BA0A7C" w:rsidRDefault="00A5472D" w:rsidP="00042234">
      <w:pPr>
        <w:pStyle w:val="FootnoteText"/>
        <w:spacing w:before="0" w:after="0"/>
        <w:contextualSpacing/>
        <w:rPr>
          <w:sz w:val="16"/>
          <w:szCs w:val="16"/>
        </w:rPr>
      </w:pPr>
      <w:r w:rsidRPr="00BA0A7C">
        <w:rPr>
          <w:rStyle w:val="FootnoteReference"/>
          <w:sz w:val="16"/>
          <w:szCs w:val="16"/>
        </w:rPr>
        <w:footnoteRef/>
      </w:r>
      <w:r w:rsidRPr="00BA0A7C">
        <w:rPr>
          <w:sz w:val="16"/>
          <w:szCs w:val="16"/>
        </w:rPr>
        <w:t xml:space="preserve"> OPRC article 1.</w:t>
      </w:r>
    </w:p>
  </w:footnote>
  <w:footnote w:id="21">
    <w:p w:rsidR="00A5472D" w:rsidRPr="00BA0A7C" w:rsidRDefault="00A5472D" w:rsidP="00042234">
      <w:pPr>
        <w:pStyle w:val="FootnoteText"/>
        <w:spacing w:before="0" w:after="0"/>
        <w:contextualSpacing/>
        <w:rPr>
          <w:sz w:val="16"/>
          <w:szCs w:val="16"/>
        </w:rPr>
      </w:pPr>
      <w:r w:rsidRPr="00BA0A7C">
        <w:rPr>
          <w:rStyle w:val="FootnoteReference"/>
          <w:sz w:val="16"/>
          <w:szCs w:val="16"/>
        </w:rPr>
        <w:footnoteRef/>
      </w:r>
      <w:r w:rsidRPr="00BA0A7C">
        <w:rPr>
          <w:sz w:val="16"/>
          <w:szCs w:val="16"/>
        </w:rPr>
        <w:t xml:space="preserve"> OPRC article 2.</w:t>
      </w:r>
    </w:p>
  </w:footnote>
  <w:footnote w:id="22">
    <w:p w:rsidR="00A5472D" w:rsidRPr="00BA0A7C" w:rsidRDefault="00A5472D" w:rsidP="00042234">
      <w:pPr>
        <w:pStyle w:val="FootnoteText"/>
        <w:spacing w:before="0" w:after="0"/>
        <w:contextualSpacing/>
        <w:rPr>
          <w:sz w:val="16"/>
          <w:szCs w:val="16"/>
        </w:rPr>
      </w:pPr>
      <w:r w:rsidRPr="00BA0A7C">
        <w:rPr>
          <w:rStyle w:val="FootnoteReference"/>
          <w:sz w:val="16"/>
          <w:szCs w:val="16"/>
        </w:rPr>
        <w:footnoteRef/>
      </w:r>
      <w:r w:rsidRPr="00BA0A7C">
        <w:rPr>
          <w:sz w:val="16"/>
          <w:szCs w:val="16"/>
        </w:rPr>
        <w:t xml:space="preserve"> The Members of the Arctic Council are Canada, Denmark, </w:t>
      </w:r>
      <w:proofErr w:type="gramStart"/>
      <w:r w:rsidRPr="00BA0A7C">
        <w:rPr>
          <w:sz w:val="16"/>
          <w:szCs w:val="16"/>
        </w:rPr>
        <w:t>Finland</w:t>
      </w:r>
      <w:proofErr w:type="gramEnd"/>
      <w:r w:rsidRPr="00BA0A7C">
        <w:rPr>
          <w:sz w:val="16"/>
          <w:szCs w:val="16"/>
        </w:rPr>
        <w:t>, Iceland, Norway, Russia, Sweden and the USA, as well as six Permanent Participants, organi</w:t>
      </w:r>
      <w:r>
        <w:rPr>
          <w:sz w:val="16"/>
          <w:szCs w:val="16"/>
        </w:rPr>
        <w:t>s</w:t>
      </w:r>
      <w:r w:rsidRPr="00BA0A7C">
        <w:rPr>
          <w:sz w:val="16"/>
          <w:szCs w:val="16"/>
        </w:rPr>
        <w:t xml:space="preserve">ations representing the Arctic indigenous peoples. </w:t>
      </w:r>
    </w:p>
  </w:footnote>
  <w:footnote w:id="23">
    <w:p w:rsidR="00A5472D" w:rsidRPr="00BA0A7C" w:rsidRDefault="00A5472D" w:rsidP="00042234">
      <w:pPr>
        <w:pStyle w:val="FootnoteText"/>
        <w:spacing w:before="0" w:after="0"/>
        <w:contextualSpacing/>
        <w:rPr>
          <w:sz w:val="16"/>
          <w:szCs w:val="16"/>
          <w:lang w:val="en-US"/>
        </w:rPr>
      </w:pPr>
      <w:r w:rsidRPr="00BA0A7C">
        <w:rPr>
          <w:rStyle w:val="FootnoteReference"/>
          <w:sz w:val="16"/>
          <w:szCs w:val="16"/>
        </w:rPr>
        <w:footnoteRef/>
      </w:r>
      <w:r w:rsidRPr="00BA0A7C">
        <w:rPr>
          <w:sz w:val="16"/>
          <w:szCs w:val="16"/>
        </w:rPr>
        <w:t xml:space="preserve"> </w:t>
      </w:r>
      <w:r w:rsidRPr="00BA0A7C">
        <w:rPr>
          <w:sz w:val="16"/>
          <w:szCs w:val="16"/>
          <w:lang w:val="en-US"/>
        </w:rPr>
        <w:t>Such as API Standard 65 Part 2 (</w:t>
      </w:r>
      <w:r w:rsidRPr="00BA0A7C">
        <w:rPr>
          <w:i/>
          <w:sz w:val="16"/>
          <w:szCs w:val="16"/>
          <w:lang w:val="en-US"/>
        </w:rPr>
        <w:t>Isolating potential Flow Zones During Well Construction</w:t>
      </w:r>
      <w:r w:rsidRPr="00BA0A7C">
        <w:rPr>
          <w:sz w:val="16"/>
          <w:szCs w:val="16"/>
          <w:lang w:val="en-US"/>
        </w:rPr>
        <w:t xml:space="preserve">) </w:t>
      </w:r>
    </w:p>
  </w:footnote>
  <w:footnote w:id="24">
    <w:p w:rsidR="00A5472D" w:rsidRPr="00BA0A7C" w:rsidRDefault="00A5472D" w:rsidP="00042234">
      <w:pPr>
        <w:pStyle w:val="FootnoteText"/>
        <w:spacing w:before="0" w:after="0"/>
        <w:contextualSpacing/>
        <w:rPr>
          <w:i/>
          <w:lang w:val="en-US"/>
        </w:rPr>
      </w:pPr>
      <w:r w:rsidRPr="00BA0A7C">
        <w:rPr>
          <w:rStyle w:val="FootnoteReference"/>
          <w:sz w:val="16"/>
          <w:szCs w:val="16"/>
        </w:rPr>
        <w:footnoteRef/>
      </w:r>
      <w:r w:rsidRPr="00BA0A7C">
        <w:rPr>
          <w:sz w:val="16"/>
          <w:szCs w:val="16"/>
        </w:rPr>
        <w:t xml:space="preserve"> </w:t>
      </w:r>
      <w:proofErr w:type="gramStart"/>
      <w:r w:rsidRPr="00BA0A7C">
        <w:rPr>
          <w:sz w:val="16"/>
          <w:szCs w:val="16"/>
          <w:lang w:val="en-US"/>
        </w:rPr>
        <w:t xml:space="preserve">Such as NORSOK DS-010 on </w:t>
      </w:r>
      <w:r w:rsidRPr="00BA0A7C">
        <w:rPr>
          <w:i/>
          <w:sz w:val="16"/>
          <w:szCs w:val="16"/>
          <w:lang w:val="en-US"/>
        </w:rPr>
        <w:t>Well integrity in Drilling and Well Operations.</w:t>
      </w:r>
      <w:proofErr w:type="gramEnd"/>
      <w:r w:rsidRPr="00BA0A7C">
        <w:rPr>
          <w:i/>
          <w:lang w:val="en-US"/>
        </w:rPr>
        <w:t xml:space="preserve"> </w:t>
      </w:r>
    </w:p>
  </w:footnote>
  <w:footnote w:id="25">
    <w:p w:rsidR="00A5472D" w:rsidRPr="00E278AF" w:rsidRDefault="00A5472D" w:rsidP="00042234">
      <w:pPr>
        <w:pStyle w:val="FootnoteText"/>
        <w:spacing w:before="0" w:after="0"/>
        <w:contextualSpacing/>
        <w:rPr>
          <w:sz w:val="16"/>
          <w:lang w:val="en-US"/>
        </w:rPr>
      </w:pPr>
      <w:r w:rsidRPr="00E278AF">
        <w:rPr>
          <w:rStyle w:val="FootnoteReference"/>
          <w:sz w:val="16"/>
        </w:rPr>
        <w:footnoteRef/>
      </w:r>
      <w:r w:rsidRPr="00E278AF">
        <w:rPr>
          <w:sz w:val="16"/>
        </w:rPr>
        <w:t xml:space="preserve"> </w:t>
      </w:r>
      <w:r w:rsidRPr="00E278AF">
        <w:rPr>
          <w:sz w:val="16"/>
          <w:lang w:val="en-US"/>
        </w:rPr>
        <w:t xml:space="preserve">See Andrew Hopkins, </w:t>
      </w:r>
      <w:r w:rsidRPr="00E278AF">
        <w:rPr>
          <w:i/>
          <w:sz w:val="16"/>
          <w:lang w:val="en-US"/>
        </w:rPr>
        <w:t xml:space="preserve">Disastrous Decisions: the Human and Organisational Causes of the Gulf of Mexico Blowout </w:t>
      </w:r>
      <w:r w:rsidRPr="00E278AF">
        <w:rPr>
          <w:sz w:val="16"/>
          <w:lang w:val="en-US"/>
        </w:rPr>
        <w:t xml:space="preserve">(2012); Tom Bergin, </w:t>
      </w:r>
      <w:r w:rsidRPr="00E278AF">
        <w:rPr>
          <w:i/>
          <w:sz w:val="16"/>
          <w:lang w:val="en-US"/>
        </w:rPr>
        <w:t xml:space="preserve">Spills and Spin: The Inside Story of BP </w:t>
      </w:r>
      <w:r w:rsidRPr="00E278AF">
        <w:rPr>
          <w:sz w:val="16"/>
          <w:lang w:val="en-US"/>
        </w:rPr>
        <w:t xml:space="preserve">(2012).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73E54"/>
    <w:multiLevelType w:val="hybridMultilevel"/>
    <w:tmpl w:val="D2C4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D86D2E"/>
    <w:multiLevelType w:val="hybridMultilevel"/>
    <w:tmpl w:val="746852A4"/>
    <w:lvl w:ilvl="0" w:tplc="F52C2476">
      <w:start w:val="1"/>
      <w:numFmt w:val="bullet"/>
      <w:lvlText w:val="•"/>
      <w:lvlJc w:val="left"/>
      <w:pPr>
        <w:tabs>
          <w:tab w:val="num" w:pos="720"/>
        </w:tabs>
        <w:ind w:left="720" w:hanging="360"/>
      </w:pPr>
      <w:rPr>
        <w:rFonts w:ascii="Arial" w:hAnsi="Arial" w:hint="default"/>
      </w:rPr>
    </w:lvl>
    <w:lvl w:ilvl="1" w:tplc="28AA66EA">
      <w:numFmt w:val="bullet"/>
      <w:lvlText w:val="–"/>
      <w:lvlJc w:val="left"/>
      <w:pPr>
        <w:tabs>
          <w:tab w:val="num" w:pos="1440"/>
        </w:tabs>
        <w:ind w:left="1440" w:hanging="360"/>
      </w:pPr>
      <w:rPr>
        <w:rFonts w:ascii="Arial" w:hAnsi="Arial" w:hint="default"/>
      </w:rPr>
    </w:lvl>
    <w:lvl w:ilvl="2" w:tplc="835CD22C">
      <w:numFmt w:val="bullet"/>
      <w:lvlText w:val="•"/>
      <w:lvlJc w:val="left"/>
      <w:pPr>
        <w:tabs>
          <w:tab w:val="num" w:pos="2160"/>
        </w:tabs>
        <w:ind w:left="2160" w:hanging="360"/>
      </w:pPr>
      <w:rPr>
        <w:rFonts w:ascii="Arial" w:hAnsi="Arial" w:hint="default"/>
      </w:rPr>
    </w:lvl>
    <w:lvl w:ilvl="3" w:tplc="81DA0224" w:tentative="1">
      <w:start w:val="1"/>
      <w:numFmt w:val="bullet"/>
      <w:lvlText w:val="•"/>
      <w:lvlJc w:val="left"/>
      <w:pPr>
        <w:tabs>
          <w:tab w:val="num" w:pos="2880"/>
        </w:tabs>
        <w:ind w:left="2880" w:hanging="360"/>
      </w:pPr>
      <w:rPr>
        <w:rFonts w:ascii="Arial" w:hAnsi="Arial" w:hint="default"/>
      </w:rPr>
    </w:lvl>
    <w:lvl w:ilvl="4" w:tplc="6D1E9380" w:tentative="1">
      <w:start w:val="1"/>
      <w:numFmt w:val="bullet"/>
      <w:lvlText w:val="•"/>
      <w:lvlJc w:val="left"/>
      <w:pPr>
        <w:tabs>
          <w:tab w:val="num" w:pos="3600"/>
        </w:tabs>
        <w:ind w:left="3600" w:hanging="360"/>
      </w:pPr>
      <w:rPr>
        <w:rFonts w:ascii="Arial" w:hAnsi="Arial" w:hint="default"/>
      </w:rPr>
    </w:lvl>
    <w:lvl w:ilvl="5" w:tplc="1FF8C436" w:tentative="1">
      <w:start w:val="1"/>
      <w:numFmt w:val="bullet"/>
      <w:lvlText w:val="•"/>
      <w:lvlJc w:val="left"/>
      <w:pPr>
        <w:tabs>
          <w:tab w:val="num" w:pos="4320"/>
        </w:tabs>
        <w:ind w:left="4320" w:hanging="360"/>
      </w:pPr>
      <w:rPr>
        <w:rFonts w:ascii="Arial" w:hAnsi="Arial" w:hint="default"/>
      </w:rPr>
    </w:lvl>
    <w:lvl w:ilvl="6" w:tplc="CC428CC0" w:tentative="1">
      <w:start w:val="1"/>
      <w:numFmt w:val="bullet"/>
      <w:lvlText w:val="•"/>
      <w:lvlJc w:val="left"/>
      <w:pPr>
        <w:tabs>
          <w:tab w:val="num" w:pos="5040"/>
        </w:tabs>
        <w:ind w:left="5040" w:hanging="360"/>
      </w:pPr>
      <w:rPr>
        <w:rFonts w:ascii="Arial" w:hAnsi="Arial" w:hint="default"/>
      </w:rPr>
    </w:lvl>
    <w:lvl w:ilvl="7" w:tplc="1682FCE8" w:tentative="1">
      <w:start w:val="1"/>
      <w:numFmt w:val="bullet"/>
      <w:lvlText w:val="•"/>
      <w:lvlJc w:val="left"/>
      <w:pPr>
        <w:tabs>
          <w:tab w:val="num" w:pos="5760"/>
        </w:tabs>
        <w:ind w:left="5760" w:hanging="360"/>
      </w:pPr>
      <w:rPr>
        <w:rFonts w:ascii="Arial" w:hAnsi="Arial" w:hint="default"/>
      </w:rPr>
    </w:lvl>
    <w:lvl w:ilvl="8" w:tplc="D3E0E07A" w:tentative="1">
      <w:start w:val="1"/>
      <w:numFmt w:val="bullet"/>
      <w:lvlText w:val="•"/>
      <w:lvlJc w:val="left"/>
      <w:pPr>
        <w:tabs>
          <w:tab w:val="num" w:pos="6480"/>
        </w:tabs>
        <w:ind w:left="6480" w:hanging="360"/>
      </w:pPr>
      <w:rPr>
        <w:rFonts w:ascii="Arial" w:hAnsi="Arial" w:hint="default"/>
      </w:rPr>
    </w:lvl>
  </w:abstractNum>
  <w:abstractNum w:abstractNumId="2">
    <w:nsid w:val="27E24285"/>
    <w:multiLevelType w:val="hybridMultilevel"/>
    <w:tmpl w:val="67D84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6265BA"/>
    <w:multiLevelType w:val="hybridMultilevel"/>
    <w:tmpl w:val="B5FC0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5F2"/>
    <w:rsid w:val="00025E14"/>
    <w:rsid w:val="00042234"/>
    <w:rsid w:val="0007603D"/>
    <w:rsid w:val="00084458"/>
    <w:rsid w:val="001049A6"/>
    <w:rsid w:val="001151BB"/>
    <w:rsid w:val="00121507"/>
    <w:rsid w:val="001A7697"/>
    <w:rsid w:val="001C44A0"/>
    <w:rsid w:val="001E3645"/>
    <w:rsid w:val="002044B6"/>
    <w:rsid w:val="00222803"/>
    <w:rsid w:val="00236CDF"/>
    <w:rsid w:val="00247F67"/>
    <w:rsid w:val="00255A4F"/>
    <w:rsid w:val="00331956"/>
    <w:rsid w:val="003956E3"/>
    <w:rsid w:val="004947AE"/>
    <w:rsid w:val="004C6AC4"/>
    <w:rsid w:val="004D51A5"/>
    <w:rsid w:val="0050734F"/>
    <w:rsid w:val="00510281"/>
    <w:rsid w:val="005629CC"/>
    <w:rsid w:val="005915AD"/>
    <w:rsid w:val="0060748B"/>
    <w:rsid w:val="006204AA"/>
    <w:rsid w:val="006C133B"/>
    <w:rsid w:val="006C42FE"/>
    <w:rsid w:val="00700897"/>
    <w:rsid w:val="00811B27"/>
    <w:rsid w:val="008B1B47"/>
    <w:rsid w:val="008D1C07"/>
    <w:rsid w:val="008E15F1"/>
    <w:rsid w:val="00902A3D"/>
    <w:rsid w:val="0091021E"/>
    <w:rsid w:val="00945D96"/>
    <w:rsid w:val="00966BCB"/>
    <w:rsid w:val="009927CA"/>
    <w:rsid w:val="009A5C26"/>
    <w:rsid w:val="009D5CE5"/>
    <w:rsid w:val="00A52DB0"/>
    <w:rsid w:val="00A5472D"/>
    <w:rsid w:val="00A83B7A"/>
    <w:rsid w:val="00AA2569"/>
    <w:rsid w:val="00B26277"/>
    <w:rsid w:val="00B45E97"/>
    <w:rsid w:val="00B60321"/>
    <w:rsid w:val="00BA0A7C"/>
    <w:rsid w:val="00BA2C1D"/>
    <w:rsid w:val="00BC2D57"/>
    <w:rsid w:val="00BD6B1C"/>
    <w:rsid w:val="00BD7AB0"/>
    <w:rsid w:val="00BF3E72"/>
    <w:rsid w:val="00C86F78"/>
    <w:rsid w:val="00CA64CF"/>
    <w:rsid w:val="00CD2CB2"/>
    <w:rsid w:val="00CF5040"/>
    <w:rsid w:val="00D31F7F"/>
    <w:rsid w:val="00D3717B"/>
    <w:rsid w:val="00D53784"/>
    <w:rsid w:val="00DA7B2E"/>
    <w:rsid w:val="00DB552A"/>
    <w:rsid w:val="00DD2060"/>
    <w:rsid w:val="00DE31ED"/>
    <w:rsid w:val="00DE35F2"/>
    <w:rsid w:val="00DF0D59"/>
    <w:rsid w:val="00E12AD9"/>
    <w:rsid w:val="00E278AF"/>
    <w:rsid w:val="00E406CD"/>
    <w:rsid w:val="00E61CAB"/>
    <w:rsid w:val="00E65B7B"/>
    <w:rsid w:val="00E712BE"/>
    <w:rsid w:val="00E7399F"/>
    <w:rsid w:val="00E7576B"/>
    <w:rsid w:val="00E77B64"/>
    <w:rsid w:val="00E91FD1"/>
    <w:rsid w:val="00EA0531"/>
    <w:rsid w:val="00ED7A30"/>
    <w:rsid w:val="00EF0810"/>
    <w:rsid w:val="00EF7A22"/>
    <w:rsid w:val="00F058D8"/>
    <w:rsid w:val="00F16251"/>
    <w:rsid w:val="00FC1F6A"/>
    <w:rsid w:val="00FD6B96"/>
    <w:rsid w:val="00FF467F"/>
    <w:rsid w:val="00FF7987"/>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FB9F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6CD"/>
    <w:pPr>
      <w:spacing w:before="120" w:after="120"/>
    </w:pPr>
    <w:rPr>
      <w:rFonts w:ascii="Times New Roman" w:hAnsi="Times New Roman" w:cs="Times New Roman"/>
    </w:rPr>
  </w:style>
  <w:style w:type="paragraph" w:styleId="Heading1">
    <w:name w:val="heading 1"/>
    <w:basedOn w:val="Normal"/>
    <w:next w:val="Normal"/>
    <w:link w:val="Heading1Char"/>
    <w:uiPriority w:val="9"/>
    <w:qFormat/>
    <w:rsid w:val="00E406CD"/>
    <w:pPr>
      <w:keepNext/>
      <w:keepLines/>
      <w:outlineLvl w:val="0"/>
    </w:pPr>
    <w:rPr>
      <w:rFonts w:asciiTheme="majorHAnsi" w:eastAsiaTheme="majorEastAsia" w:hAnsiTheme="majorHAnsi" w:cstheme="majorBidi"/>
      <w:b/>
      <w:bCs/>
      <w:color w:val="345A8A" w:themeColor="accent1" w:themeShade="B5"/>
      <w:szCs w:val="32"/>
    </w:rPr>
  </w:style>
  <w:style w:type="paragraph" w:styleId="Heading2">
    <w:name w:val="heading 2"/>
    <w:basedOn w:val="Normal"/>
    <w:next w:val="Normal"/>
    <w:link w:val="Heading2Char"/>
    <w:uiPriority w:val="9"/>
    <w:unhideWhenUsed/>
    <w:qFormat/>
    <w:rsid w:val="002044B6"/>
    <w:pPr>
      <w:keepNext/>
      <w:keepLines/>
      <w:spacing w:before="200"/>
      <w:outlineLvl w:val="1"/>
    </w:pPr>
    <w:rPr>
      <w:rFonts w:asciiTheme="majorHAnsi" w:eastAsiaTheme="majorEastAsia" w:hAnsiTheme="majorHAnsi" w:cstheme="majorBidi"/>
      <w:b/>
      <w:bCs/>
      <w:color w:val="4F81BD" w:themeColor="accent1"/>
      <w:sz w:val="22"/>
      <w:szCs w:val="26"/>
    </w:rPr>
  </w:style>
  <w:style w:type="paragraph" w:styleId="Heading3">
    <w:name w:val="heading 3"/>
    <w:basedOn w:val="Normal"/>
    <w:next w:val="Normal"/>
    <w:link w:val="Heading3Char"/>
    <w:uiPriority w:val="9"/>
    <w:unhideWhenUsed/>
    <w:qFormat/>
    <w:rsid w:val="00BD7AB0"/>
    <w:pPr>
      <w:keepNext/>
      <w:keepLines/>
      <w:spacing w:before="200" w:after="0"/>
      <w:jc w:val="both"/>
      <w:outlineLvl w:val="2"/>
    </w:pPr>
    <w:rPr>
      <w:rFonts w:asciiTheme="majorHAnsi" w:eastAsiaTheme="majorEastAsia" w:hAnsiTheme="majorHAnsi" w:cstheme="majorBidi"/>
      <w:bCs/>
      <w:i/>
      <w:color w:val="4F81BD"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6CD"/>
    <w:rPr>
      <w:rFonts w:asciiTheme="majorHAnsi" w:eastAsiaTheme="majorEastAsia" w:hAnsiTheme="majorHAnsi" w:cstheme="majorBidi"/>
      <w:b/>
      <w:bCs/>
      <w:color w:val="345A8A" w:themeColor="accent1" w:themeShade="B5"/>
      <w:szCs w:val="32"/>
    </w:rPr>
  </w:style>
  <w:style w:type="character" w:customStyle="1" w:styleId="Heading2Char">
    <w:name w:val="Heading 2 Char"/>
    <w:basedOn w:val="DefaultParagraphFont"/>
    <w:link w:val="Heading2"/>
    <w:uiPriority w:val="9"/>
    <w:rsid w:val="002044B6"/>
    <w:rPr>
      <w:rFonts w:asciiTheme="majorHAnsi" w:eastAsiaTheme="majorEastAsia" w:hAnsiTheme="majorHAnsi" w:cstheme="majorBidi"/>
      <w:b/>
      <w:bCs/>
      <w:color w:val="4F81BD" w:themeColor="accent1"/>
      <w:sz w:val="22"/>
      <w:szCs w:val="26"/>
    </w:rPr>
  </w:style>
  <w:style w:type="paragraph" w:styleId="Title">
    <w:name w:val="Title"/>
    <w:basedOn w:val="Normal"/>
    <w:next w:val="Normal"/>
    <w:link w:val="TitleChar"/>
    <w:uiPriority w:val="10"/>
    <w:qFormat/>
    <w:rsid w:val="00B6032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6032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6032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B60321"/>
    <w:rPr>
      <w:rFonts w:asciiTheme="majorHAnsi" w:eastAsiaTheme="majorEastAsia" w:hAnsiTheme="majorHAnsi" w:cstheme="majorBidi"/>
      <w:i/>
      <w:iCs/>
      <w:color w:val="4F81BD" w:themeColor="accent1"/>
      <w:spacing w:val="15"/>
    </w:rPr>
  </w:style>
  <w:style w:type="paragraph" w:styleId="FootnoteText">
    <w:name w:val="footnote text"/>
    <w:aliases w:val="Char, Char"/>
    <w:basedOn w:val="Normal"/>
    <w:link w:val="FootnoteTextChar"/>
    <w:unhideWhenUsed/>
    <w:qFormat/>
    <w:rsid w:val="00E406CD"/>
  </w:style>
  <w:style w:type="character" w:customStyle="1" w:styleId="FootnoteTextChar">
    <w:name w:val="Footnote Text Char"/>
    <w:aliases w:val="Char Char, Char Char"/>
    <w:basedOn w:val="DefaultParagraphFont"/>
    <w:link w:val="FootnoteText"/>
    <w:uiPriority w:val="99"/>
    <w:rsid w:val="00E406CD"/>
  </w:style>
  <w:style w:type="character" w:styleId="FootnoteReference">
    <w:name w:val="footnote reference"/>
    <w:basedOn w:val="DefaultParagraphFont"/>
    <w:unhideWhenUsed/>
    <w:rsid w:val="00E406CD"/>
    <w:rPr>
      <w:vertAlign w:val="superscript"/>
    </w:rPr>
  </w:style>
  <w:style w:type="character" w:styleId="Hyperlink">
    <w:name w:val="Hyperlink"/>
    <w:basedOn w:val="DefaultParagraphFont"/>
    <w:uiPriority w:val="99"/>
    <w:unhideWhenUsed/>
    <w:rsid w:val="00E406CD"/>
    <w:rPr>
      <w:color w:val="0000FF" w:themeColor="hyperlink"/>
      <w:u w:val="single"/>
    </w:rPr>
  </w:style>
  <w:style w:type="character" w:customStyle="1" w:styleId="Heading3Char">
    <w:name w:val="Heading 3 Char"/>
    <w:basedOn w:val="DefaultParagraphFont"/>
    <w:link w:val="Heading3"/>
    <w:uiPriority w:val="9"/>
    <w:rsid w:val="00BD7AB0"/>
    <w:rPr>
      <w:rFonts w:asciiTheme="majorHAnsi" w:eastAsiaTheme="majorEastAsia" w:hAnsiTheme="majorHAnsi" w:cstheme="majorBidi"/>
      <w:bCs/>
      <w:i/>
      <w:color w:val="4F81BD" w:themeColor="accent1"/>
      <w:sz w:val="22"/>
    </w:rPr>
  </w:style>
  <w:style w:type="table" w:styleId="MediumShading2">
    <w:name w:val="Medium Shading 2"/>
    <w:basedOn w:val="TableNormal"/>
    <w:uiPriority w:val="64"/>
    <w:rsid w:val="006204AA"/>
    <w:rPr>
      <w:rFonts w:eastAsiaTheme="minorHAnsi"/>
      <w:sz w:val="22"/>
      <w:szCs w:val="22"/>
      <w:lang w:val="nl-B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Footer">
    <w:name w:val="footer"/>
    <w:basedOn w:val="Normal"/>
    <w:link w:val="FooterChar"/>
    <w:uiPriority w:val="99"/>
    <w:unhideWhenUsed/>
    <w:rsid w:val="00AA2569"/>
    <w:pPr>
      <w:tabs>
        <w:tab w:val="center" w:pos="4320"/>
        <w:tab w:val="right" w:pos="8640"/>
      </w:tabs>
      <w:spacing w:before="0" w:after="0"/>
    </w:pPr>
  </w:style>
  <w:style w:type="character" w:customStyle="1" w:styleId="FooterChar">
    <w:name w:val="Footer Char"/>
    <w:basedOn w:val="DefaultParagraphFont"/>
    <w:link w:val="Footer"/>
    <w:uiPriority w:val="99"/>
    <w:rsid w:val="00AA2569"/>
    <w:rPr>
      <w:rFonts w:ascii="Times New Roman" w:hAnsi="Times New Roman" w:cs="Times New Roman"/>
    </w:rPr>
  </w:style>
  <w:style w:type="character" w:styleId="PageNumber">
    <w:name w:val="page number"/>
    <w:basedOn w:val="DefaultParagraphFont"/>
    <w:uiPriority w:val="99"/>
    <w:semiHidden/>
    <w:unhideWhenUsed/>
    <w:rsid w:val="00AA2569"/>
  </w:style>
  <w:style w:type="paragraph" w:styleId="ListParagraph">
    <w:name w:val="List Paragraph"/>
    <w:basedOn w:val="Normal"/>
    <w:uiPriority w:val="34"/>
    <w:qFormat/>
    <w:rsid w:val="00222803"/>
    <w:pPr>
      <w:ind w:left="720"/>
      <w:contextualSpacing/>
    </w:pPr>
  </w:style>
  <w:style w:type="character" w:styleId="CommentReference">
    <w:name w:val="annotation reference"/>
    <w:basedOn w:val="DefaultParagraphFont"/>
    <w:uiPriority w:val="99"/>
    <w:semiHidden/>
    <w:unhideWhenUsed/>
    <w:rsid w:val="00CD2CB2"/>
    <w:rPr>
      <w:sz w:val="16"/>
      <w:szCs w:val="16"/>
    </w:rPr>
  </w:style>
  <w:style w:type="paragraph" w:styleId="CommentText">
    <w:name w:val="annotation text"/>
    <w:basedOn w:val="Normal"/>
    <w:link w:val="CommentTextChar"/>
    <w:uiPriority w:val="99"/>
    <w:semiHidden/>
    <w:unhideWhenUsed/>
    <w:rsid w:val="00CD2CB2"/>
    <w:rPr>
      <w:sz w:val="20"/>
      <w:szCs w:val="20"/>
    </w:rPr>
  </w:style>
  <w:style w:type="character" w:customStyle="1" w:styleId="CommentTextChar">
    <w:name w:val="Comment Text Char"/>
    <w:basedOn w:val="DefaultParagraphFont"/>
    <w:link w:val="CommentText"/>
    <w:uiPriority w:val="99"/>
    <w:semiHidden/>
    <w:rsid w:val="00CD2CB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2CB2"/>
    <w:rPr>
      <w:b/>
      <w:bCs/>
    </w:rPr>
  </w:style>
  <w:style w:type="character" w:customStyle="1" w:styleId="CommentSubjectChar">
    <w:name w:val="Comment Subject Char"/>
    <w:basedOn w:val="CommentTextChar"/>
    <w:link w:val="CommentSubject"/>
    <w:uiPriority w:val="99"/>
    <w:semiHidden/>
    <w:rsid w:val="00CD2CB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CD2CB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CB2"/>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6CD"/>
    <w:pPr>
      <w:spacing w:before="120" w:after="120"/>
    </w:pPr>
    <w:rPr>
      <w:rFonts w:ascii="Times New Roman" w:hAnsi="Times New Roman" w:cs="Times New Roman"/>
    </w:rPr>
  </w:style>
  <w:style w:type="paragraph" w:styleId="Heading1">
    <w:name w:val="heading 1"/>
    <w:basedOn w:val="Normal"/>
    <w:next w:val="Normal"/>
    <w:link w:val="Heading1Char"/>
    <w:uiPriority w:val="9"/>
    <w:qFormat/>
    <w:rsid w:val="00E406CD"/>
    <w:pPr>
      <w:keepNext/>
      <w:keepLines/>
      <w:outlineLvl w:val="0"/>
    </w:pPr>
    <w:rPr>
      <w:rFonts w:asciiTheme="majorHAnsi" w:eastAsiaTheme="majorEastAsia" w:hAnsiTheme="majorHAnsi" w:cstheme="majorBidi"/>
      <w:b/>
      <w:bCs/>
      <w:color w:val="345A8A" w:themeColor="accent1" w:themeShade="B5"/>
      <w:szCs w:val="32"/>
    </w:rPr>
  </w:style>
  <w:style w:type="paragraph" w:styleId="Heading2">
    <w:name w:val="heading 2"/>
    <w:basedOn w:val="Normal"/>
    <w:next w:val="Normal"/>
    <w:link w:val="Heading2Char"/>
    <w:uiPriority w:val="9"/>
    <w:unhideWhenUsed/>
    <w:qFormat/>
    <w:rsid w:val="002044B6"/>
    <w:pPr>
      <w:keepNext/>
      <w:keepLines/>
      <w:spacing w:before="200"/>
      <w:outlineLvl w:val="1"/>
    </w:pPr>
    <w:rPr>
      <w:rFonts w:asciiTheme="majorHAnsi" w:eastAsiaTheme="majorEastAsia" w:hAnsiTheme="majorHAnsi" w:cstheme="majorBidi"/>
      <w:b/>
      <w:bCs/>
      <w:color w:val="4F81BD" w:themeColor="accent1"/>
      <w:sz w:val="22"/>
      <w:szCs w:val="26"/>
    </w:rPr>
  </w:style>
  <w:style w:type="paragraph" w:styleId="Heading3">
    <w:name w:val="heading 3"/>
    <w:basedOn w:val="Normal"/>
    <w:next w:val="Normal"/>
    <w:link w:val="Heading3Char"/>
    <w:uiPriority w:val="9"/>
    <w:unhideWhenUsed/>
    <w:qFormat/>
    <w:rsid w:val="00BD7AB0"/>
    <w:pPr>
      <w:keepNext/>
      <w:keepLines/>
      <w:spacing w:before="200" w:after="0"/>
      <w:jc w:val="both"/>
      <w:outlineLvl w:val="2"/>
    </w:pPr>
    <w:rPr>
      <w:rFonts w:asciiTheme="majorHAnsi" w:eastAsiaTheme="majorEastAsia" w:hAnsiTheme="majorHAnsi" w:cstheme="majorBidi"/>
      <w:bCs/>
      <w:i/>
      <w:color w:val="4F81BD"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6CD"/>
    <w:rPr>
      <w:rFonts w:asciiTheme="majorHAnsi" w:eastAsiaTheme="majorEastAsia" w:hAnsiTheme="majorHAnsi" w:cstheme="majorBidi"/>
      <w:b/>
      <w:bCs/>
      <w:color w:val="345A8A" w:themeColor="accent1" w:themeShade="B5"/>
      <w:szCs w:val="32"/>
    </w:rPr>
  </w:style>
  <w:style w:type="character" w:customStyle="1" w:styleId="Heading2Char">
    <w:name w:val="Heading 2 Char"/>
    <w:basedOn w:val="DefaultParagraphFont"/>
    <w:link w:val="Heading2"/>
    <w:uiPriority w:val="9"/>
    <w:rsid w:val="002044B6"/>
    <w:rPr>
      <w:rFonts w:asciiTheme="majorHAnsi" w:eastAsiaTheme="majorEastAsia" w:hAnsiTheme="majorHAnsi" w:cstheme="majorBidi"/>
      <w:b/>
      <w:bCs/>
      <w:color w:val="4F81BD" w:themeColor="accent1"/>
      <w:sz w:val="22"/>
      <w:szCs w:val="26"/>
    </w:rPr>
  </w:style>
  <w:style w:type="paragraph" w:styleId="Title">
    <w:name w:val="Title"/>
    <w:basedOn w:val="Normal"/>
    <w:next w:val="Normal"/>
    <w:link w:val="TitleChar"/>
    <w:uiPriority w:val="10"/>
    <w:qFormat/>
    <w:rsid w:val="00B6032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6032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6032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B60321"/>
    <w:rPr>
      <w:rFonts w:asciiTheme="majorHAnsi" w:eastAsiaTheme="majorEastAsia" w:hAnsiTheme="majorHAnsi" w:cstheme="majorBidi"/>
      <w:i/>
      <w:iCs/>
      <w:color w:val="4F81BD" w:themeColor="accent1"/>
      <w:spacing w:val="15"/>
    </w:rPr>
  </w:style>
  <w:style w:type="paragraph" w:styleId="FootnoteText">
    <w:name w:val="footnote text"/>
    <w:aliases w:val="Char, Char"/>
    <w:basedOn w:val="Normal"/>
    <w:link w:val="FootnoteTextChar"/>
    <w:unhideWhenUsed/>
    <w:qFormat/>
    <w:rsid w:val="00E406CD"/>
  </w:style>
  <w:style w:type="character" w:customStyle="1" w:styleId="FootnoteTextChar">
    <w:name w:val="Footnote Text Char"/>
    <w:aliases w:val="Char Char, Char Char"/>
    <w:basedOn w:val="DefaultParagraphFont"/>
    <w:link w:val="FootnoteText"/>
    <w:uiPriority w:val="99"/>
    <w:rsid w:val="00E406CD"/>
  </w:style>
  <w:style w:type="character" w:styleId="FootnoteReference">
    <w:name w:val="footnote reference"/>
    <w:basedOn w:val="DefaultParagraphFont"/>
    <w:unhideWhenUsed/>
    <w:rsid w:val="00E406CD"/>
    <w:rPr>
      <w:vertAlign w:val="superscript"/>
    </w:rPr>
  </w:style>
  <w:style w:type="character" w:styleId="Hyperlink">
    <w:name w:val="Hyperlink"/>
    <w:basedOn w:val="DefaultParagraphFont"/>
    <w:uiPriority w:val="99"/>
    <w:unhideWhenUsed/>
    <w:rsid w:val="00E406CD"/>
    <w:rPr>
      <w:color w:val="0000FF" w:themeColor="hyperlink"/>
      <w:u w:val="single"/>
    </w:rPr>
  </w:style>
  <w:style w:type="character" w:customStyle="1" w:styleId="Heading3Char">
    <w:name w:val="Heading 3 Char"/>
    <w:basedOn w:val="DefaultParagraphFont"/>
    <w:link w:val="Heading3"/>
    <w:uiPriority w:val="9"/>
    <w:rsid w:val="00BD7AB0"/>
    <w:rPr>
      <w:rFonts w:asciiTheme="majorHAnsi" w:eastAsiaTheme="majorEastAsia" w:hAnsiTheme="majorHAnsi" w:cstheme="majorBidi"/>
      <w:bCs/>
      <w:i/>
      <w:color w:val="4F81BD" w:themeColor="accent1"/>
      <w:sz w:val="22"/>
    </w:rPr>
  </w:style>
  <w:style w:type="table" w:styleId="MediumShading2">
    <w:name w:val="Medium Shading 2"/>
    <w:basedOn w:val="TableNormal"/>
    <w:uiPriority w:val="64"/>
    <w:rsid w:val="006204AA"/>
    <w:rPr>
      <w:rFonts w:eastAsiaTheme="minorHAnsi"/>
      <w:sz w:val="22"/>
      <w:szCs w:val="22"/>
      <w:lang w:val="nl-BE"/>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Footer">
    <w:name w:val="footer"/>
    <w:basedOn w:val="Normal"/>
    <w:link w:val="FooterChar"/>
    <w:uiPriority w:val="99"/>
    <w:unhideWhenUsed/>
    <w:rsid w:val="00AA2569"/>
    <w:pPr>
      <w:tabs>
        <w:tab w:val="center" w:pos="4320"/>
        <w:tab w:val="right" w:pos="8640"/>
      </w:tabs>
      <w:spacing w:before="0" w:after="0"/>
    </w:pPr>
  </w:style>
  <w:style w:type="character" w:customStyle="1" w:styleId="FooterChar">
    <w:name w:val="Footer Char"/>
    <w:basedOn w:val="DefaultParagraphFont"/>
    <w:link w:val="Footer"/>
    <w:uiPriority w:val="99"/>
    <w:rsid w:val="00AA2569"/>
    <w:rPr>
      <w:rFonts w:ascii="Times New Roman" w:hAnsi="Times New Roman" w:cs="Times New Roman"/>
    </w:rPr>
  </w:style>
  <w:style w:type="character" w:styleId="PageNumber">
    <w:name w:val="page number"/>
    <w:basedOn w:val="DefaultParagraphFont"/>
    <w:uiPriority w:val="99"/>
    <w:semiHidden/>
    <w:unhideWhenUsed/>
    <w:rsid w:val="00AA2569"/>
  </w:style>
  <w:style w:type="paragraph" w:styleId="ListParagraph">
    <w:name w:val="List Paragraph"/>
    <w:basedOn w:val="Normal"/>
    <w:uiPriority w:val="34"/>
    <w:qFormat/>
    <w:rsid w:val="00222803"/>
    <w:pPr>
      <w:ind w:left="720"/>
      <w:contextualSpacing/>
    </w:pPr>
  </w:style>
  <w:style w:type="character" w:styleId="CommentReference">
    <w:name w:val="annotation reference"/>
    <w:basedOn w:val="DefaultParagraphFont"/>
    <w:uiPriority w:val="99"/>
    <w:semiHidden/>
    <w:unhideWhenUsed/>
    <w:rsid w:val="00CD2CB2"/>
    <w:rPr>
      <w:sz w:val="16"/>
      <w:szCs w:val="16"/>
    </w:rPr>
  </w:style>
  <w:style w:type="paragraph" w:styleId="CommentText">
    <w:name w:val="annotation text"/>
    <w:basedOn w:val="Normal"/>
    <w:link w:val="CommentTextChar"/>
    <w:uiPriority w:val="99"/>
    <w:semiHidden/>
    <w:unhideWhenUsed/>
    <w:rsid w:val="00CD2CB2"/>
    <w:rPr>
      <w:sz w:val="20"/>
      <w:szCs w:val="20"/>
    </w:rPr>
  </w:style>
  <w:style w:type="character" w:customStyle="1" w:styleId="CommentTextChar">
    <w:name w:val="Comment Text Char"/>
    <w:basedOn w:val="DefaultParagraphFont"/>
    <w:link w:val="CommentText"/>
    <w:uiPriority w:val="99"/>
    <w:semiHidden/>
    <w:rsid w:val="00CD2CB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2CB2"/>
    <w:rPr>
      <w:b/>
      <w:bCs/>
    </w:rPr>
  </w:style>
  <w:style w:type="character" w:customStyle="1" w:styleId="CommentSubjectChar">
    <w:name w:val="Comment Subject Char"/>
    <w:basedOn w:val="CommentTextChar"/>
    <w:link w:val="CommentSubject"/>
    <w:uiPriority w:val="99"/>
    <w:semiHidden/>
    <w:rsid w:val="00CD2CB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CD2CB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C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040152">
      <w:bodyDiv w:val="1"/>
      <w:marLeft w:val="0"/>
      <w:marRight w:val="0"/>
      <w:marTop w:val="0"/>
      <w:marBottom w:val="0"/>
      <w:divBdr>
        <w:top w:val="none" w:sz="0" w:space="0" w:color="auto"/>
        <w:left w:val="none" w:sz="0" w:space="0" w:color="auto"/>
        <w:bottom w:val="none" w:sz="0" w:space="0" w:color="auto"/>
        <w:right w:val="none" w:sz="0" w:space="0" w:color="auto"/>
      </w:divBdr>
      <w:divsChild>
        <w:div w:id="439179996">
          <w:marLeft w:val="547"/>
          <w:marRight w:val="0"/>
          <w:marTop w:val="154"/>
          <w:marBottom w:val="0"/>
          <w:divBdr>
            <w:top w:val="none" w:sz="0" w:space="0" w:color="auto"/>
            <w:left w:val="none" w:sz="0" w:space="0" w:color="auto"/>
            <w:bottom w:val="none" w:sz="0" w:space="0" w:color="auto"/>
            <w:right w:val="none" w:sz="0" w:space="0" w:color="auto"/>
          </w:divBdr>
        </w:div>
        <w:div w:id="2133131750">
          <w:marLeft w:val="547"/>
          <w:marRight w:val="0"/>
          <w:marTop w:val="96"/>
          <w:marBottom w:val="0"/>
          <w:divBdr>
            <w:top w:val="none" w:sz="0" w:space="0" w:color="auto"/>
            <w:left w:val="none" w:sz="0" w:space="0" w:color="auto"/>
            <w:bottom w:val="none" w:sz="0" w:space="0" w:color="auto"/>
            <w:right w:val="none" w:sz="0" w:space="0" w:color="auto"/>
          </w:divBdr>
        </w:div>
        <w:div w:id="951010520">
          <w:marLeft w:val="547"/>
          <w:marRight w:val="0"/>
          <w:marTop w:val="96"/>
          <w:marBottom w:val="0"/>
          <w:divBdr>
            <w:top w:val="none" w:sz="0" w:space="0" w:color="auto"/>
            <w:left w:val="none" w:sz="0" w:space="0" w:color="auto"/>
            <w:bottom w:val="none" w:sz="0" w:space="0" w:color="auto"/>
            <w:right w:val="none" w:sz="0" w:space="0" w:color="auto"/>
          </w:divBdr>
        </w:div>
        <w:div w:id="811367007">
          <w:marLeft w:val="547"/>
          <w:marRight w:val="0"/>
          <w:marTop w:val="96"/>
          <w:marBottom w:val="0"/>
          <w:divBdr>
            <w:top w:val="none" w:sz="0" w:space="0" w:color="auto"/>
            <w:left w:val="none" w:sz="0" w:space="0" w:color="auto"/>
            <w:bottom w:val="none" w:sz="0" w:space="0" w:color="auto"/>
            <w:right w:val="none" w:sz="0" w:space="0" w:color="auto"/>
          </w:divBdr>
        </w:div>
        <w:div w:id="970285896">
          <w:marLeft w:val="547"/>
          <w:marRight w:val="0"/>
          <w:marTop w:val="154"/>
          <w:marBottom w:val="0"/>
          <w:divBdr>
            <w:top w:val="none" w:sz="0" w:space="0" w:color="auto"/>
            <w:left w:val="none" w:sz="0" w:space="0" w:color="auto"/>
            <w:bottom w:val="none" w:sz="0" w:space="0" w:color="auto"/>
            <w:right w:val="none" w:sz="0" w:space="0" w:color="auto"/>
          </w:divBdr>
        </w:div>
        <w:div w:id="329259377">
          <w:marLeft w:val="547"/>
          <w:marRight w:val="0"/>
          <w:marTop w:val="154"/>
          <w:marBottom w:val="0"/>
          <w:divBdr>
            <w:top w:val="none" w:sz="0" w:space="0" w:color="auto"/>
            <w:left w:val="none" w:sz="0" w:space="0" w:color="auto"/>
            <w:bottom w:val="none" w:sz="0" w:space="0" w:color="auto"/>
            <w:right w:val="none" w:sz="0" w:space="0" w:color="auto"/>
          </w:divBdr>
        </w:div>
        <w:div w:id="1346832736">
          <w:marLeft w:val="547"/>
          <w:marRight w:val="0"/>
          <w:marTop w:val="154"/>
          <w:marBottom w:val="0"/>
          <w:divBdr>
            <w:top w:val="none" w:sz="0" w:space="0" w:color="auto"/>
            <w:left w:val="none" w:sz="0" w:space="0" w:color="auto"/>
            <w:bottom w:val="none" w:sz="0" w:space="0" w:color="auto"/>
            <w:right w:val="none" w:sz="0" w:space="0" w:color="auto"/>
          </w:divBdr>
        </w:div>
        <w:div w:id="1318412697">
          <w:marLeft w:val="547"/>
          <w:marRight w:val="0"/>
          <w:marTop w:val="154"/>
          <w:marBottom w:val="0"/>
          <w:divBdr>
            <w:top w:val="none" w:sz="0" w:space="0" w:color="auto"/>
            <w:left w:val="none" w:sz="0" w:space="0" w:color="auto"/>
            <w:bottom w:val="none" w:sz="0" w:space="0" w:color="auto"/>
            <w:right w:val="none" w:sz="0" w:space="0" w:color="auto"/>
          </w:divBdr>
        </w:div>
        <w:div w:id="1375085155">
          <w:marLeft w:val="1166"/>
          <w:marRight w:val="0"/>
          <w:marTop w:val="134"/>
          <w:marBottom w:val="0"/>
          <w:divBdr>
            <w:top w:val="none" w:sz="0" w:space="0" w:color="auto"/>
            <w:left w:val="none" w:sz="0" w:space="0" w:color="auto"/>
            <w:bottom w:val="none" w:sz="0" w:space="0" w:color="auto"/>
            <w:right w:val="none" w:sz="0" w:space="0" w:color="auto"/>
          </w:divBdr>
        </w:div>
        <w:div w:id="1765414080">
          <w:marLeft w:val="1166"/>
          <w:marRight w:val="0"/>
          <w:marTop w:val="134"/>
          <w:marBottom w:val="0"/>
          <w:divBdr>
            <w:top w:val="none" w:sz="0" w:space="0" w:color="auto"/>
            <w:left w:val="none" w:sz="0" w:space="0" w:color="auto"/>
            <w:bottom w:val="none" w:sz="0" w:space="0" w:color="auto"/>
            <w:right w:val="none" w:sz="0" w:space="0" w:color="auto"/>
          </w:divBdr>
        </w:div>
        <w:div w:id="994071505">
          <w:marLeft w:val="1166"/>
          <w:marRight w:val="0"/>
          <w:marTop w:val="134"/>
          <w:marBottom w:val="0"/>
          <w:divBdr>
            <w:top w:val="none" w:sz="0" w:space="0" w:color="auto"/>
            <w:left w:val="none" w:sz="0" w:space="0" w:color="auto"/>
            <w:bottom w:val="none" w:sz="0" w:space="0" w:color="auto"/>
            <w:right w:val="none" w:sz="0" w:space="0" w:color="auto"/>
          </w:divBdr>
        </w:div>
        <w:div w:id="1648314146">
          <w:marLeft w:val="547"/>
          <w:marRight w:val="0"/>
          <w:marTop w:val="154"/>
          <w:marBottom w:val="0"/>
          <w:divBdr>
            <w:top w:val="none" w:sz="0" w:space="0" w:color="auto"/>
            <w:left w:val="none" w:sz="0" w:space="0" w:color="auto"/>
            <w:bottom w:val="none" w:sz="0" w:space="0" w:color="auto"/>
            <w:right w:val="none" w:sz="0" w:space="0" w:color="auto"/>
          </w:divBdr>
        </w:div>
        <w:div w:id="753278025">
          <w:marLeft w:val="547"/>
          <w:marRight w:val="0"/>
          <w:marTop w:val="154"/>
          <w:marBottom w:val="0"/>
          <w:divBdr>
            <w:top w:val="none" w:sz="0" w:space="0" w:color="auto"/>
            <w:left w:val="none" w:sz="0" w:space="0" w:color="auto"/>
            <w:bottom w:val="none" w:sz="0" w:space="0" w:color="auto"/>
            <w:right w:val="none" w:sz="0" w:space="0" w:color="auto"/>
          </w:divBdr>
        </w:div>
        <w:div w:id="1651131974">
          <w:marLeft w:val="547"/>
          <w:marRight w:val="0"/>
          <w:marTop w:val="154"/>
          <w:marBottom w:val="0"/>
          <w:divBdr>
            <w:top w:val="none" w:sz="0" w:space="0" w:color="auto"/>
            <w:left w:val="none" w:sz="0" w:space="0" w:color="auto"/>
            <w:bottom w:val="none" w:sz="0" w:space="0" w:color="auto"/>
            <w:right w:val="none" w:sz="0" w:space="0" w:color="auto"/>
          </w:divBdr>
        </w:div>
        <w:div w:id="1050887613">
          <w:marLeft w:val="547"/>
          <w:marRight w:val="0"/>
          <w:marTop w:val="154"/>
          <w:marBottom w:val="0"/>
          <w:divBdr>
            <w:top w:val="none" w:sz="0" w:space="0" w:color="auto"/>
            <w:left w:val="none" w:sz="0" w:space="0" w:color="auto"/>
            <w:bottom w:val="none" w:sz="0" w:space="0" w:color="auto"/>
            <w:right w:val="none" w:sz="0" w:space="0" w:color="auto"/>
          </w:divBdr>
        </w:div>
        <w:div w:id="1117135941">
          <w:marLeft w:val="547"/>
          <w:marRight w:val="0"/>
          <w:marTop w:val="154"/>
          <w:marBottom w:val="0"/>
          <w:divBdr>
            <w:top w:val="none" w:sz="0" w:space="0" w:color="auto"/>
            <w:left w:val="none" w:sz="0" w:space="0" w:color="auto"/>
            <w:bottom w:val="none" w:sz="0" w:space="0" w:color="auto"/>
            <w:right w:val="none" w:sz="0" w:space="0" w:color="auto"/>
          </w:divBdr>
        </w:div>
        <w:div w:id="2053724645">
          <w:marLeft w:val="1166"/>
          <w:marRight w:val="0"/>
          <w:marTop w:val="134"/>
          <w:marBottom w:val="0"/>
          <w:divBdr>
            <w:top w:val="none" w:sz="0" w:space="0" w:color="auto"/>
            <w:left w:val="none" w:sz="0" w:space="0" w:color="auto"/>
            <w:bottom w:val="none" w:sz="0" w:space="0" w:color="auto"/>
            <w:right w:val="none" w:sz="0" w:space="0" w:color="auto"/>
          </w:divBdr>
        </w:div>
        <w:div w:id="1742946866">
          <w:marLeft w:val="547"/>
          <w:marRight w:val="0"/>
          <w:marTop w:val="154"/>
          <w:marBottom w:val="0"/>
          <w:divBdr>
            <w:top w:val="none" w:sz="0" w:space="0" w:color="auto"/>
            <w:left w:val="none" w:sz="0" w:space="0" w:color="auto"/>
            <w:bottom w:val="none" w:sz="0" w:space="0" w:color="auto"/>
            <w:right w:val="none" w:sz="0" w:space="0" w:color="auto"/>
          </w:divBdr>
        </w:div>
        <w:div w:id="774054383">
          <w:marLeft w:val="1166"/>
          <w:marRight w:val="0"/>
          <w:marTop w:val="134"/>
          <w:marBottom w:val="0"/>
          <w:divBdr>
            <w:top w:val="none" w:sz="0" w:space="0" w:color="auto"/>
            <w:left w:val="none" w:sz="0" w:space="0" w:color="auto"/>
            <w:bottom w:val="none" w:sz="0" w:space="0" w:color="auto"/>
            <w:right w:val="none" w:sz="0" w:space="0" w:color="auto"/>
          </w:divBdr>
        </w:div>
        <w:div w:id="1339162802">
          <w:marLeft w:val="1166"/>
          <w:marRight w:val="0"/>
          <w:marTop w:val="134"/>
          <w:marBottom w:val="0"/>
          <w:divBdr>
            <w:top w:val="none" w:sz="0" w:space="0" w:color="auto"/>
            <w:left w:val="none" w:sz="0" w:space="0" w:color="auto"/>
            <w:bottom w:val="none" w:sz="0" w:space="0" w:color="auto"/>
            <w:right w:val="none" w:sz="0" w:space="0" w:color="auto"/>
          </w:divBdr>
        </w:div>
        <w:div w:id="1031960591">
          <w:marLeft w:val="1166"/>
          <w:marRight w:val="0"/>
          <w:marTop w:val="134"/>
          <w:marBottom w:val="0"/>
          <w:divBdr>
            <w:top w:val="none" w:sz="0" w:space="0" w:color="auto"/>
            <w:left w:val="none" w:sz="0" w:space="0" w:color="auto"/>
            <w:bottom w:val="none" w:sz="0" w:space="0" w:color="auto"/>
            <w:right w:val="none" w:sz="0" w:space="0" w:color="auto"/>
          </w:divBdr>
        </w:div>
        <w:div w:id="638799468">
          <w:marLeft w:val="547"/>
          <w:marRight w:val="0"/>
          <w:marTop w:val="154"/>
          <w:marBottom w:val="0"/>
          <w:divBdr>
            <w:top w:val="none" w:sz="0" w:space="0" w:color="auto"/>
            <w:left w:val="none" w:sz="0" w:space="0" w:color="auto"/>
            <w:bottom w:val="none" w:sz="0" w:space="0" w:color="auto"/>
            <w:right w:val="none" w:sz="0" w:space="0" w:color="auto"/>
          </w:divBdr>
        </w:div>
        <w:div w:id="87964633">
          <w:marLeft w:val="547"/>
          <w:marRight w:val="0"/>
          <w:marTop w:val="154"/>
          <w:marBottom w:val="0"/>
          <w:divBdr>
            <w:top w:val="none" w:sz="0" w:space="0" w:color="auto"/>
            <w:left w:val="none" w:sz="0" w:space="0" w:color="auto"/>
            <w:bottom w:val="none" w:sz="0" w:space="0" w:color="auto"/>
            <w:right w:val="none" w:sz="0" w:space="0" w:color="auto"/>
          </w:divBdr>
        </w:div>
        <w:div w:id="1586453021">
          <w:marLeft w:val="547"/>
          <w:marRight w:val="0"/>
          <w:marTop w:val="154"/>
          <w:marBottom w:val="0"/>
          <w:divBdr>
            <w:top w:val="none" w:sz="0" w:space="0" w:color="auto"/>
            <w:left w:val="none" w:sz="0" w:space="0" w:color="auto"/>
            <w:bottom w:val="none" w:sz="0" w:space="0" w:color="auto"/>
            <w:right w:val="none" w:sz="0" w:space="0" w:color="auto"/>
          </w:divBdr>
        </w:div>
        <w:div w:id="2146584098">
          <w:marLeft w:val="1166"/>
          <w:marRight w:val="0"/>
          <w:marTop w:val="134"/>
          <w:marBottom w:val="0"/>
          <w:divBdr>
            <w:top w:val="none" w:sz="0" w:space="0" w:color="auto"/>
            <w:left w:val="none" w:sz="0" w:space="0" w:color="auto"/>
            <w:bottom w:val="none" w:sz="0" w:space="0" w:color="auto"/>
            <w:right w:val="none" w:sz="0" w:space="0" w:color="auto"/>
          </w:divBdr>
        </w:div>
        <w:div w:id="368385161">
          <w:marLeft w:val="1800"/>
          <w:marRight w:val="0"/>
          <w:marTop w:val="115"/>
          <w:marBottom w:val="0"/>
          <w:divBdr>
            <w:top w:val="none" w:sz="0" w:space="0" w:color="auto"/>
            <w:left w:val="none" w:sz="0" w:space="0" w:color="auto"/>
            <w:bottom w:val="none" w:sz="0" w:space="0" w:color="auto"/>
            <w:right w:val="none" w:sz="0" w:space="0" w:color="auto"/>
          </w:divBdr>
        </w:div>
        <w:div w:id="1782144067">
          <w:marLeft w:val="547"/>
          <w:marRight w:val="0"/>
          <w:marTop w:val="154"/>
          <w:marBottom w:val="0"/>
          <w:divBdr>
            <w:top w:val="none" w:sz="0" w:space="0" w:color="auto"/>
            <w:left w:val="none" w:sz="0" w:space="0" w:color="auto"/>
            <w:bottom w:val="none" w:sz="0" w:space="0" w:color="auto"/>
            <w:right w:val="none" w:sz="0" w:space="0" w:color="auto"/>
          </w:divBdr>
        </w:div>
        <w:div w:id="231815988">
          <w:marLeft w:val="1166"/>
          <w:marRight w:val="0"/>
          <w:marTop w:val="134"/>
          <w:marBottom w:val="0"/>
          <w:divBdr>
            <w:top w:val="none" w:sz="0" w:space="0" w:color="auto"/>
            <w:left w:val="none" w:sz="0" w:space="0" w:color="auto"/>
            <w:bottom w:val="none" w:sz="0" w:space="0" w:color="auto"/>
            <w:right w:val="none" w:sz="0" w:space="0" w:color="auto"/>
          </w:divBdr>
        </w:div>
        <w:div w:id="600646196">
          <w:marLeft w:val="1166"/>
          <w:marRight w:val="0"/>
          <w:marTop w:val="134"/>
          <w:marBottom w:val="0"/>
          <w:divBdr>
            <w:top w:val="none" w:sz="0" w:space="0" w:color="auto"/>
            <w:left w:val="none" w:sz="0" w:space="0" w:color="auto"/>
            <w:bottom w:val="none" w:sz="0" w:space="0" w:color="auto"/>
            <w:right w:val="none" w:sz="0" w:space="0" w:color="auto"/>
          </w:divBdr>
        </w:div>
        <w:div w:id="675233953">
          <w:marLeft w:val="547"/>
          <w:marRight w:val="0"/>
          <w:marTop w:val="154"/>
          <w:marBottom w:val="0"/>
          <w:divBdr>
            <w:top w:val="none" w:sz="0" w:space="0" w:color="auto"/>
            <w:left w:val="none" w:sz="0" w:space="0" w:color="auto"/>
            <w:bottom w:val="none" w:sz="0" w:space="0" w:color="auto"/>
            <w:right w:val="none" w:sz="0" w:space="0" w:color="auto"/>
          </w:divBdr>
        </w:div>
        <w:div w:id="1566337607">
          <w:marLeft w:val="1166"/>
          <w:marRight w:val="0"/>
          <w:marTop w:val="134"/>
          <w:marBottom w:val="0"/>
          <w:divBdr>
            <w:top w:val="none" w:sz="0" w:space="0" w:color="auto"/>
            <w:left w:val="none" w:sz="0" w:space="0" w:color="auto"/>
            <w:bottom w:val="none" w:sz="0" w:space="0" w:color="auto"/>
            <w:right w:val="none" w:sz="0" w:space="0" w:color="auto"/>
          </w:divBdr>
        </w:div>
        <w:div w:id="1153527187">
          <w:marLeft w:val="547"/>
          <w:marRight w:val="0"/>
          <w:marTop w:val="154"/>
          <w:marBottom w:val="0"/>
          <w:divBdr>
            <w:top w:val="none" w:sz="0" w:space="0" w:color="auto"/>
            <w:left w:val="none" w:sz="0" w:space="0" w:color="auto"/>
            <w:bottom w:val="none" w:sz="0" w:space="0" w:color="auto"/>
            <w:right w:val="none" w:sz="0" w:space="0" w:color="auto"/>
          </w:divBdr>
        </w:div>
        <w:div w:id="2114397804">
          <w:marLeft w:val="1166"/>
          <w:marRight w:val="0"/>
          <w:marTop w:val="134"/>
          <w:marBottom w:val="0"/>
          <w:divBdr>
            <w:top w:val="none" w:sz="0" w:space="0" w:color="auto"/>
            <w:left w:val="none" w:sz="0" w:space="0" w:color="auto"/>
            <w:bottom w:val="none" w:sz="0" w:space="0" w:color="auto"/>
            <w:right w:val="none" w:sz="0" w:space="0" w:color="auto"/>
          </w:divBdr>
        </w:div>
        <w:div w:id="630981993">
          <w:marLeft w:val="547"/>
          <w:marRight w:val="0"/>
          <w:marTop w:val="154"/>
          <w:marBottom w:val="0"/>
          <w:divBdr>
            <w:top w:val="none" w:sz="0" w:space="0" w:color="auto"/>
            <w:left w:val="none" w:sz="0" w:space="0" w:color="auto"/>
            <w:bottom w:val="none" w:sz="0" w:space="0" w:color="auto"/>
            <w:right w:val="none" w:sz="0" w:space="0" w:color="auto"/>
          </w:divBdr>
        </w:div>
        <w:div w:id="1796364321">
          <w:marLeft w:val="1166"/>
          <w:marRight w:val="0"/>
          <w:marTop w:val="134"/>
          <w:marBottom w:val="0"/>
          <w:divBdr>
            <w:top w:val="none" w:sz="0" w:space="0" w:color="auto"/>
            <w:left w:val="none" w:sz="0" w:space="0" w:color="auto"/>
            <w:bottom w:val="none" w:sz="0" w:space="0" w:color="auto"/>
            <w:right w:val="none" w:sz="0" w:space="0" w:color="auto"/>
          </w:divBdr>
        </w:div>
        <w:div w:id="516772706">
          <w:marLeft w:val="1800"/>
          <w:marRight w:val="0"/>
          <w:marTop w:val="115"/>
          <w:marBottom w:val="0"/>
          <w:divBdr>
            <w:top w:val="none" w:sz="0" w:space="0" w:color="auto"/>
            <w:left w:val="none" w:sz="0" w:space="0" w:color="auto"/>
            <w:bottom w:val="none" w:sz="0" w:space="0" w:color="auto"/>
            <w:right w:val="none" w:sz="0" w:space="0" w:color="auto"/>
          </w:divBdr>
        </w:div>
        <w:div w:id="1427654897">
          <w:marLeft w:val="1166"/>
          <w:marRight w:val="0"/>
          <w:marTop w:val="134"/>
          <w:marBottom w:val="0"/>
          <w:divBdr>
            <w:top w:val="none" w:sz="0" w:space="0" w:color="auto"/>
            <w:left w:val="none" w:sz="0" w:space="0" w:color="auto"/>
            <w:bottom w:val="none" w:sz="0" w:space="0" w:color="auto"/>
            <w:right w:val="none" w:sz="0" w:space="0" w:color="auto"/>
          </w:divBdr>
        </w:div>
        <w:div w:id="164251570">
          <w:marLeft w:val="547"/>
          <w:marRight w:val="0"/>
          <w:marTop w:val="154"/>
          <w:marBottom w:val="0"/>
          <w:divBdr>
            <w:top w:val="none" w:sz="0" w:space="0" w:color="auto"/>
            <w:left w:val="none" w:sz="0" w:space="0" w:color="auto"/>
            <w:bottom w:val="none" w:sz="0" w:space="0" w:color="auto"/>
            <w:right w:val="none" w:sz="0" w:space="0" w:color="auto"/>
          </w:divBdr>
        </w:div>
        <w:div w:id="1785536407">
          <w:marLeft w:val="547"/>
          <w:marRight w:val="0"/>
          <w:marTop w:val="154"/>
          <w:marBottom w:val="0"/>
          <w:divBdr>
            <w:top w:val="none" w:sz="0" w:space="0" w:color="auto"/>
            <w:left w:val="none" w:sz="0" w:space="0" w:color="auto"/>
            <w:bottom w:val="none" w:sz="0" w:space="0" w:color="auto"/>
            <w:right w:val="none" w:sz="0" w:space="0" w:color="auto"/>
          </w:divBdr>
        </w:div>
        <w:div w:id="1968463969">
          <w:marLeft w:val="1166"/>
          <w:marRight w:val="0"/>
          <w:marTop w:val="134"/>
          <w:marBottom w:val="0"/>
          <w:divBdr>
            <w:top w:val="none" w:sz="0" w:space="0" w:color="auto"/>
            <w:left w:val="none" w:sz="0" w:space="0" w:color="auto"/>
            <w:bottom w:val="none" w:sz="0" w:space="0" w:color="auto"/>
            <w:right w:val="none" w:sz="0" w:space="0" w:color="auto"/>
          </w:divBdr>
        </w:div>
        <w:div w:id="1078022649">
          <w:marLeft w:val="1166"/>
          <w:marRight w:val="0"/>
          <w:marTop w:val="134"/>
          <w:marBottom w:val="0"/>
          <w:divBdr>
            <w:top w:val="none" w:sz="0" w:space="0" w:color="auto"/>
            <w:left w:val="none" w:sz="0" w:space="0" w:color="auto"/>
            <w:bottom w:val="none" w:sz="0" w:space="0" w:color="auto"/>
            <w:right w:val="none" w:sz="0" w:space="0" w:color="auto"/>
          </w:divBdr>
        </w:div>
        <w:div w:id="1319384393">
          <w:marLeft w:val="1166"/>
          <w:marRight w:val="0"/>
          <w:marTop w:val="134"/>
          <w:marBottom w:val="0"/>
          <w:divBdr>
            <w:top w:val="none" w:sz="0" w:space="0" w:color="auto"/>
            <w:left w:val="none" w:sz="0" w:space="0" w:color="auto"/>
            <w:bottom w:val="none" w:sz="0" w:space="0" w:color="auto"/>
            <w:right w:val="none" w:sz="0" w:space="0" w:color="auto"/>
          </w:divBdr>
        </w:div>
        <w:div w:id="349335999">
          <w:marLeft w:val="1800"/>
          <w:marRight w:val="0"/>
          <w:marTop w:val="115"/>
          <w:marBottom w:val="0"/>
          <w:divBdr>
            <w:top w:val="none" w:sz="0" w:space="0" w:color="auto"/>
            <w:left w:val="none" w:sz="0" w:space="0" w:color="auto"/>
            <w:bottom w:val="none" w:sz="0" w:space="0" w:color="auto"/>
            <w:right w:val="none" w:sz="0" w:space="0" w:color="auto"/>
          </w:divBdr>
        </w:div>
        <w:div w:id="1416853798">
          <w:marLeft w:val="547"/>
          <w:marRight w:val="0"/>
          <w:marTop w:val="154"/>
          <w:marBottom w:val="0"/>
          <w:divBdr>
            <w:top w:val="none" w:sz="0" w:space="0" w:color="auto"/>
            <w:left w:val="none" w:sz="0" w:space="0" w:color="auto"/>
            <w:bottom w:val="none" w:sz="0" w:space="0" w:color="auto"/>
            <w:right w:val="none" w:sz="0" w:space="0" w:color="auto"/>
          </w:divBdr>
        </w:div>
        <w:div w:id="829714903">
          <w:marLeft w:val="1166"/>
          <w:marRight w:val="0"/>
          <w:marTop w:val="134"/>
          <w:marBottom w:val="0"/>
          <w:divBdr>
            <w:top w:val="none" w:sz="0" w:space="0" w:color="auto"/>
            <w:left w:val="none" w:sz="0" w:space="0" w:color="auto"/>
            <w:bottom w:val="none" w:sz="0" w:space="0" w:color="auto"/>
            <w:right w:val="none" w:sz="0" w:space="0" w:color="auto"/>
          </w:divBdr>
        </w:div>
        <w:div w:id="2108694001">
          <w:marLeft w:val="547"/>
          <w:marRight w:val="0"/>
          <w:marTop w:val="154"/>
          <w:marBottom w:val="0"/>
          <w:divBdr>
            <w:top w:val="none" w:sz="0" w:space="0" w:color="auto"/>
            <w:left w:val="none" w:sz="0" w:space="0" w:color="auto"/>
            <w:bottom w:val="none" w:sz="0" w:space="0" w:color="auto"/>
            <w:right w:val="none" w:sz="0" w:space="0" w:color="auto"/>
          </w:divBdr>
        </w:div>
        <w:div w:id="1420172823">
          <w:marLeft w:val="1166"/>
          <w:marRight w:val="0"/>
          <w:marTop w:val="134"/>
          <w:marBottom w:val="0"/>
          <w:divBdr>
            <w:top w:val="none" w:sz="0" w:space="0" w:color="auto"/>
            <w:left w:val="none" w:sz="0" w:space="0" w:color="auto"/>
            <w:bottom w:val="none" w:sz="0" w:space="0" w:color="auto"/>
            <w:right w:val="none" w:sz="0" w:space="0" w:color="auto"/>
          </w:divBdr>
        </w:div>
        <w:div w:id="482085214">
          <w:marLeft w:val="547"/>
          <w:marRight w:val="0"/>
          <w:marTop w:val="154"/>
          <w:marBottom w:val="0"/>
          <w:divBdr>
            <w:top w:val="none" w:sz="0" w:space="0" w:color="auto"/>
            <w:left w:val="none" w:sz="0" w:space="0" w:color="auto"/>
            <w:bottom w:val="none" w:sz="0" w:space="0" w:color="auto"/>
            <w:right w:val="none" w:sz="0" w:space="0" w:color="auto"/>
          </w:divBdr>
        </w:div>
        <w:div w:id="1344237420">
          <w:marLeft w:val="1166"/>
          <w:marRight w:val="0"/>
          <w:marTop w:val="134"/>
          <w:marBottom w:val="0"/>
          <w:divBdr>
            <w:top w:val="none" w:sz="0" w:space="0" w:color="auto"/>
            <w:left w:val="none" w:sz="0" w:space="0" w:color="auto"/>
            <w:bottom w:val="none" w:sz="0" w:space="0" w:color="auto"/>
            <w:right w:val="none" w:sz="0" w:space="0" w:color="auto"/>
          </w:divBdr>
        </w:div>
        <w:div w:id="130370189">
          <w:marLeft w:val="547"/>
          <w:marRight w:val="0"/>
          <w:marTop w:val="154"/>
          <w:marBottom w:val="0"/>
          <w:divBdr>
            <w:top w:val="none" w:sz="0" w:space="0" w:color="auto"/>
            <w:left w:val="none" w:sz="0" w:space="0" w:color="auto"/>
            <w:bottom w:val="none" w:sz="0" w:space="0" w:color="auto"/>
            <w:right w:val="none" w:sz="0" w:space="0" w:color="auto"/>
          </w:divBdr>
        </w:div>
        <w:div w:id="1224675592">
          <w:marLeft w:val="547"/>
          <w:marRight w:val="0"/>
          <w:marTop w:val="134"/>
          <w:marBottom w:val="0"/>
          <w:divBdr>
            <w:top w:val="none" w:sz="0" w:space="0" w:color="auto"/>
            <w:left w:val="none" w:sz="0" w:space="0" w:color="auto"/>
            <w:bottom w:val="none" w:sz="0" w:space="0" w:color="auto"/>
            <w:right w:val="none" w:sz="0" w:space="0" w:color="auto"/>
          </w:divBdr>
        </w:div>
        <w:div w:id="1206257571">
          <w:marLeft w:val="1166"/>
          <w:marRight w:val="0"/>
          <w:marTop w:val="96"/>
          <w:marBottom w:val="0"/>
          <w:divBdr>
            <w:top w:val="none" w:sz="0" w:space="0" w:color="auto"/>
            <w:left w:val="none" w:sz="0" w:space="0" w:color="auto"/>
            <w:bottom w:val="none" w:sz="0" w:space="0" w:color="auto"/>
            <w:right w:val="none" w:sz="0" w:space="0" w:color="auto"/>
          </w:divBdr>
        </w:div>
        <w:div w:id="1393967702">
          <w:marLeft w:val="547"/>
          <w:marRight w:val="0"/>
          <w:marTop w:val="134"/>
          <w:marBottom w:val="0"/>
          <w:divBdr>
            <w:top w:val="none" w:sz="0" w:space="0" w:color="auto"/>
            <w:left w:val="none" w:sz="0" w:space="0" w:color="auto"/>
            <w:bottom w:val="none" w:sz="0" w:space="0" w:color="auto"/>
            <w:right w:val="none" w:sz="0" w:space="0" w:color="auto"/>
          </w:divBdr>
        </w:div>
        <w:div w:id="1505243025">
          <w:marLeft w:val="1166"/>
          <w:marRight w:val="0"/>
          <w:marTop w:val="96"/>
          <w:marBottom w:val="0"/>
          <w:divBdr>
            <w:top w:val="none" w:sz="0" w:space="0" w:color="auto"/>
            <w:left w:val="none" w:sz="0" w:space="0" w:color="auto"/>
            <w:bottom w:val="none" w:sz="0" w:space="0" w:color="auto"/>
            <w:right w:val="none" w:sz="0" w:space="0" w:color="auto"/>
          </w:divBdr>
        </w:div>
        <w:div w:id="1079594347">
          <w:marLeft w:val="547"/>
          <w:marRight w:val="0"/>
          <w:marTop w:val="154"/>
          <w:marBottom w:val="0"/>
          <w:divBdr>
            <w:top w:val="none" w:sz="0" w:space="0" w:color="auto"/>
            <w:left w:val="none" w:sz="0" w:space="0" w:color="auto"/>
            <w:bottom w:val="none" w:sz="0" w:space="0" w:color="auto"/>
            <w:right w:val="none" w:sz="0" w:space="0" w:color="auto"/>
          </w:divBdr>
        </w:div>
        <w:div w:id="1695687576">
          <w:marLeft w:val="547"/>
          <w:marRight w:val="0"/>
          <w:marTop w:val="154"/>
          <w:marBottom w:val="0"/>
          <w:divBdr>
            <w:top w:val="none" w:sz="0" w:space="0" w:color="auto"/>
            <w:left w:val="none" w:sz="0" w:space="0" w:color="auto"/>
            <w:bottom w:val="none" w:sz="0" w:space="0" w:color="auto"/>
            <w:right w:val="none" w:sz="0" w:space="0" w:color="auto"/>
          </w:divBdr>
        </w:div>
        <w:div w:id="697395797">
          <w:marLeft w:val="1166"/>
          <w:marRight w:val="0"/>
          <w:marTop w:val="134"/>
          <w:marBottom w:val="0"/>
          <w:divBdr>
            <w:top w:val="none" w:sz="0" w:space="0" w:color="auto"/>
            <w:left w:val="none" w:sz="0" w:space="0" w:color="auto"/>
            <w:bottom w:val="none" w:sz="0" w:space="0" w:color="auto"/>
            <w:right w:val="none" w:sz="0" w:space="0" w:color="auto"/>
          </w:divBdr>
        </w:div>
        <w:div w:id="1130055427">
          <w:marLeft w:val="1800"/>
          <w:marRight w:val="0"/>
          <w:marTop w:val="115"/>
          <w:marBottom w:val="0"/>
          <w:divBdr>
            <w:top w:val="none" w:sz="0" w:space="0" w:color="auto"/>
            <w:left w:val="none" w:sz="0" w:space="0" w:color="auto"/>
            <w:bottom w:val="none" w:sz="0" w:space="0" w:color="auto"/>
            <w:right w:val="none" w:sz="0" w:space="0" w:color="auto"/>
          </w:divBdr>
        </w:div>
        <w:div w:id="108622676">
          <w:marLeft w:val="547"/>
          <w:marRight w:val="0"/>
          <w:marTop w:val="154"/>
          <w:marBottom w:val="0"/>
          <w:divBdr>
            <w:top w:val="none" w:sz="0" w:space="0" w:color="auto"/>
            <w:left w:val="none" w:sz="0" w:space="0" w:color="auto"/>
            <w:bottom w:val="none" w:sz="0" w:space="0" w:color="auto"/>
            <w:right w:val="none" w:sz="0" w:space="0" w:color="auto"/>
          </w:divBdr>
        </w:div>
        <w:div w:id="340357781">
          <w:marLeft w:val="1166"/>
          <w:marRight w:val="0"/>
          <w:marTop w:val="134"/>
          <w:marBottom w:val="0"/>
          <w:divBdr>
            <w:top w:val="none" w:sz="0" w:space="0" w:color="auto"/>
            <w:left w:val="none" w:sz="0" w:space="0" w:color="auto"/>
            <w:bottom w:val="none" w:sz="0" w:space="0" w:color="auto"/>
            <w:right w:val="none" w:sz="0" w:space="0" w:color="auto"/>
          </w:divBdr>
        </w:div>
        <w:div w:id="728697226">
          <w:marLeft w:val="1166"/>
          <w:marRight w:val="0"/>
          <w:marTop w:val="134"/>
          <w:marBottom w:val="0"/>
          <w:divBdr>
            <w:top w:val="none" w:sz="0" w:space="0" w:color="auto"/>
            <w:left w:val="none" w:sz="0" w:space="0" w:color="auto"/>
            <w:bottom w:val="none" w:sz="0" w:space="0" w:color="auto"/>
            <w:right w:val="none" w:sz="0" w:space="0" w:color="auto"/>
          </w:divBdr>
        </w:div>
        <w:div w:id="1267346049">
          <w:marLeft w:val="1800"/>
          <w:marRight w:val="0"/>
          <w:marTop w:val="115"/>
          <w:marBottom w:val="0"/>
          <w:divBdr>
            <w:top w:val="none" w:sz="0" w:space="0" w:color="auto"/>
            <w:left w:val="none" w:sz="0" w:space="0" w:color="auto"/>
            <w:bottom w:val="none" w:sz="0" w:space="0" w:color="auto"/>
            <w:right w:val="none" w:sz="0" w:space="0" w:color="auto"/>
          </w:divBdr>
        </w:div>
        <w:div w:id="2012221808">
          <w:marLeft w:val="1800"/>
          <w:marRight w:val="0"/>
          <w:marTop w:val="115"/>
          <w:marBottom w:val="0"/>
          <w:divBdr>
            <w:top w:val="none" w:sz="0" w:space="0" w:color="auto"/>
            <w:left w:val="none" w:sz="0" w:space="0" w:color="auto"/>
            <w:bottom w:val="none" w:sz="0" w:space="0" w:color="auto"/>
            <w:right w:val="none" w:sz="0" w:space="0" w:color="auto"/>
          </w:divBdr>
        </w:div>
        <w:div w:id="1055155470">
          <w:marLeft w:val="1800"/>
          <w:marRight w:val="0"/>
          <w:marTop w:val="115"/>
          <w:marBottom w:val="0"/>
          <w:divBdr>
            <w:top w:val="none" w:sz="0" w:space="0" w:color="auto"/>
            <w:left w:val="none" w:sz="0" w:space="0" w:color="auto"/>
            <w:bottom w:val="none" w:sz="0" w:space="0" w:color="auto"/>
            <w:right w:val="none" w:sz="0" w:space="0" w:color="auto"/>
          </w:divBdr>
        </w:div>
        <w:div w:id="1180854483">
          <w:marLeft w:val="1166"/>
          <w:marRight w:val="0"/>
          <w:marTop w:val="134"/>
          <w:marBottom w:val="0"/>
          <w:divBdr>
            <w:top w:val="none" w:sz="0" w:space="0" w:color="auto"/>
            <w:left w:val="none" w:sz="0" w:space="0" w:color="auto"/>
            <w:bottom w:val="none" w:sz="0" w:space="0" w:color="auto"/>
            <w:right w:val="none" w:sz="0" w:space="0" w:color="auto"/>
          </w:divBdr>
        </w:div>
        <w:div w:id="1854341487">
          <w:marLeft w:val="547"/>
          <w:marRight w:val="0"/>
          <w:marTop w:val="154"/>
          <w:marBottom w:val="0"/>
          <w:divBdr>
            <w:top w:val="none" w:sz="0" w:space="0" w:color="auto"/>
            <w:left w:val="none" w:sz="0" w:space="0" w:color="auto"/>
            <w:bottom w:val="none" w:sz="0" w:space="0" w:color="auto"/>
            <w:right w:val="none" w:sz="0" w:space="0" w:color="auto"/>
          </w:divBdr>
        </w:div>
        <w:div w:id="1975911472">
          <w:marLeft w:val="1166"/>
          <w:marRight w:val="0"/>
          <w:marTop w:val="134"/>
          <w:marBottom w:val="0"/>
          <w:divBdr>
            <w:top w:val="none" w:sz="0" w:space="0" w:color="auto"/>
            <w:left w:val="none" w:sz="0" w:space="0" w:color="auto"/>
            <w:bottom w:val="none" w:sz="0" w:space="0" w:color="auto"/>
            <w:right w:val="none" w:sz="0" w:space="0" w:color="auto"/>
          </w:divBdr>
        </w:div>
        <w:div w:id="1940985250">
          <w:marLeft w:val="547"/>
          <w:marRight w:val="0"/>
          <w:marTop w:val="154"/>
          <w:marBottom w:val="0"/>
          <w:divBdr>
            <w:top w:val="none" w:sz="0" w:space="0" w:color="auto"/>
            <w:left w:val="none" w:sz="0" w:space="0" w:color="auto"/>
            <w:bottom w:val="none" w:sz="0" w:space="0" w:color="auto"/>
            <w:right w:val="none" w:sz="0" w:space="0" w:color="auto"/>
          </w:divBdr>
        </w:div>
        <w:div w:id="278874158">
          <w:marLeft w:val="1166"/>
          <w:marRight w:val="0"/>
          <w:marTop w:val="134"/>
          <w:marBottom w:val="0"/>
          <w:divBdr>
            <w:top w:val="none" w:sz="0" w:space="0" w:color="auto"/>
            <w:left w:val="none" w:sz="0" w:space="0" w:color="auto"/>
            <w:bottom w:val="none" w:sz="0" w:space="0" w:color="auto"/>
            <w:right w:val="none" w:sz="0" w:space="0" w:color="auto"/>
          </w:divBdr>
        </w:div>
        <w:div w:id="1885407290">
          <w:marLeft w:val="547"/>
          <w:marRight w:val="0"/>
          <w:marTop w:val="154"/>
          <w:marBottom w:val="0"/>
          <w:divBdr>
            <w:top w:val="none" w:sz="0" w:space="0" w:color="auto"/>
            <w:left w:val="none" w:sz="0" w:space="0" w:color="auto"/>
            <w:bottom w:val="none" w:sz="0" w:space="0" w:color="auto"/>
            <w:right w:val="none" w:sz="0" w:space="0" w:color="auto"/>
          </w:divBdr>
        </w:div>
        <w:div w:id="459418395">
          <w:marLeft w:val="547"/>
          <w:marRight w:val="0"/>
          <w:marTop w:val="154"/>
          <w:marBottom w:val="0"/>
          <w:divBdr>
            <w:top w:val="none" w:sz="0" w:space="0" w:color="auto"/>
            <w:left w:val="none" w:sz="0" w:space="0" w:color="auto"/>
            <w:bottom w:val="none" w:sz="0" w:space="0" w:color="auto"/>
            <w:right w:val="none" w:sz="0" w:space="0" w:color="auto"/>
          </w:divBdr>
        </w:div>
        <w:div w:id="862283308">
          <w:marLeft w:val="547"/>
          <w:marRight w:val="0"/>
          <w:marTop w:val="154"/>
          <w:marBottom w:val="0"/>
          <w:divBdr>
            <w:top w:val="none" w:sz="0" w:space="0" w:color="auto"/>
            <w:left w:val="none" w:sz="0" w:space="0" w:color="auto"/>
            <w:bottom w:val="none" w:sz="0" w:space="0" w:color="auto"/>
            <w:right w:val="none" w:sz="0" w:space="0" w:color="auto"/>
          </w:divBdr>
        </w:div>
        <w:div w:id="1557816724">
          <w:marLeft w:val="547"/>
          <w:marRight w:val="0"/>
          <w:marTop w:val="154"/>
          <w:marBottom w:val="0"/>
          <w:divBdr>
            <w:top w:val="none" w:sz="0" w:space="0" w:color="auto"/>
            <w:left w:val="none" w:sz="0" w:space="0" w:color="auto"/>
            <w:bottom w:val="none" w:sz="0" w:space="0" w:color="auto"/>
            <w:right w:val="none" w:sz="0" w:space="0" w:color="auto"/>
          </w:divBdr>
        </w:div>
        <w:div w:id="863858233">
          <w:marLeft w:val="547"/>
          <w:marRight w:val="0"/>
          <w:marTop w:val="154"/>
          <w:marBottom w:val="0"/>
          <w:divBdr>
            <w:top w:val="none" w:sz="0" w:space="0" w:color="auto"/>
            <w:left w:val="none" w:sz="0" w:space="0" w:color="auto"/>
            <w:bottom w:val="none" w:sz="0" w:space="0" w:color="auto"/>
            <w:right w:val="none" w:sz="0" w:space="0" w:color="auto"/>
          </w:divBdr>
        </w:div>
        <w:div w:id="577324235">
          <w:marLeft w:val="547"/>
          <w:marRight w:val="0"/>
          <w:marTop w:val="154"/>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glossary.oilfield.slb.com/Terms/k/kill.aspx" TargetMode="External"/><Relationship Id="rId4" Type="http://schemas.openxmlformats.org/officeDocument/2006/relationships/hyperlink" Target="http://www.amsa.gov.au/Marine_Environment_Protection/Major_Oil_Spills_in_Australia/" TargetMode="External"/><Relationship Id="rId5" Type="http://schemas.openxmlformats.org/officeDocument/2006/relationships/hyperlink" Target="http://www.amsa.gov.au/Marine_Environment_Protection/Major_Oil_Spills_in_Australia/Montara_Wellhead/index.asp" TargetMode="External"/><Relationship Id="rId6" Type="http://schemas.openxmlformats.org/officeDocument/2006/relationships/hyperlink" Target="https://www.theguardian.com/world/2016/aug/02/indonesia-seaweed-farmers-class-action-timor-sea-montara-oil-spill-2009-australia" TargetMode="External"/><Relationship Id="rId7" Type="http://schemas.openxmlformats.org/officeDocument/2006/relationships/hyperlink" Target="http://ocean.si.edu/gulf-oil-spill" TargetMode="External"/><Relationship Id="rId1" Type="http://schemas.openxmlformats.org/officeDocument/2006/relationships/hyperlink" Target="mailto:thunter@abdn.ac.uk" TargetMode="External"/><Relationship Id="rId2" Type="http://schemas.openxmlformats.org/officeDocument/2006/relationships/hyperlink" Target="http://www.ptil.no/articles-in-safety-status-and-signals-2012-2013/ekofisk-bravo-1977-article9121-109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2753</Words>
  <Characters>14787</Characters>
  <Application>Microsoft Macintosh Word</Application>
  <DocSecurity>0</DocSecurity>
  <Lines>238</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17504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HUNTER-SCHULZ</dc:creator>
  <cp:lastModifiedBy>Tina Hunter</cp:lastModifiedBy>
  <cp:revision>3</cp:revision>
  <dcterms:created xsi:type="dcterms:W3CDTF">2018-05-03T11:10:00Z</dcterms:created>
  <dcterms:modified xsi:type="dcterms:W3CDTF">2018-05-03T11:10:00Z</dcterms:modified>
</cp:coreProperties>
</file>