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089B2" w14:textId="77777777" w:rsidR="00CE1D74" w:rsidRPr="00CE1D74" w:rsidRDefault="00CE1D74" w:rsidP="00CE1D74">
      <w:pPr>
        <w:spacing w:line="259" w:lineRule="auto"/>
        <w:jc w:val="center"/>
        <w:rPr>
          <w:b/>
          <w:bCs/>
          <w:sz w:val="28"/>
          <w:szCs w:val="28"/>
        </w:rPr>
      </w:pPr>
      <w:r w:rsidRPr="00CE1D74">
        <w:rPr>
          <w:b/>
          <w:bCs/>
          <w:sz w:val="28"/>
          <w:szCs w:val="28"/>
        </w:rPr>
        <w:t>REGENERATIVE OR JUST GOOD HUSBANDRY?</w:t>
      </w:r>
    </w:p>
    <w:p w14:paraId="72F4FFE6" w14:textId="5BEF40F0" w:rsidR="00D70571" w:rsidRPr="00CE1D74" w:rsidRDefault="00CE1D74" w:rsidP="00CE1D74">
      <w:pPr>
        <w:spacing w:line="259" w:lineRule="auto"/>
        <w:jc w:val="center"/>
        <w:rPr>
          <w:b/>
          <w:bCs/>
          <w:sz w:val="28"/>
          <w:szCs w:val="28"/>
        </w:rPr>
      </w:pPr>
      <w:r w:rsidRPr="00CE1D74">
        <w:rPr>
          <w:b/>
          <w:bCs/>
          <w:sz w:val="28"/>
          <w:szCs w:val="28"/>
        </w:rPr>
        <w:t>Adoption challenges in large-scale Scottish arable and root-crop farming</w:t>
      </w:r>
    </w:p>
    <w:p w14:paraId="014C429D" w14:textId="77777777" w:rsidR="00CE1D74" w:rsidRDefault="00CE1D74" w:rsidP="00CE1D74"/>
    <w:p w14:paraId="66CFFF26" w14:textId="64629C2C" w:rsidR="00CE1D74" w:rsidRPr="00CE1D74" w:rsidRDefault="00CE1D74" w:rsidP="00CE1D74">
      <w:pPr>
        <w:jc w:val="center"/>
        <w:rPr>
          <w:b/>
          <w:bCs/>
        </w:rPr>
      </w:pPr>
      <w:r w:rsidRPr="00CE1D74">
        <w:rPr>
          <w:b/>
          <w:bCs/>
        </w:rPr>
        <w:t>Jayne Emery</w:t>
      </w:r>
    </w:p>
    <w:p w14:paraId="572D92BA" w14:textId="65E69D6D" w:rsidR="00CE1D74" w:rsidRDefault="00CE1D74" w:rsidP="00CE1D74">
      <w:pPr>
        <w:jc w:val="center"/>
      </w:pPr>
      <w:r>
        <w:t>September 2026</w:t>
      </w:r>
    </w:p>
    <w:p w14:paraId="31866888" w14:textId="77777777" w:rsidR="00CE1D74" w:rsidRDefault="00CE1D74" w:rsidP="00CE1D74"/>
    <w:p w14:paraId="62417D62" w14:textId="77777777" w:rsidR="00CE1D74" w:rsidRDefault="00CE1D74" w:rsidP="00CE1D7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1F4E79"/>
          <w:kern w:val="0"/>
          <w:sz w:val="28"/>
          <w:szCs w:val="28"/>
        </w:rPr>
      </w:pPr>
      <w:r>
        <w:rPr>
          <w:rFonts w:ascii="CIDFont+F2" w:hAnsi="CIDFont+F2" w:cs="CIDFont+F2"/>
          <w:color w:val="1F4E79"/>
          <w:kern w:val="0"/>
          <w:sz w:val="28"/>
          <w:szCs w:val="28"/>
        </w:rPr>
        <w:t>ABSTRACT</w:t>
      </w:r>
    </w:p>
    <w:p w14:paraId="52872490" w14:textId="77777777" w:rsidR="00CE1D74" w:rsidRDefault="00CE1D74" w:rsidP="00CE1D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3BF6F885" w14:textId="43C40881" w:rsidR="00CE1D74" w:rsidRDefault="00CE1D74" w:rsidP="00CE1D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This dissertation examines whether regenerative agriculture represents a distinct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shift beyond traditional good husbandry practices within medium to large-scale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Scottish arable and root-crop farming systems and explores the factors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influencing its adoption. An interpretivist qualitative approach was adopted,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combining eight semi-structured interviews with participants representing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approximately 40,000 acres across eastern and south-eastern Scotland.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Interview data was analysed using reflexive thematic analysis and triangulated</w:t>
      </w:r>
    </w:p>
    <w:p w14:paraId="02D6C9FB" w14:textId="77777777" w:rsidR="00CE1D74" w:rsidRDefault="00CE1D74" w:rsidP="00CE1D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with policy, industry and supply-chain documentation.</w:t>
      </w:r>
      <w:r>
        <w:rPr>
          <w:rFonts w:ascii="CIDFont+F1" w:hAnsi="CIDFont+F1" w:cs="CIDFont+F1"/>
          <w:color w:val="000000"/>
          <w:kern w:val="0"/>
        </w:rPr>
        <w:t xml:space="preserve"> </w:t>
      </w:r>
    </w:p>
    <w:p w14:paraId="357BE6EB" w14:textId="77777777" w:rsidR="00CE1D74" w:rsidRDefault="00CE1D74" w:rsidP="00CE1D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2E6B78AF" w14:textId="77777777" w:rsidR="00CE1D74" w:rsidRDefault="00CE1D74" w:rsidP="00CE1D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  <w:r>
        <w:rPr>
          <w:rFonts w:ascii="CIDFont+F1" w:hAnsi="CIDFont+F1" w:cs="CIDFont+F1"/>
          <w:color w:val="000000"/>
          <w:kern w:val="0"/>
        </w:rPr>
        <w:t>The analysis indicates no single agreed definition of regenerative agriculture.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Most participants viewed it as an evolution of existing good husbandry rather than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a fundamentally new farming system. Adoption was shaped primarily by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profitability, climate, labour, machinery and operational constraints but was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underpinned by a commitment to responsible land stewardship and business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resilience. Root-crop production presented a key challenge because unavoidable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soil disturbance conflicted with some regenerative principles, leading participants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to favour rotational and outcome-based interpretations.</w:t>
      </w:r>
      <w:r>
        <w:rPr>
          <w:rFonts w:ascii="CIDFont+F1" w:hAnsi="CIDFont+F1" w:cs="CIDFont+F1"/>
          <w:color w:val="000000"/>
          <w:kern w:val="0"/>
        </w:rPr>
        <w:t xml:space="preserve"> </w:t>
      </w:r>
    </w:p>
    <w:p w14:paraId="16A1189D" w14:textId="77777777" w:rsidR="00CE1D74" w:rsidRDefault="00CE1D74" w:rsidP="00CE1D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</w:rPr>
      </w:pPr>
    </w:p>
    <w:p w14:paraId="1937A533" w14:textId="6C01A844" w:rsidR="00CE1D74" w:rsidRDefault="00CE1D74" w:rsidP="00CE1D74">
      <w:pPr>
        <w:autoSpaceDE w:val="0"/>
        <w:autoSpaceDN w:val="0"/>
        <w:adjustRightInd w:val="0"/>
        <w:spacing w:after="0" w:line="240" w:lineRule="auto"/>
      </w:pPr>
      <w:r>
        <w:rPr>
          <w:rFonts w:ascii="CIDFont+F1" w:hAnsi="CIDFont+F1" w:cs="CIDFont+F1"/>
          <w:color w:val="000000"/>
          <w:kern w:val="0"/>
        </w:rPr>
        <w:t>Participants placed greatest trust in locally generated evidence, including soil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monitoring, field observations and on-farm trials. The study concludes that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regenerative agriculture is functioning as a framework for reporting and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accountability, driven by policy and supply-chain requirements. Its significance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lies in the growing expectation that stewardship can be evidenced, measured and</w:t>
      </w:r>
      <w:r>
        <w:rPr>
          <w:rFonts w:ascii="CIDFont+F1" w:hAnsi="CIDFont+F1" w:cs="CIDFont+F1"/>
          <w:color w:val="000000"/>
          <w:kern w:val="0"/>
        </w:rPr>
        <w:t xml:space="preserve"> </w:t>
      </w:r>
      <w:r>
        <w:rPr>
          <w:rFonts w:ascii="CIDFont+F1" w:hAnsi="CIDFont+F1" w:cs="CIDFont+F1"/>
          <w:color w:val="000000"/>
          <w:kern w:val="0"/>
        </w:rPr>
        <w:t>rewarded equitably.</w:t>
      </w:r>
    </w:p>
    <w:sectPr w:rsidR="00CE1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74"/>
    <w:rsid w:val="006E3000"/>
    <w:rsid w:val="00CE1D74"/>
    <w:rsid w:val="00D5728E"/>
    <w:rsid w:val="00D70571"/>
    <w:rsid w:val="00E0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D9E29"/>
  <w15:chartTrackingRefBased/>
  <w15:docId w15:val="{7A0A6B4E-9224-41BD-90C4-422E92A4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D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Company>University of Aberdeen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Prager, Katrin</dc:creator>
  <cp:keywords/>
  <dc:description/>
  <cp:lastModifiedBy>Prager, Katrin</cp:lastModifiedBy>
  <cp:revision>1</cp:revision>
  <dcterms:created xsi:type="dcterms:W3CDTF">2026-10-22T07:32:00Z</dcterms:created>
  <dcterms:modified xsi:type="dcterms:W3CDTF">2026-10-22T07:34:00Z</dcterms:modified>
</cp:coreProperties>
</file>