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08C2" w:rsidRDefault="00CC25EE" w:rsidP="005C4048">
      <w:pPr>
        <w:jc w:val="center"/>
        <w:rPr>
          <w:b/>
          <w:sz w:val="36"/>
          <w:szCs w:val="36"/>
        </w:rPr>
      </w:pPr>
      <w:r w:rsidRPr="005C4048">
        <w:rPr>
          <w:b/>
          <w:sz w:val="36"/>
          <w:szCs w:val="36"/>
        </w:rPr>
        <w:t>IODP 370 T-Limits Post Cruise Meeting</w:t>
      </w:r>
      <w:r w:rsidR="003608C2">
        <w:rPr>
          <w:b/>
          <w:sz w:val="36"/>
          <w:szCs w:val="36"/>
        </w:rPr>
        <w:t>,</w:t>
      </w:r>
      <w:r w:rsidRPr="005C4048">
        <w:rPr>
          <w:b/>
          <w:sz w:val="36"/>
          <w:szCs w:val="36"/>
        </w:rPr>
        <w:t xml:space="preserve"> </w:t>
      </w:r>
    </w:p>
    <w:p w:rsidR="00CC25EE" w:rsidRDefault="00CC25EE" w:rsidP="005C4048">
      <w:pPr>
        <w:jc w:val="center"/>
        <w:rPr>
          <w:b/>
          <w:sz w:val="36"/>
          <w:szCs w:val="36"/>
        </w:rPr>
      </w:pPr>
      <w:r w:rsidRPr="005C4048">
        <w:rPr>
          <w:b/>
          <w:sz w:val="36"/>
          <w:szCs w:val="36"/>
        </w:rPr>
        <w:t>Field Trip</w:t>
      </w:r>
      <w:r w:rsidR="003608C2">
        <w:rPr>
          <w:b/>
          <w:sz w:val="36"/>
          <w:szCs w:val="36"/>
        </w:rPr>
        <w:t xml:space="preserve">, </w:t>
      </w:r>
      <w:r>
        <w:rPr>
          <w:b/>
          <w:sz w:val="36"/>
          <w:szCs w:val="36"/>
        </w:rPr>
        <w:t xml:space="preserve">NW Highlands </w:t>
      </w:r>
    </w:p>
    <w:p w:rsidR="00CC25EE" w:rsidRPr="00C9259D" w:rsidRDefault="00CC25EE" w:rsidP="005C4048">
      <w:pPr>
        <w:jc w:val="center"/>
        <w:rPr>
          <w:b/>
          <w:sz w:val="28"/>
          <w:szCs w:val="28"/>
        </w:rPr>
      </w:pPr>
      <w:r>
        <w:rPr>
          <w:b/>
          <w:sz w:val="28"/>
          <w:szCs w:val="28"/>
        </w:rPr>
        <w:t>4</w:t>
      </w:r>
      <w:r w:rsidRPr="00C9259D">
        <w:rPr>
          <w:b/>
          <w:sz w:val="28"/>
          <w:szCs w:val="28"/>
          <w:vertAlign w:val="superscript"/>
        </w:rPr>
        <w:t>th</w:t>
      </w:r>
      <w:r>
        <w:rPr>
          <w:b/>
          <w:sz w:val="28"/>
          <w:szCs w:val="28"/>
        </w:rPr>
        <w:t xml:space="preserve"> to 7</w:t>
      </w:r>
      <w:r w:rsidRPr="00C9259D">
        <w:rPr>
          <w:b/>
          <w:sz w:val="28"/>
          <w:szCs w:val="28"/>
          <w:vertAlign w:val="superscript"/>
        </w:rPr>
        <w:t>th</w:t>
      </w:r>
      <w:r>
        <w:rPr>
          <w:b/>
          <w:sz w:val="28"/>
          <w:szCs w:val="28"/>
        </w:rPr>
        <w:t xml:space="preserve"> June 2018</w:t>
      </w:r>
    </w:p>
    <w:p w:rsidR="00CC25EE" w:rsidRDefault="001F7F09" w:rsidP="005C4048">
      <w:pPr>
        <w:jc w:val="center"/>
        <w:rPr>
          <w:b/>
        </w:rPr>
      </w:pPr>
      <w:r>
        <w:rPr>
          <w:b/>
          <w:noProof/>
          <w:lang w:eastAsia="en-GB"/>
        </w:rPr>
        <w:drawing>
          <wp:inline distT="0" distB="0" distL="0" distR="0">
            <wp:extent cx="5114925" cy="3371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114925" cy="3371850"/>
                    </a:xfrm>
                    <a:prstGeom prst="rect">
                      <a:avLst/>
                    </a:prstGeom>
                    <a:noFill/>
                    <a:ln>
                      <a:noFill/>
                    </a:ln>
                  </pic:spPr>
                </pic:pic>
              </a:graphicData>
            </a:graphic>
          </wp:inline>
        </w:drawing>
      </w:r>
      <w:r w:rsidR="00CC25EE" w:rsidRPr="005C4048">
        <w:rPr>
          <w:b/>
        </w:rPr>
        <w:t xml:space="preserve"> </w:t>
      </w:r>
    </w:p>
    <w:p w:rsidR="00CC25EE" w:rsidRDefault="00CC25EE" w:rsidP="005C4048">
      <w:pPr>
        <w:jc w:val="center"/>
        <w:rPr>
          <w:b/>
          <w:i/>
        </w:rPr>
      </w:pPr>
      <w:r w:rsidRPr="005C4048">
        <w:rPr>
          <w:b/>
          <w:i/>
        </w:rPr>
        <w:t>Photo ISS-NASA</w:t>
      </w:r>
    </w:p>
    <w:p w:rsidR="00CC25EE" w:rsidRDefault="00CC25EE" w:rsidP="005C4048">
      <w:pPr>
        <w:jc w:val="center"/>
        <w:rPr>
          <w:b/>
          <w:i/>
        </w:rPr>
      </w:pPr>
    </w:p>
    <w:p w:rsidR="00CC25EE" w:rsidRDefault="00CC25EE" w:rsidP="00E265FF"/>
    <w:p w:rsidR="00CC25EE" w:rsidRDefault="001F7F09" w:rsidP="00E265FF">
      <w:r>
        <w:rPr>
          <w:noProof/>
          <w:lang w:eastAsia="en-GB"/>
        </w:rPr>
        <w:drawing>
          <wp:inline distT="0" distB="0" distL="0" distR="0">
            <wp:extent cx="4229100" cy="1076325"/>
            <wp:effectExtent l="0" t="0" r="0" b="0"/>
            <wp:docPr id="2" name="Picture 2" descr="https://s14-eu5.startpage.com/cgi-bin/serveimage?url=http%3A%2F%2Ft0.gstatic.com%2Fimages%3Fq%3Dtbn%3AANd9GcTa3aZjH9tGo0W-GCeCg6Gwv2a8ygHLRDxG1gg57VilHlFGnndh&amp;sp=1ebf10de7292279a42e1d791faddf4b7&amp;anticache=64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14-eu5.startpage.com/cgi-bin/serveimage?url=http%3A%2F%2Ft0.gstatic.com%2Fimages%3Fq%3Dtbn%3AANd9GcTa3aZjH9tGo0W-GCeCg6Gwv2a8ygHLRDxG1gg57VilHlFGnndh&amp;sp=1ebf10de7292279a42e1d791faddf4b7&amp;anticache=64655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229100" cy="1076325"/>
                    </a:xfrm>
                    <a:prstGeom prst="rect">
                      <a:avLst/>
                    </a:prstGeom>
                    <a:noFill/>
                    <a:ln>
                      <a:noFill/>
                    </a:ln>
                  </pic:spPr>
                </pic:pic>
              </a:graphicData>
            </a:graphic>
          </wp:inline>
        </w:drawing>
      </w:r>
    </w:p>
    <w:tbl>
      <w:tblPr>
        <w:tblStyle w:val="TableGrid"/>
        <w:tblpPr w:leftFromText="180" w:rightFromText="180" w:vertAnchor="text" w:horzAnchor="page" w:tblpX="5365" w:tblpY="11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400"/>
      </w:tblGrid>
      <w:tr w:rsidR="00CC25EE" w:rsidRPr="00E265FF" w:rsidTr="003A419A">
        <w:trPr>
          <w:trHeight w:val="409"/>
        </w:trPr>
        <w:tc>
          <w:tcPr>
            <w:tcW w:w="5400" w:type="dxa"/>
          </w:tcPr>
          <w:p w:rsidR="00CC25EE" w:rsidRPr="00E265FF" w:rsidRDefault="00CC25EE" w:rsidP="00E265FF">
            <w:pPr>
              <w:rPr>
                <w:sz w:val="18"/>
                <w:szCs w:val="18"/>
              </w:rPr>
            </w:pPr>
            <w:r w:rsidRPr="00E265FF">
              <w:rPr>
                <w:sz w:val="18"/>
                <w:szCs w:val="18"/>
              </w:rPr>
              <w:t>Prepared</w:t>
            </w:r>
            <w:r>
              <w:rPr>
                <w:sz w:val="18"/>
                <w:szCs w:val="18"/>
              </w:rPr>
              <w:t xml:space="preserve"> and led</w:t>
            </w:r>
            <w:r w:rsidRPr="00E265FF">
              <w:rPr>
                <w:sz w:val="18"/>
                <w:szCs w:val="18"/>
              </w:rPr>
              <w:t xml:space="preserve"> by Stephen A. Bowden </w:t>
            </w:r>
          </w:p>
        </w:tc>
      </w:tr>
      <w:tr w:rsidR="00CC25EE" w:rsidRPr="00E265FF" w:rsidTr="003A419A">
        <w:trPr>
          <w:trHeight w:val="427"/>
        </w:trPr>
        <w:tc>
          <w:tcPr>
            <w:tcW w:w="5400" w:type="dxa"/>
          </w:tcPr>
          <w:p w:rsidR="00CC25EE" w:rsidRPr="00E265FF" w:rsidRDefault="00CC25EE" w:rsidP="00E265FF">
            <w:pPr>
              <w:rPr>
                <w:sz w:val="18"/>
                <w:szCs w:val="18"/>
              </w:rPr>
            </w:pPr>
            <w:r w:rsidRPr="00E265FF">
              <w:rPr>
                <w:sz w:val="18"/>
                <w:szCs w:val="18"/>
              </w:rPr>
              <w:t xml:space="preserve">Field leaders:  Alison  J. Wright – </w:t>
            </w:r>
            <w:r>
              <w:rPr>
                <w:sz w:val="18"/>
                <w:szCs w:val="18"/>
              </w:rPr>
              <w:t>H</w:t>
            </w:r>
            <w:r w:rsidRPr="00E265FF">
              <w:rPr>
                <w:sz w:val="18"/>
                <w:szCs w:val="18"/>
              </w:rPr>
              <w:t>ighland Geological Society</w:t>
            </w:r>
            <w:r>
              <w:rPr>
                <w:sz w:val="18"/>
                <w:szCs w:val="18"/>
              </w:rPr>
              <w:t xml:space="preserve"> &amp;</w:t>
            </w:r>
            <w:r w:rsidRPr="00E265FF">
              <w:rPr>
                <w:sz w:val="18"/>
                <w:szCs w:val="18"/>
              </w:rPr>
              <w:t xml:space="preserve"> Donald Stewart </w:t>
            </w:r>
            <w:r>
              <w:rPr>
                <w:sz w:val="18"/>
                <w:szCs w:val="18"/>
              </w:rPr>
              <w:t>–</w:t>
            </w:r>
            <w:r w:rsidRPr="00E265FF">
              <w:rPr>
                <w:sz w:val="18"/>
                <w:szCs w:val="18"/>
              </w:rPr>
              <w:t xml:space="preserve"> </w:t>
            </w:r>
            <w:r>
              <w:rPr>
                <w:sz w:val="18"/>
                <w:szCs w:val="18"/>
              </w:rPr>
              <w:t>Aberdeen Geological Society</w:t>
            </w:r>
          </w:p>
        </w:tc>
      </w:tr>
      <w:tr w:rsidR="00CC25EE" w:rsidRPr="00E265FF" w:rsidTr="003A419A">
        <w:trPr>
          <w:trHeight w:val="409"/>
        </w:trPr>
        <w:tc>
          <w:tcPr>
            <w:tcW w:w="5400" w:type="dxa"/>
          </w:tcPr>
          <w:p w:rsidR="00CC25EE" w:rsidRPr="00E265FF" w:rsidRDefault="00CC25EE" w:rsidP="00E265FF">
            <w:pPr>
              <w:rPr>
                <w:sz w:val="18"/>
                <w:szCs w:val="18"/>
              </w:rPr>
            </w:pPr>
            <w:r w:rsidRPr="00E265FF">
              <w:rPr>
                <w:sz w:val="18"/>
                <w:szCs w:val="18"/>
              </w:rPr>
              <w:t>Contributions from</w:t>
            </w:r>
            <w:r>
              <w:rPr>
                <w:sz w:val="18"/>
                <w:szCs w:val="18"/>
              </w:rPr>
              <w:t>:</w:t>
            </w:r>
            <w:r w:rsidRPr="00E265FF">
              <w:rPr>
                <w:sz w:val="18"/>
                <w:szCs w:val="18"/>
              </w:rPr>
              <w:t xml:space="preserve"> Yazuru Yamamoto, Satoshi Toni, Man-Yi</w:t>
            </w:r>
            <w:r>
              <w:rPr>
                <w:sz w:val="18"/>
                <w:szCs w:val="18"/>
              </w:rPr>
              <w:t>n Tsang</w:t>
            </w:r>
            <w:r w:rsidR="003608C2">
              <w:rPr>
                <w:sz w:val="18"/>
                <w:szCs w:val="18"/>
              </w:rPr>
              <w:t>, Kiho Yang</w:t>
            </w:r>
            <w:r>
              <w:rPr>
                <w:sz w:val="18"/>
                <w:szCs w:val="18"/>
              </w:rPr>
              <w:t xml:space="preserve"> – core logging team during IODP 370</w:t>
            </w:r>
          </w:p>
        </w:tc>
      </w:tr>
      <w:tr w:rsidR="00CC25EE" w:rsidRPr="00E265FF" w:rsidTr="003A419A">
        <w:trPr>
          <w:trHeight w:val="427"/>
        </w:trPr>
        <w:tc>
          <w:tcPr>
            <w:tcW w:w="5400" w:type="dxa"/>
          </w:tcPr>
          <w:p w:rsidR="00CC25EE" w:rsidRPr="00E265FF" w:rsidRDefault="00CC25EE" w:rsidP="00E265FF">
            <w:pPr>
              <w:rPr>
                <w:sz w:val="18"/>
                <w:szCs w:val="18"/>
              </w:rPr>
            </w:pPr>
          </w:p>
        </w:tc>
      </w:tr>
    </w:tbl>
    <w:p w:rsidR="00CC25EE" w:rsidRDefault="001F7F09" w:rsidP="00E265FF">
      <w:r>
        <w:rPr>
          <w:noProof/>
          <w:lang w:eastAsia="en-GB"/>
        </w:rPr>
        <w:drawing>
          <wp:inline distT="0" distB="0" distL="0" distR="0">
            <wp:extent cx="2352675" cy="23526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a:noFill/>
                    </a:ln>
                  </pic:spPr>
                </pic:pic>
              </a:graphicData>
            </a:graphic>
          </wp:inline>
        </w:drawing>
      </w:r>
    </w:p>
    <w:p w:rsidR="00CC25EE" w:rsidRPr="00E42E37" w:rsidRDefault="00CC25EE" w:rsidP="00E265FF">
      <w:pPr>
        <w:rPr>
          <w:b/>
        </w:rPr>
      </w:pPr>
      <w:bookmarkStart w:id="0" w:name="_GoBack"/>
      <w:bookmarkEnd w:id="0"/>
      <w:r>
        <w:rPr>
          <w:b/>
        </w:rPr>
        <w:br w:type="page"/>
      </w:r>
      <w:r w:rsidRPr="00E42E37">
        <w:rPr>
          <w:b/>
        </w:rPr>
        <w:lastRenderedPageBreak/>
        <w:t>A One Page Geolog</w:t>
      </w:r>
      <w:r>
        <w:rPr>
          <w:b/>
        </w:rPr>
        <w:t xml:space="preserve">y </w:t>
      </w:r>
      <w:r w:rsidRPr="00E42E37">
        <w:rPr>
          <w:b/>
        </w:rPr>
        <w:t xml:space="preserve">of the NW </w:t>
      </w:r>
      <w:smartTag w:uri="urn:schemas-microsoft-com:office:smarttags" w:element="place">
        <w:r w:rsidRPr="00E42E37">
          <w:rPr>
            <w:b/>
          </w:rPr>
          <w:t>Highlands</w:t>
        </w:r>
      </w:smartTag>
    </w:p>
    <w:p w:rsidR="00CC25EE" w:rsidRPr="00DD4BB1" w:rsidRDefault="00CC25EE">
      <w:pPr>
        <w:rPr>
          <w:b/>
        </w:rPr>
      </w:pPr>
      <w:r w:rsidRPr="00DD4BB1">
        <w:rPr>
          <w:b/>
        </w:rPr>
        <w:t>Lewisian</w:t>
      </w:r>
    </w:p>
    <w:p w:rsidR="00CC25EE" w:rsidRDefault="00CC25EE">
      <w:r>
        <w:t xml:space="preserve">A long history of structure deformation, volcanic activity and metamorphism formed  a crystalline basement of gneisses that date to 3.1 to 2.7 </w:t>
      </w:r>
      <w:smartTag w:uri="urn:schemas-microsoft-com:office:smarttags" w:element="place">
        <w:smartTag w:uri="urn:schemas-microsoft-com:office:smarttags" w:element="State">
          <w:r>
            <w:t>Ga.</w:t>
          </w:r>
        </w:smartTag>
      </w:smartTag>
      <w:r>
        <w:t xml:space="preserve"> These are termed the Lew</w:t>
      </w:r>
      <w:r w:rsidR="001F7F09">
        <w:t>i</w:t>
      </w:r>
      <w:r>
        <w:t xml:space="preserve">sian, after the Isle of Lewis. The </w:t>
      </w:r>
      <w:r w:rsidR="001F7F09">
        <w:t>gneisses</w:t>
      </w:r>
      <w:r>
        <w:t xml:space="preserve"> vary in their extent of deformation, and evidence different periods of intrusion with basic Scourie dykes dated to about 2.3 Ga, and younger less deformed pegmatite dykes (granitic) dated to 1.7 Ga.</w:t>
      </w:r>
    </w:p>
    <w:p w:rsidR="00CC25EE" w:rsidRPr="00DD4BB1" w:rsidRDefault="00CC25EE">
      <w:pPr>
        <w:rPr>
          <w:b/>
        </w:rPr>
      </w:pPr>
      <w:r w:rsidRPr="00DD4BB1">
        <w:rPr>
          <w:b/>
        </w:rPr>
        <w:t>Torridonian</w:t>
      </w:r>
    </w:p>
    <w:p w:rsidR="00CC25EE" w:rsidRDefault="00CC25EE">
      <w:r>
        <w:t>The Torridonian comprises three sedimentary successions with unconformities or time-gaps between each, and with marked unconformity on the Lewisian Basement beneath. The Torridon</w:t>
      </w:r>
      <w:r w:rsidR="001F7F09">
        <w:t>i</w:t>
      </w:r>
      <w:r>
        <w:t>an itself Is divided into the Stoer Group, and then the Diabaig and Applecross formations. The Stoer Group itself is notably older 1.2-1.1 Ga than the rest of the Torridon</w:t>
      </w:r>
      <w:r w:rsidR="001F7F09">
        <w:t>ian</w:t>
      </w:r>
      <w:r>
        <w:t xml:space="preserve"> group ~0.8 Ga. The Torridonian Group is typically held to have been deposited as part of a continental succession – but geochemical evidence contrary to this emerges from time to time. </w:t>
      </w:r>
    </w:p>
    <w:p w:rsidR="00CC25EE" w:rsidRPr="00DD4BB1" w:rsidRDefault="00CC25EE">
      <w:pPr>
        <w:rPr>
          <w:b/>
        </w:rPr>
      </w:pPr>
      <w:smartTag w:uri="urn:schemas-microsoft-com:office:smarttags" w:element="place">
        <w:r w:rsidRPr="00DD4BB1">
          <w:rPr>
            <w:b/>
          </w:rPr>
          <w:t>Lower Palaeozoic</w:t>
        </w:r>
      </w:smartTag>
    </w:p>
    <w:p w:rsidR="00CC25EE" w:rsidRDefault="00CC25EE">
      <w:r>
        <w:t xml:space="preserve">The Lower </w:t>
      </w:r>
      <w:r w:rsidR="001F7F09">
        <w:t>Palaeozoic</w:t>
      </w:r>
      <w:r>
        <w:t xml:space="preserve"> is marine in character and unconformably overlies both the Torridonian and the Lewisian. The lower-most unit is the basal quartzite (a simple white quartzite- with occasional stylolites) ~ 560 Ma in age. This passes up into the pipe rock (Cambrian in age). The pipe rock is also a quartzite, but has </w:t>
      </w:r>
      <w:r w:rsidRPr="00F25B3D">
        <w:rPr>
          <w:i/>
        </w:rPr>
        <w:t>Skolithus</w:t>
      </w:r>
      <w:r>
        <w:t xml:space="preserve"> burrows. These are vertical trace fossils 15-25 cm in length and 1.5 to 3 cm diameter. They give the pipe rock a speckled appearance. The two units are combined into the Eribol</w:t>
      </w:r>
      <w:r w:rsidR="001F7F09">
        <w:t>l</w:t>
      </w:r>
      <w:r>
        <w:t xml:space="preserve"> formation.</w:t>
      </w:r>
    </w:p>
    <w:p w:rsidR="00CC25EE" w:rsidRDefault="00CC25EE">
      <w:r>
        <w:t xml:space="preserve">Above the pipe rock is the fucoid beds. These are dolomitic siltstones. They have a wavy or mottled appearance, caused by the mixing of grey mud and orange dolomitic siltstones. This mottled colour is interpreted as </w:t>
      </w:r>
      <w:r w:rsidRPr="00B75E0F">
        <w:rPr>
          <w:i/>
        </w:rPr>
        <w:t>Cruziana</w:t>
      </w:r>
      <w:r>
        <w:t xml:space="preserve"> (burrows) and </w:t>
      </w:r>
      <w:r w:rsidRPr="00B75E0F">
        <w:rPr>
          <w:i/>
        </w:rPr>
        <w:t>Rusphyc</w:t>
      </w:r>
      <w:r>
        <w:rPr>
          <w:i/>
        </w:rPr>
        <w:t>u</w:t>
      </w:r>
      <w:r w:rsidRPr="00B75E0F">
        <w:rPr>
          <w:i/>
        </w:rPr>
        <w:t>s</w:t>
      </w:r>
      <w:r>
        <w:t xml:space="preserve"> (resting) – trace fossils for </w:t>
      </w:r>
      <w:r w:rsidR="001F7F09">
        <w:t>arthropods</w:t>
      </w:r>
      <w:r>
        <w:t xml:space="preserve"> (e.g. </w:t>
      </w:r>
      <w:r w:rsidR="001F7F09">
        <w:t>Trilobites</w:t>
      </w:r>
      <w:r>
        <w:t xml:space="preserve">). Above the fucoid beds are the </w:t>
      </w:r>
      <w:r w:rsidRPr="00287A80">
        <w:rPr>
          <w:i/>
        </w:rPr>
        <w:t>Salterella</w:t>
      </w:r>
      <w:r>
        <w:t xml:space="preserve"> grits. These are </w:t>
      </w:r>
      <w:r w:rsidR="001F7F09">
        <w:t>coarse-grained</w:t>
      </w:r>
      <w:r>
        <w:t xml:space="preserve"> muddy sandstones, some units contain </w:t>
      </w:r>
      <w:r w:rsidRPr="00287A80">
        <w:rPr>
          <w:i/>
        </w:rPr>
        <w:t>Salterella</w:t>
      </w:r>
      <w:r>
        <w:t xml:space="preserve"> – a small helically coiled Gastropod. </w:t>
      </w:r>
    </w:p>
    <w:p w:rsidR="00CC25EE" w:rsidRDefault="00CC25EE">
      <w:r>
        <w:t>Above the Salterella Grits is the Du</w:t>
      </w:r>
      <w:r w:rsidR="001F7F09">
        <w:t>r</w:t>
      </w:r>
      <w:r>
        <w:t>ness Limestone. The Du</w:t>
      </w:r>
      <w:r w:rsidR="001F7F09">
        <w:t>r</w:t>
      </w:r>
      <w:r>
        <w:t xml:space="preserve">ness Limestone is an informal name for </w:t>
      </w:r>
      <w:r w:rsidR="001F7F09">
        <w:t>lithologically</w:t>
      </w:r>
      <w:r>
        <w:t xml:space="preserve"> varied unit that ranges from </w:t>
      </w:r>
      <w:r w:rsidR="001F7F09">
        <w:t>Cambrian</w:t>
      </w:r>
      <w:r>
        <w:t xml:space="preserve"> to Ordovician. Parts of the Durness </w:t>
      </w:r>
      <w:r w:rsidR="001F7F09">
        <w:t>Limestone</w:t>
      </w:r>
      <w:r>
        <w:t xml:space="preserve"> are heavily dolomitised, others contain chert-nodule horizons. The succession is part of a Laurentian carbonate sequence that spans the </w:t>
      </w:r>
      <w:smartTag w:uri="urn:schemas-microsoft-com:office:smarttags" w:element="country-region">
        <w:r>
          <w:t>USA</w:t>
        </w:r>
      </w:smartTag>
      <w:r>
        <w:t xml:space="preserve">, </w:t>
      </w:r>
      <w:smartTag w:uri="urn:schemas-microsoft-com:office:smarttags" w:element="country-region">
        <w:r>
          <w:t>Canada</w:t>
        </w:r>
      </w:smartTag>
      <w:r>
        <w:t xml:space="preserve"> and </w:t>
      </w:r>
      <w:smartTag w:uri="urn:schemas-microsoft-com:office:smarttags" w:element="place">
        <w:r>
          <w:t>Greenland</w:t>
        </w:r>
      </w:smartTag>
      <w:r>
        <w:t xml:space="preserve">. In these other places it ranges from Cambrian to Devonian in age. In </w:t>
      </w:r>
      <w:smartTag w:uri="urn:schemas-microsoft-com:office:smarttags" w:element="place">
        <w:smartTag w:uri="urn:schemas-microsoft-com:office:smarttags" w:element="country-region">
          <w:r>
            <w:t>Scotland</w:t>
          </w:r>
        </w:smartTag>
      </w:smartTag>
      <w:r>
        <w:t xml:space="preserve"> these younger units are missing and the top of the succession is </w:t>
      </w:r>
      <w:r w:rsidR="001F7F09">
        <w:t>terminated</w:t>
      </w:r>
      <w:r>
        <w:t xml:space="preserve"> by the Moine thrust.</w:t>
      </w:r>
    </w:p>
    <w:p w:rsidR="00CC25EE" w:rsidRPr="00DD4BB1" w:rsidRDefault="00CC25EE">
      <w:pPr>
        <w:rPr>
          <w:b/>
        </w:rPr>
      </w:pPr>
      <w:r w:rsidRPr="00DD4BB1">
        <w:rPr>
          <w:b/>
        </w:rPr>
        <w:t>The Moine Thrust Zone and Moine Schists</w:t>
      </w:r>
    </w:p>
    <w:p w:rsidR="00CC25EE" w:rsidRDefault="00CC25EE">
      <w:r>
        <w:t xml:space="preserve">The Moine comprises metamorphosed Neoproterozoic sediments (psamites – metamorphosed sandstones) and covers most of the central highlands to the East of the </w:t>
      </w:r>
      <w:r w:rsidR="001F7F09">
        <w:t>M</w:t>
      </w:r>
      <w:r>
        <w:t xml:space="preserve">oine-thrust. Within the vicinity of the </w:t>
      </w:r>
      <w:r w:rsidR="001F7F09">
        <w:t>Moine</w:t>
      </w:r>
      <w:r>
        <w:t xml:space="preserve"> </w:t>
      </w:r>
      <w:r w:rsidR="001F7F09">
        <w:t>T</w:t>
      </w:r>
      <w:r>
        <w:t xml:space="preserve">hrust distinct metamorphic fabrics are present. These include flaggy-cleavage or other lineations that give the impression of bedding, and also the formation of mylonites – fine grained, banded rocks with occasional porphyroclasts (clasts of Lewisian). </w:t>
      </w:r>
    </w:p>
    <w:p w:rsidR="00CC25EE" w:rsidRDefault="00CC25EE">
      <w:r w:rsidRPr="00E42E37">
        <w:rPr>
          <w:b/>
        </w:rPr>
        <w:t>Grenvillian Orogeny</w:t>
      </w:r>
      <w:r>
        <w:t>: 1.2 – 0.9 Ga – Timewise, between Stoer and upper Torridonian groups.</w:t>
      </w:r>
    </w:p>
    <w:p w:rsidR="00CC25EE" w:rsidRDefault="00CC25EE">
      <w:r w:rsidRPr="00E42E37">
        <w:rPr>
          <w:b/>
        </w:rPr>
        <w:t>Caledonian Orogeny</w:t>
      </w:r>
      <w:r>
        <w:t xml:space="preserve">: 490–390 Ma led to the development of the Moine Thrust and emplacement of the Moine-Schist over the younger </w:t>
      </w:r>
      <w:smartTag w:uri="urn:schemas-microsoft-com:office:smarttags" w:element="place">
        <w:r>
          <w:t>Lower Palaeozoic</w:t>
        </w:r>
      </w:smartTag>
      <w:r>
        <w:t>.</w:t>
      </w:r>
    </w:p>
    <w:p w:rsidR="00CC25EE" w:rsidRDefault="00CC25EE">
      <w:r>
        <w:br w:type="page"/>
      </w:r>
      <w:r w:rsidRPr="00116A7A">
        <w:lastRenderedPageBreak/>
        <w:t xml:space="preserve"> </w:t>
      </w:r>
    </w:p>
    <w:tbl>
      <w:tblPr>
        <w:tblW w:w="0" w:type="auto"/>
        <w:tblLook w:val="00A0" w:firstRow="1" w:lastRow="0" w:firstColumn="1" w:lastColumn="0" w:noHBand="0" w:noVBand="0"/>
      </w:tblPr>
      <w:tblGrid>
        <w:gridCol w:w="4486"/>
        <w:gridCol w:w="4540"/>
      </w:tblGrid>
      <w:tr w:rsidR="00CC25EE" w:rsidTr="00AC3BE9">
        <w:tc>
          <w:tcPr>
            <w:tcW w:w="4621" w:type="dxa"/>
          </w:tcPr>
          <w:p w:rsidR="00CC25EE" w:rsidRDefault="001F7F09">
            <w:r>
              <w:rPr>
                <w:noProof/>
                <w:lang w:eastAsia="en-GB"/>
              </w:rPr>
              <w:drawing>
                <wp:inline distT="0" distB="0" distL="0" distR="0">
                  <wp:extent cx="2403539" cy="35337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l="2045" t="876" b="3235"/>
                          <a:stretch>
                            <a:fillRect/>
                          </a:stretch>
                        </pic:blipFill>
                        <pic:spPr bwMode="auto">
                          <a:xfrm>
                            <a:off x="0" y="0"/>
                            <a:ext cx="2411516" cy="3545503"/>
                          </a:xfrm>
                          <a:prstGeom prst="rect">
                            <a:avLst/>
                          </a:prstGeom>
                          <a:noFill/>
                          <a:ln>
                            <a:noFill/>
                          </a:ln>
                        </pic:spPr>
                      </pic:pic>
                    </a:graphicData>
                  </a:graphic>
                </wp:inline>
              </w:drawing>
            </w:r>
          </w:p>
        </w:tc>
        <w:tc>
          <w:tcPr>
            <w:tcW w:w="4621" w:type="dxa"/>
          </w:tcPr>
          <w:p w:rsidR="00CC25EE" w:rsidRDefault="001F7F09">
            <w:r>
              <w:rPr>
                <w:noProof/>
                <w:lang w:eastAsia="en-GB"/>
              </w:rPr>
              <w:drawing>
                <wp:inline distT="0" distB="0" distL="0" distR="0">
                  <wp:extent cx="2562225" cy="36671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a:off x="0" y="0"/>
                            <a:ext cx="2562225" cy="3667125"/>
                          </a:xfrm>
                          <a:prstGeom prst="rect">
                            <a:avLst/>
                          </a:prstGeom>
                          <a:noFill/>
                          <a:ln>
                            <a:noFill/>
                          </a:ln>
                        </pic:spPr>
                      </pic:pic>
                    </a:graphicData>
                  </a:graphic>
                </wp:inline>
              </w:drawing>
            </w:r>
          </w:p>
        </w:tc>
      </w:tr>
    </w:tbl>
    <w:p w:rsidR="00CC25EE" w:rsidRDefault="00CC25EE">
      <w:r>
        <w:t>Figure 1. Geological Map and Stratigraphic column taken from Goodenough and Krabbendam (2011)</w:t>
      </w:r>
    </w:p>
    <w:p w:rsidR="00CC25EE" w:rsidRDefault="00CC25EE">
      <w:pPr>
        <w:rPr>
          <w:b/>
        </w:rPr>
      </w:pPr>
      <w:r>
        <w:br w:type="page"/>
      </w:r>
      <w:r w:rsidRPr="00EC35E4">
        <w:rPr>
          <w:b/>
        </w:rPr>
        <w:lastRenderedPageBreak/>
        <w:t>House Keeping and Other Information</w:t>
      </w:r>
    </w:p>
    <w:p w:rsidR="00CC25EE" w:rsidRDefault="00CC25EE">
      <w:r>
        <w:t>The trip runs from 4</w:t>
      </w:r>
      <w:r w:rsidRPr="00EC35E4">
        <w:rPr>
          <w:vertAlign w:val="superscript"/>
        </w:rPr>
        <w:t>th</w:t>
      </w:r>
      <w:r>
        <w:t xml:space="preserve"> to 7</w:t>
      </w:r>
      <w:r w:rsidRPr="00EC35E4">
        <w:rPr>
          <w:vertAlign w:val="superscript"/>
        </w:rPr>
        <w:t>th</w:t>
      </w:r>
      <w:r>
        <w:t xml:space="preserve"> June. During the </w:t>
      </w:r>
      <w:proofErr w:type="gramStart"/>
      <w:r>
        <w:t>trip</w:t>
      </w:r>
      <w:proofErr w:type="gramEnd"/>
      <w:r>
        <w:t xml:space="preserve"> you should be prepared for rain</w:t>
      </w:r>
      <w:r w:rsidR="00AB318A">
        <w:t xml:space="preserve"> and</w:t>
      </w:r>
      <w:r>
        <w:t xml:space="preserve"> wind</w:t>
      </w:r>
      <w:r w:rsidR="00AB318A">
        <w:t>,</w:t>
      </w:r>
      <w:r>
        <w:t xml:space="preserve"> and wet</w:t>
      </w:r>
      <w:r w:rsidR="00AB318A">
        <w:t xml:space="preserve"> and</w:t>
      </w:r>
      <w:r>
        <w:t xml:space="preserve"> unstable ground. You should carry with you in a small backpack a spare jumper, a sunhat and </w:t>
      </w:r>
      <w:r w:rsidR="001F7F09">
        <w:t>sun cream</w:t>
      </w:r>
      <w:r>
        <w:t xml:space="preserve">, a </w:t>
      </w:r>
      <w:r w:rsidR="001F7F09">
        <w:t>windbreaker</w:t>
      </w:r>
      <w:r>
        <w:t xml:space="preserve"> or other light water proof coat</w:t>
      </w:r>
      <w:r w:rsidR="00AB318A">
        <w:t>. Bring</w:t>
      </w:r>
      <w:r>
        <w:t xml:space="preserve"> </w:t>
      </w:r>
      <w:r w:rsidR="00AB318A">
        <w:t xml:space="preserve">a little </w:t>
      </w:r>
      <w:r>
        <w:t xml:space="preserve">water and small amount of food. You will also want a small water proof bag in which to keep small electronic equipment. Your </w:t>
      </w:r>
      <w:r w:rsidR="001F7F09">
        <w:t>footwear</w:t>
      </w:r>
      <w:r>
        <w:t xml:space="preserve"> needs to help you walk all day, help you walk safely on rock-outcrops and protect your feet. Most people will choose hiking boots. I would also suggest brin</w:t>
      </w:r>
      <w:r w:rsidR="00AB318A">
        <w:t>g</w:t>
      </w:r>
      <w:r>
        <w:t>ing with you a small flask for a hot drink,</w:t>
      </w:r>
    </w:p>
    <w:p w:rsidR="00CC25EE" w:rsidRDefault="00CC25EE">
      <w:r>
        <w:t>The cost of your accommodation will be recovered using an on-line shop. When you pay we will also collect basic safety information from you. During the trip you will need cash to pay for afternoon and evening meals for 4 days.</w:t>
      </w:r>
    </w:p>
    <w:p w:rsidR="00CC25EE" w:rsidRPr="00EC35E4" w:rsidRDefault="00CC25EE">
      <w:r>
        <w:t>The main part of the field trip occurs on two days. On Day 2, 5</w:t>
      </w:r>
      <w:r w:rsidRPr="00776D58">
        <w:rPr>
          <w:vertAlign w:val="superscript"/>
        </w:rPr>
        <w:t>th</w:t>
      </w:r>
      <w:r>
        <w:t xml:space="preserve"> June, we will look at Mesoproterozoic sediments and practice our logging skills. We will think about the evidence for, and habitat of the oldest known evidence of life in </w:t>
      </w:r>
      <w:smartTag w:uri="urn:schemas-microsoft-com:office:smarttags" w:element="place">
        <w:r>
          <w:t>Northern Europe</w:t>
        </w:r>
      </w:smartTag>
      <w:r>
        <w:t>. On Day 3, 6</w:t>
      </w:r>
      <w:r w:rsidRPr="00776D58">
        <w:rPr>
          <w:vertAlign w:val="superscript"/>
        </w:rPr>
        <w:t>th</w:t>
      </w:r>
      <w:r>
        <w:t xml:space="preserve"> June we will look at field analogues for features we encountered during coring activities during IODP 370, as well as having a traverse (a mini bus equivalent of a transect) across the Moine Thrust and North West Highland Geology.</w:t>
      </w:r>
    </w:p>
    <w:p w:rsidR="00CC25EE" w:rsidRDefault="00CC25EE"/>
    <w:p w:rsidR="00CC25EE" w:rsidRDefault="00CC25EE"/>
    <w:p w:rsidR="00CC25EE" w:rsidRDefault="00CC25EE"/>
    <w:p w:rsidR="00CC25EE" w:rsidRDefault="00CC25EE">
      <w:pPr>
        <w:rPr>
          <w:b/>
        </w:rPr>
      </w:pPr>
      <w:r w:rsidRPr="00E5431C">
        <w:rPr>
          <w:b/>
        </w:rPr>
        <w:t>Day 1</w:t>
      </w:r>
      <w:r w:rsidR="003608C2">
        <w:rPr>
          <w:b/>
        </w:rPr>
        <w:t xml:space="preserve"> – Travel from Aberdeen</w:t>
      </w:r>
    </w:p>
    <w:p w:rsidR="00CC25EE" w:rsidRPr="00164440" w:rsidRDefault="00CC25EE">
      <w:pPr>
        <w:rPr>
          <w:b/>
        </w:rPr>
      </w:pPr>
      <w:r w:rsidRPr="00164440">
        <w:rPr>
          <w:b/>
        </w:rPr>
        <w:t>Collect from Hotel 0930</w:t>
      </w:r>
    </w:p>
    <w:p w:rsidR="00CC25EE" w:rsidRPr="00E5431C" w:rsidRDefault="00CC25EE">
      <w:pPr>
        <w:rPr>
          <w:b/>
        </w:rPr>
      </w:pPr>
    </w:p>
    <w:p w:rsidR="00CC25EE" w:rsidRDefault="00CC25EE">
      <w:smartTag w:uri="urn:schemas-microsoft-com:office:smarttags" w:element="address">
        <w:smartTag w:uri="urn:schemas-microsoft-com:office:smarttags" w:element="Street">
          <w:r>
            <w:t>Stone Circle</w:t>
          </w:r>
        </w:smartTag>
      </w:smartTag>
      <w:r>
        <w:t xml:space="preserve"> – Group Photo</w:t>
      </w:r>
    </w:p>
    <w:p w:rsidR="00CC25EE" w:rsidRDefault="00CC25EE"/>
    <w:p w:rsidR="00CC25EE" w:rsidRPr="00164440" w:rsidRDefault="00CC25EE">
      <w:pPr>
        <w:rPr>
          <w:b/>
        </w:rPr>
      </w:pPr>
      <w:r>
        <w:rPr>
          <w:b/>
        </w:rPr>
        <w:t xml:space="preserve">1100-1130 </w:t>
      </w:r>
      <w:r w:rsidRPr="00164440">
        <w:rPr>
          <w:b/>
        </w:rPr>
        <w:t>Coffee and Light Snack</w:t>
      </w:r>
    </w:p>
    <w:p w:rsidR="00CC25EE" w:rsidRDefault="00CC25EE"/>
    <w:p w:rsidR="00CC25EE" w:rsidRDefault="00CC25EE">
      <w:pPr>
        <w:rPr>
          <w:rStyle w:val="Strong"/>
          <w:b w:val="0"/>
          <w:bCs/>
        </w:rPr>
      </w:pPr>
      <w:r w:rsidRPr="00592463">
        <w:rPr>
          <w:rStyle w:val="Strong"/>
          <w:b w:val="0"/>
          <w:bCs/>
        </w:rPr>
        <w:t>Mealfuarvonie</w:t>
      </w:r>
      <w:r>
        <w:rPr>
          <w:rStyle w:val="Strong"/>
          <w:b w:val="0"/>
          <w:bCs/>
        </w:rPr>
        <w:t xml:space="preserve"> – A hike with more light Snacking</w:t>
      </w:r>
      <w:r w:rsidR="003608C2">
        <w:rPr>
          <w:rStyle w:val="Strong"/>
          <w:b w:val="0"/>
          <w:bCs/>
        </w:rPr>
        <w:t>,</w:t>
      </w:r>
      <w:r>
        <w:rPr>
          <w:rStyle w:val="Strong"/>
          <w:b w:val="0"/>
          <w:bCs/>
        </w:rPr>
        <w:t xml:space="preserve"> </w:t>
      </w:r>
      <w:r w:rsidR="003608C2">
        <w:rPr>
          <w:rStyle w:val="Strong"/>
          <w:b w:val="0"/>
          <w:bCs/>
        </w:rPr>
        <w:t>views o</w:t>
      </w:r>
      <w:r>
        <w:rPr>
          <w:rStyle w:val="Strong"/>
          <w:b w:val="0"/>
          <w:bCs/>
        </w:rPr>
        <w:t>ver Loch Ness</w:t>
      </w:r>
    </w:p>
    <w:p w:rsidR="00CC25EE" w:rsidRDefault="00CC25EE">
      <w:pPr>
        <w:rPr>
          <w:rStyle w:val="Strong"/>
          <w:b w:val="0"/>
          <w:bCs/>
        </w:rPr>
      </w:pPr>
    </w:p>
    <w:p w:rsidR="00CC25EE" w:rsidRDefault="00CC25EE">
      <w:pPr>
        <w:rPr>
          <w:rStyle w:val="Strong"/>
          <w:b w:val="0"/>
          <w:bCs/>
        </w:rPr>
      </w:pPr>
      <w:r>
        <w:rPr>
          <w:rStyle w:val="Strong"/>
          <w:b w:val="0"/>
          <w:bCs/>
        </w:rPr>
        <w:t>Tain by 1800.</w:t>
      </w:r>
    </w:p>
    <w:p w:rsidR="00CC25EE" w:rsidRDefault="00CC25EE">
      <w:pPr>
        <w:rPr>
          <w:b/>
        </w:rPr>
      </w:pPr>
    </w:p>
    <w:p w:rsidR="00CC25EE" w:rsidRPr="00E42E37" w:rsidRDefault="00CC25EE">
      <w:pPr>
        <w:rPr>
          <w:b/>
        </w:rPr>
      </w:pPr>
      <w:r>
        <w:rPr>
          <w:b/>
        </w:rPr>
        <w:br w:type="page"/>
      </w:r>
      <w:r w:rsidRPr="00E42E37">
        <w:rPr>
          <w:b/>
        </w:rPr>
        <w:lastRenderedPageBreak/>
        <w:t>Day 2 – Proterozoic Geobiology</w:t>
      </w:r>
    </w:p>
    <w:p w:rsidR="00CC25EE" w:rsidRPr="00E42E37" w:rsidRDefault="00CC25EE">
      <w:pPr>
        <w:rPr>
          <w:b/>
        </w:rPr>
      </w:pPr>
      <w:r w:rsidRPr="00E42E37">
        <w:rPr>
          <w:b/>
        </w:rPr>
        <w:t>Leave Tain Hotel at 0830</w:t>
      </w:r>
    </w:p>
    <w:p w:rsidR="00CC25EE" w:rsidRPr="00E42E37" w:rsidRDefault="00CC25EE">
      <w:pPr>
        <w:rPr>
          <w:b/>
        </w:rPr>
      </w:pPr>
      <w:r w:rsidRPr="00E42E37">
        <w:rPr>
          <w:b/>
        </w:rPr>
        <w:t>1000-1030 Contact between the Lewisian and Torridonian</w:t>
      </w:r>
    </w:p>
    <w:p w:rsidR="00CC25EE" w:rsidRDefault="00CC25EE">
      <w:r>
        <w:t>Aim: View contact between  Lewisian and Torridonian</w:t>
      </w:r>
    </w:p>
    <w:p w:rsidR="00CC25EE" w:rsidRDefault="00CC25EE">
      <w:r>
        <w:t>Locality: South of Clach</w:t>
      </w:r>
      <w:r w:rsidR="001F7F09">
        <w:t>t</w:t>
      </w:r>
      <w:r>
        <w:t>oll</w:t>
      </w:r>
    </w:p>
    <w:p w:rsidR="00CC25EE" w:rsidRDefault="00CC25EE">
      <w:r>
        <w:t>At this locality we will view the contact between the Torridonian and the Lew</w:t>
      </w:r>
      <w:r w:rsidR="001F7F09">
        <w:t>i</w:t>
      </w:r>
      <w:r>
        <w:t xml:space="preserve">sian. This includes the infiltration of mud into the fractured basement and the deposition of thick alluvial fans. </w:t>
      </w:r>
    </w:p>
    <w:p w:rsidR="00CC25EE" w:rsidRPr="00E42E37" w:rsidRDefault="00CC25EE" w:rsidP="00C1032F">
      <w:pPr>
        <w:rPr>
          <w:b/>
        </w:rPr>
      </w:pPr>
      <w:r w:rsidRPr="00E42E37">
        <w:rPr>
          <w:b/>
        </w:rPr>
        <w:t>1045-1200 Stromatolite Locality</w:t>
      </w:r>
    </w:p>
    <w:p w:rsidR="00CC25EE" w:rsidRDefault="00CC25EE" w:rsidP="00C1032F">
      <w:r>
        <w:t>Aim: Log Stromatolite Occurrence at Clachtoll</w:t>
      </w:r>
    </w:p>
    <w:p w:rsidR="00CC25EE" w:rsidRDefault="00CC25EE" w:rsidP="00C1032F">
      <w:r>
        <w:t>Locality: Clachtoll</w:t>
      </w:r>
    </w:p>
    <w:p w:rsidR="00CC25EE" w:rsidRDefault="00CC25EE" w:rsidP="00C1032F">
      <w:r>
        <w:t xml:space="preserve">The stromatolites at Clachtoll are the oldest evidence of life currently known in </w:t>
      </w:r>
      <w:smartTag w:uri="urn:schemas-microsoft-com:office:smarttags" w:element="place">
        <w:r>
          <w:t>Europe</w:t>
        </w:r>
      </w:smartTag>
      <w:r>
        <w:t>. At this locality we will log their occurrence and unravel aspects of their palaeoenvironment. We will also compare logs and think how uncertainty in logging manifests when logging core, rather than outcrops.</w:t>
      </w:r>
    </w:p>
    <w:p w:rsidR="00CC25EE" w:rsidRPr="00E42E37" w:rsidRDefault="00CC25EE">
      <w:pPr>
        <w:rPr>
          <w:b/>
        </w:rPr>
      </w:pPr>
      <w:r w:rsidRPr="00E42E37">
        <w:rPr>
          <w:b/>
        </w:rPr>
        <w:t>1230-1330 Lunch in the Sun (pies collected)</w:t>
      </w:r>
    </w:p>
    <w:p w:rsidR="00CC25EE" w:rsidRPr="00E42E37" w:rsidRDefault="00CC25EE" w:rsidP="003B600D">
      <w:pPr>
        <w:rPr>
          <w:b/>
        </w:rPr>
      </w:pPr>
      <w:r w:rsidRPr="00E42E37">
        <w:rPr>
          <w:b/>
        </w:rPr>
        <w:t>1350-1420 Stacfadda</w:t>
      </w:r>
    </w:p>
    <w:p w:rsidR="00CC25EE" w:rsidRDefault="00CC25EE" w:rsidP="003B600D">
      <w:r>
        <w:t xml:space="preserve">Aim: View </w:t>
      </w:r>
      <w:smartTag w:uri="urn:schemas-microsoft-com:office:smarttags" w:element="country-region">
        <w:smartTag w:uri="urn:schemas-microsoft-com:office:smarttags" w:element="place">
          <w:r>
            <w:t>Scotland</w:t>
          </w:r>
        </w:smartTag>
      </w:smartTag>
      <w:r>
        <w:t>’s Impact Deposit</w:t>
      </w:r>
    </w:p>
    <w:p w:rsidR="00CC25EE" w:rsidRDefault="00CC25EE" w:rsidP="003B600D">
      <w:r>
        <w:t>Locality: North of Stoer</w:t>
      </w:r>
    </w:p>
    <w:p w:rsidR="00CC25EE" w:rsidRDefault="00CC25EE" w:rsidP="003B600D">
      <w:r>
        <w:t xml:space="preserve">The stromatolites at Clachtoll are the oldest evidence of life currently known in </w:t>
      </w:r>
      <w:smartTag w:uri="urn:schemas-microsoft-com:office:smarttags" w:element="place">
        <w:r>
          <w:t>Europe</w:t>
        </w:r>
      </w:smartTag>
      <w:r>
        <w:t>. At this locality we will log their occurrence and unravel aspects of their palaeoenvironment. We will also compare logs and think how uncertainty in logging manifests when logging core, rather than outcrops.</w:t>
      </w:r>
    </w:p>
    <w:p w:rsidR="00CC25EE" w:rsidRPr="00E42E37" w:rsidRDefault="00CC25EE">
      <w:pPr>
        <w:rPr>
          <w:b/>
        </w:rPr>
      </w:pPr>
      <w:r w:rsidRPr="00E42E37">
        <w:rPr>
          <w:b/>
        </w:rPr>
        <w:t xml:space="preserve">1440-1540 Chilled Drive to Achiltube </w:t>
      </w:r>
    </w:p>
    <w:p w:rsidR="00CC25EE" w:rsidRPr="00E42E37" w:rsidRDefault="00CC25EE" w:rsidP="00AB318A">
      <w:pPr>
        <w:spacing w:line="240" w:lineRule="auto"/>
        <w:rPr>
          <w:b/>
        </w:rPr>
      </w:pPr>
      <w:r w:rsidRPr="00E42E37">
        <w:rPr>
          <w:b/>
        </w:rPr>
        <w:t xml:space="preserve">1545-1645 </w:t>
      </w:r>
      <w:r w:rsidR="00AB318A">
        <w:t>Badenscallie</w:t>
      </w:r>
      <w:r w:rsidR="00AB318A">
        <w:t xml:space="preserve">, </w:t>
      </w:r>
      <w:r w:rsidR="00AB318A" w:rsidRPr="00AB318A">
        <w:t>Achiltube</w:t>
      </w:r>
    </w:p>
    <w:p w:rsidR="00CC25EE" w:rsidRDefault="00CC25EE" w:rsidP="00164440">
      <w:pPr>
        <w:spacing w:line="240" w:lineRule="auto"/>
      </w:pPr>
      <w:r>
        <w:t xml:space="preserve">Aim: View the </w:t>
      </w:r>
      <w:smartTag w:uri="urn:schemas-microsoft-com:office:smarttags" w:element="PlaceName">
        <w:smartTag w:uri="urn:schemas-microsoft-com:office:smarttags" w:element="place">
          <w:smartTag w:uri="urn:schemas-microsoft-com:office:smarttags" w:element="PlaceName">
            <w:r>
              <w:t>Precambrian</w:t>
            </w:r>
          </w:smartTag>
          <w:r>
            <w:t xml:space="preserve"> </w:t>
          </w:r>
          <w:smartTag w:uri="urn:schemas-microsoft-com:office:smarttags" w:element="PlaceType">
            <w:r>
              <w:t>Lake</w:t>
            </w:r>
          </w:smartTag>
        </w:smartTag>
      </w:smartTag>
      <w:r>
        <w:t xml:space="preserve"> Sediments of the Diabaig</w:t>
      </w:r>
    </w:p>
    <w:p w:rsidR="00CC25EE" w:rsidRDefault="00CC25EE" w:rsidP="00164440">
      <w:pPr>
        <w:spacing w:line="240" w:lineRule="auto"/>
      </w:pPr>
      <w:r>
        <w:t>Locality: Badenscallie</w:t>
      </w:r>
    </w:p>
    <w:p w:rsidR="00CC25EE" w:rsidRDefault="00AB318A" w:rsidP="00D06459">
      <w:r>
        <w:t xml:space="preserve">The Stac Fada formation was for a long time interpreted as a volcanic formation. However, it </w:t>
      </w:r>
      <w:proofErr w:type="gramStart"/>
      <w:r>
        <w:t>has recently been reinterpreted</w:t>
      </w:r>
      <w:proofErr w:type="gramEnd"/>
      <w:r>
        <w:t xml:space="preserve"> as an impact deposit. </w:t>
      </w:r>
    </w:p>
    <w:p w:rsidR="00CC25EE" w:rsidRPr="00E42E37" w:rsidRDefault="00CC25EE" w:rsidP="00D06459">
      <w:pPr>
        <w:rPr>
          <w:b/>
        </w:rPr>
      </w:pPr>
      <w:r w:rsidRPr="00E42E37">
        <w:rPr>
          <w:b/>
        </w:rPr>
        <w:t>1700-1715 STEL-Locality</w:t>
      </w:r>
    </w:p>
    <w:p w:rsidR="00CC25EE" w:rsidRDefault="00CC25EE" w:rsidP="00D06459">
      <w:r>
        <w:t>Aim: View cataclastites</w:t>
      </w:r>
    </w:p>
    <w:p w:rsidR="00CC25EE" w:rsidRDefault="00CC25EE" w:rsidP="00D06459">
      <w:r>
        <w:t>Locality: Achiltibue</w:t>
      </w:r>
    </w:p>
    <w:p w:rsidR="00CC25EE" w:rsidRDefault="00CC25EE" w:rsidP="00D06459">
      <w:r>
        <w:t>Cataclastite seems in the early evening.</w:t>
      </w:r>
    </w:p>
    <w:p w:rsidR="00CC25EE" w:rsidRPr="00164440" w:rsidRDefault="00CC25EE">
      <w:pPr>
        <w:rPr>
          <w:b/>
        </w:rPr>
      </w:pPr>
      <w:r w:rsidRPr="00164440">
        <w:rPr>
          <w:b/>
        </w:rPr>
        <w:t>1900 – Arrive Back at Tain</w:t>
      </w:r>
    </w:p>
    <w:p w:rsidR="00AB318A" w:rsidRDefault="00AB318A">
      <w:pPr>
        <w:spacing w:after="0" w:line="240" w:lineRule="auto"/>
        <w:rPr>
          <w:b/>
        </w:rPr>
      </w:pPr>
      <w:r>
        <w:rPr>
          <w:b/>
        </w:rPr>
        <w:br w:type="page"/>
      </w:r>
    </w:p>
    <w:p w:rsidR="00CC25EE" w:rsidRPr="00164440" w:rsidRDefault="00CC25EE">
      <w:pPr>
        <w:rPr>
          <w:b/>
        </w:rPr>
      </w:pPr>
      <w:r w:rsidRPr="00164440">
        <w:rPr>
          <w:b/>
        </w:rPr>
        <w:lastRenderedPageBreak/>
        <w:t>Background – Stoer Group</w:t>
      </w:r>
    </w:p>
    <w:tbl>
      <w:tblPr>
        <w:tblW w:w="0" w:type="auto"/>
        <w:tblLook w:val="00A0" w:firstRow="1" w:lastRow="0" w:firstColumn="1" w:lastColumn="0" w:noHBand="0" w:noVBand="0"/>
      </w:tblPr>
      <w:tblGrid>
        <w:gridCol w:w="3924"/>
        <w:gridCol w:w="5102"/>
      </w:tblGrid>
      <w:tr w:rsidR="00CC25EE" w:rsidTr="00164440">
        <w:tc>
          <w:tcPr>
            <w:tcW w:w="3996" w:type="dxa"/>
            <w:vMerge w:val="restart"/>
          </w:tcPr>
          <w:p w:rsidR="00CC25EE" w:rsidRDefault="001F7F09">
            <w:r>
              <w:rPr>
                <w:noProof/>
                <w:lang w:eastAsia="en-GB"/>
              </w:rPr>
              <w:drawing>
                <wp:inline distT="0" distB="0" distL="0" distR="0">
                  <wp:extent cx="2400300" cy="3924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3924300"/>
                          </a:xfrm>
                          <a:prstGeom prst="rect">
                            <a:avLst/>
                          </a:prstGeom>
                          <a:noFill/>
                          <a:ln>
                            <a:noFill/>
                          </a:ln>
                        </pic:spPr>
                      </pic:pic>
                    </a:graphicData>
                  </a:graphic>
                </wp:inline>
              </w:drawing>
            </w:r>
          </w:p>
        </w:tc>
        <w:tc>
          <w:tcPr>
            <w:tcW w:w="5246" w:type="dxa"/>
          </w:tcPr>
          <w:p w:rsidR="00CC25EE" w:rsidRDefault="001F7F09">
            <w:r>
              <w:rPr>
                <w:noProof/>
                <w:lang w:eastAsia="en-GB"/>
              </w:rPr>
              <w:drawing>
                <wp:inline distT="0" distB="0" distL="0" distR="0">
                  <wp:extent cx="3162300" cy="21336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62300" cy="2133600"/>
                          </a:xfrm>
                          <a:prstGeom prst="rect">
                            <a:avLst/>
                          </a:prstGeom>
                          <a:noFill/>
                          <a:ln>
                            <a:noFill/>
                          </a:ln>
                        </pic:spPr>
                      </pic:pic>
                    </a:graphicData>
                  </a:graphic>
                </wp:inline>
              </w:drawing>
            </w:r>
          </w:p>
        </w:tc>
      </w:tr>
      <w:tr w:rsidR="00CC25EE" w:rsidTr="00164440">
        <w:tc>
          <w:tcPr>
            <w:tcW w:w="3996" w:type="dxa"/>
            <w:vMerge/>
          </w:tcPr>
          <w:p w:rsidR="00CC25EE" w:rsidRDefault="00CC25EE" w:rsidP="00967D0F"/>
        </w:tc>
        <w:tc>
          <w:tcPr>
            <w:tcW w:w="5246" w:type="dxa"/>
          </w:tcPr>
          <w:p w:rsidR="00CC25EE" w:rsidRDefault="00CC25EE" w:rsidP="00967D0F">
            <w:r>
              <w:t xml:space="preserve">Figure 2. Stratigraphic log taken from Goodenough and Krabbendam (2011) and sketch of fan facies environments from Stewart 2002. (TAT is the Clachtoll formation, TAS the </w:t>
            </w:r>
            <w:smartTag w:uri="urn:schemas-microsoft-com:office:smarttags" w:element="place">
              <w:smartTag w:uri="urn:schemas-microsoft-com:office:smarttags" w:element="PlaceName">
                <w:r>
                  <w:t>Stoer</w:t>
                </w:r>
              </w:smartTag>
              <w:r>
                <w:t xml:space="preserve"> </w:t>
              </w:r>
              <w:smartTag w:uri="urn:schemas-microsoft-com:office:smarttags" w:element="PlaceType">
                <w:r>
                  <w:t>Bay</w:t>
                </w:r>
              </w:smartTag>
            </w:smartTag>
            <w:r>
              <w:t xml:space="preserve"> formation)</w:t>
            </w:r>
          </w:p>
        </w:tc>
      </w:tr>
    </w:tbl>
    <w:p w:rsidR="00CC25EE" w:rsidRDefault="00CC25EE"/>
    <w:p w:rsidR="00CC25EE" w:rsidRDefault="001F7F09">
      <w:pPr>
        <w:rPr>
          <w:noProof/>
          <w:lang w:eastAsia="en-GB"/>
        </w:rPr>
      </w:pPr>
      <w:r>
        <w:rPr>
          <w:noProof/>
          <w:lang w:eastAsia="en-GB"/>
        </w:rPr>
        <w:drawing>
          <wp:inline distT="0" distB="0" distL="0" distR="0">
            <wp:extent cx="3838575" cy="2209800"/>
            <wp:effectExtent l="0" t="0" r="0" b="0"/>
            <wp:docPr id="8" name="Picture 8" descr="https://ars.els-cdn.com/content/image/1-s2.0-S0301926814003441-g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ars.els-cdn.com/content/image/1-s2.0-S0301926814003441-gr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38575" cy="2209800"/>
                    </a:xfrm>
                    <a:prstGeom prst="rect">
                      <a:avLst/>
                    </a:prstGeom>
                    <a:noFill/>
                    <a:ln>
                      <a:noFill/>
                    </a:ln>
                  </pic:spPr>
                </pic:pic>
              </a:graphicData>
            </a:graphic>
          </wp:inline>
        </w:drawing>
      </w:r>
      <w:r>
        <w:rPr>
          <w:noProof/>
          <w:lang w:eastAsia="en-GB"/>
        </w:rPr>
        <w:drawing>
          <wp:inline distT="0" distB="0" distL="0" distR="0">
            <wp:extent cx="1714500" cy="2733675"/>
            <wp:effectExtent l="0" t="0" r="0" b="0"/>
            <wp:docPr id="9" name="Picture 9" descr="http://sp.lyellcollection.org/content/specpubgsl/448/1/105/F2.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lyellcollection.org/content/specpubgsl/448/1/105/F2.larg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14500" cy="2733675"/>
                    </a:xfrm>
                    <a:prstGeom prst="rect">
                      <a:avLst/>
                    </a:prstGeom>
                    <a:noFill/>
                    <a:ln>
                      <a:noFill/>
                    </a:ln>
                  </pic:spPr>
                </pic:pic>
              </a:graphicData>
            </a:graphic>
          </wp:inline>
        </w:drawing>
      </w:r>
    </w:p>
    <w:p w:rsidR="00CC25EE" w:rsidRDefault="00CC25EE">
      <w:pPr>
        <w:rPr>
          <w:noProof/>
          <w:lang w:eastAsia="en-GB"/>
        </w:rPr>
      </w:pPr>
      <w:r>
        <w:rPr>
          <w:noProof/>
          <w:lang w:eastAsia="en-GB"/>
        </w:rPr>
        <w:t>Figure 3. Taken from Wacey et al., 2015. Shown are mudstones and their organic carbon contents within the Torridonian. The diabaig is less sulphidic than the Stoer Group.</w:t>
      </w:r>
    </w:p>
    <w:p w:rsidR="00CC25EE" w:rsidRDefault="00CC25EE">
      <w:pPr>
        <w:rPr>
          <w:noProof/>
          <w:lang w:eastAsia="en-GB"/>
        </w:rPr>
      </w:pPr>
      <w:r>
        <w:rPr>
          <w:noProof/>
          <w:lang w:eastAsia="en-G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33"/>
        <w:gridCol w:w="4393"/>
      </w:tblGrid>
      <w:tr w:rsidR="00CC25EE" w:rsidTr="00AD747B">
        <w:tc>
          <w:tcPr>
            <w:tcW w:w="4642" w:type="dxa"/>
          </w:tcPr>
          <w:p w:rsidR="00CC25EE" w:rsidRDefault="001F7F09">
            <w:pPr>
              <w:rPr>
                <w:noProof/>
                <w:sz w:val="22"/>
                <w:szCs w:val="22"/>
                <w:lang w:eastAsia="en-GB"/>
              </w:rPr>
            </w:pPr>
            <w:r>
              <w:rPr>
                <w:noProof/>
                <w:sz w:val="22"/>
                <w:szCs w:val="22"/>
                <w:lang w:eastAsia="en-GB"/>
              </w:rPr>
              <w:lastRenderedPageBreak/>
              <w:drawing>
                <wp:inline distT="0" distB="0" distL="0" distR="0">
                  <wp:extent cx="2800350" cy="23526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00350" cy="2352675"/>
                          </a:xfrm>
                          <a:prstGeom prst="rect">
                            <a:avLst/>
                          </a:prstGeom>
                          <a:noFill/>
                          <a:ln>
                            <a:noFill/>
                          </a:ln>
                        </pic:spPr>
                      </pic:pic>
                    </a:graphicData>
                  </a:graphic>
                </wp:inline>
              </w:drawing>
            </w:r>
          </w:p>
          <w:p w:rsidR="00CC25EE" w:rsidRPr="00AD747B" w:rsidRDefault="00CC25EE">
            <w:pPr>
              <w:rPr>
                <w:noProof/>
                <w:sz w:val="22"/>
                <w:szCs w:val="22"/>
                <w:lang w:eastAsia="en-GB"/>
              </w:rPr>
            </w:pPr>
            <w:r>
              <w:rPr>
                <w:noProof/>
                <w:sz w:val="22"/>
                <w:szCs w:val="22"/>
                <w:lang w:eastAsia="en-GB"/>
              </w:rPr>
              <w:t>Chromium Anomally</w:t>
            </w:r>
          </w:p>
        </w:tc>
        <w:tc>
          <w:tcPr>
            <w:tcW w:w="4600" w:type="dxa"/>
          </w:tcPr>
          <w:p w:rsidR="00CC25EE" w:rsidRDefault="00CC25EE">
            <w:pPr>
              <w:rPr>
                <w:noProof/>
                <w:sz w:val="22"/>
                <w:szCs w:val="22"/>
                <w:lang w:eastAsia="en-GB"/>
              </w:rPr>
            </w:pPr>
          </w:p>
          <w:p w:rsidR="00CC25EE" w:rsidRDefault="001F7F09">
            <w:pPr>
              <w:rPr>
                <w:noProof/>
                <w:sz w:val="22"/>
                <w:szCs w:val="22"/>
                <w:lang w:eastAsia="en-GB"/>
              </w:rPr>
            </w:pPr>
            <w:r>
              <w:rPr>
                <w:noProof/>
                <w:sz w:val="22"/>
                <w:szCs w:val="22"/>
                <w:lang w:eastAsia="en-GB"/>
              </w:rPr>
              <w:drawing>
                <wp:inline distT="0" distB="0" distL="0" distR="0">
                  <wp:extent cx="2543175" cy="18764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lum bright="-6000" contrast="12000"/>
                            <a:extLst>
                              <a:ext uri="{28A0092B-C50C-407E-A947-70E740481C1C}">
                                <a14:useLocalDpi xmlns:a14="http://schemas.microsoft.com/office/drawing/2010/main" val="0"/>
                              </a:ext>
                            </a:extLst>
                          </a:blip>
                          <a:srcRect r="50012" b="50790"/>
                          <a:stretch>
                            <a:fillRect/>
                          </a:stretch>
                        </pic:blipFill>
                        <pic:spPr bwMode="auto">
                          <a:xfrm>
                            <a:off x="0" y="0"/>
                            <a:ext cx="2543175" cy="1876425"/>
                          </a:xfrm>
                          <a:prstGeom prst="rect">
                            <a:avLst/>
                          </a:prstGeom>
                          <a:noFill/>
                          <a:ln>
                            <a:noFill/>
                          </a:ln>
                        </pic:spPr>
                      </pic:pic>
                    </a:graphicData>
                  </a:graphic>
                </wp:inline>
              </w:drawing>
            </w:r>
          </w:p>
          <w:p w:rsidR="00CC25EE" w:rsidRPr="00AD747B" w:rsidRDefault="00CC25EE">
            <w:pPr>
              <w:rPr>
                <w:noProof/>
                <w:sz w:val="22"/>
                <w:szCs w:val="22"/>
                <w:lang w:eastAsia="en-GB"/>
              </w:rPr>
            </w:pPr>
            <w:r>
              <w:rPr>
                <w:noProof/>
                <w:sz w:val="22"/>
                <w:szCs w:val="22"/>
                <w:lang w:eastAsia="en-GB"/>
              </w:rPr>
              <w:t>Quartz with intersecting planar deformation fabrics</w:t>
            </w:r>
          </w:p>
        </w:tc>
      </w:tr>
      <w:tr w:rsidR="00CC25EE" w:rsidTr="00AD747B">
        <w:tc>
          <w:tcPr>
            <w:tcW w:w="4642" w:type="dxa"/>
          </w:tcPr>
          <w:p w:rsidR="00CC25EE" w:rsidRDefault="001F7F09" w:rsidP="00AD747B">
            <w:pPr>
              <w:rPr>
                <w:noProof/>
                <w:sz w:val="22"/>
                <w:szCs w:val="22"/>
                <w:lang w:eastAsia="en-GB"/>
              </w:rPr>
            </w:pPr>
            <w:r>
              <w:rPr>
                <w:noProof/>
                <w:sz w:val="22"/>
                <w:szCs w:val="22"/>
                <w:lang w:eastAsia="en-GB"/>
              </w:rPr>
              <w:drawing>
                <wp:inline distT="0" distB="0" distL="0" distR="0">
                  <wp:extent cx="2438400"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rsidR="00CC25EE" w:rsidRDefault="00CC25EE" w:rsidP="00AD747B">
            <w:pPr>
              <w:rPr>
                <w:noProof/>
                <w:sz w:val="22"/>
                <w:szCs w:val="22"/>
                <w:lang w:eastAsia="en-GB"/>
              </w:rPr>
            </w:pPr>
            <w:r>
              <w:rPr>
                <w:noProof/>
                <w:sz w:val="22"/>
                <w:szCs w:val="22"/>
                <w:lang w:eastAsia="en-GB"/>
              </w:rPr>
              <w:t>Shatter cones – this one from Kentland Indian Photo from Ernston &amp; Claudin</w:t>
            </w:r>
          </w:p>
        </w:tc>
        <w:tc>
          <w:tcPr>
            <w:tcW w:w="4600" w:type="dxa"/>
          </w:tcPr>
          <w:p w:rsidR="00CC25EE" w:rsidRDefault="001F7F09">
            <w:pPr>
              <w:rPr>
                <w:noProof/>
                <w:sz w:val="22"/>
                <w:szCs w:val="22"/>
                <w:lang w:eastAsia="en-GB"/>
              </w:rPr>
            </w:pPr>
            <w:r>
              <w:rPr>
                <w:noProof/>
                <w:sz w:val="22"/>
                <w:szCs w:val="22"/>
                <w:lang w:eastAsia="en-GB"/>
              </w:rPr>
              <w:drawing>
                <wp:inline distT="0" distB="0" distL="0" distR="0">
                  <wp:extent cx="2524125" cy="1885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4125" cy="1885950"/>
                          </a:xfrm>
                          <a:prstGeom prst="rect">
                            <a:avLst/>
                          </a:prstGeom>
                          <a:noFill/>
                          <a:ln>
                            <a:noFill/>
                          </a:ln>
                        </pic:spPr>
                      </pic:pic>
                    </a:graphicData>
                  </a:graphic>
                </wp:inline>
              </w:drawing>
            </w:r>
          </w:p>
          <w:p w:rsidR="00CC25EE" w:rsidRPr="00AD747B" w:rsidRDefault="00CC25EE">
            <w:pPr>
              <w:rPr>
                <w:noProof/>
                <w:sz w:val="22"/>
                <w:szCs w:val="22"/>
                <w:lang w:eastAsia="en-GB"/>
              </w:rPr>
            </w:pPr>
            <w:r>
              <w:rPr>
                <w:noProof/>
                <w:sz w:val="22"/>
                <w:szCs w:val="22"/>
                <w:lang w:eastAsia="en-GB"/>
              </w:rPr>
              <w:t>Kinked Biotites</w:t>
            </w:r>
          </w:p>
        </w:tc>
      </w:tr>
      <w:tr w:rsidR="00CC25EE" w:rsidTr="0091504A">
        <w:tc>
          <w:tcPr>
            <w:tcW w:w="9242" w:type="dxa"/>
            <w:gridSpan w:val="2"/>
          </w:tcPr>
          <w:p w:rsidR="00CC25EE" w:rsidRDefault="00CC25EE">
            <w:pPr>
              <w:rPr>
                <w:noProof/>
                <w:sz w:val="22"/>
                <w:szCs w:val="22"/>
                <w:lang w:eastAsia="en-GB"/>
              </w:rPr>
            </w:pPr>
            <w:r>
              <w:rPr>
                <w:sz w:val="22"/>
                <w:szCs w:val="22"/>
              </w:rPr>
              <w:t>Figure 4. Evidence for impact deposit Amor et al 2008.  Chromium, High pressure quartz phases and planar deformation fabrics and shatter cones are normally taken as evidence of hyper velocity impact. In the case of the Stac Fada only two of the three are present. Look out for the third.</w:t>
            </w:r>
          </w:p>
        </w:tc>
      </w:tr>
    </w:tbl>
    <w:p w:rsidR="00CC25EE" w:rsidRDefault="00CC25EE">
      <w:pPr>
        <w:rPr>
          <w:b/>
        </w:rPr>
      </w:pPr>
    </w:p>
    <w:p w:rsidR="00CC25EE" w:rsidRPr="00E5431C" w:rsidRDefault="00CC25EE">
      <w:pPr>
        <w:rPr>
          <w:b/>
        </w:rPr>
      </w:pPr>
      <w:r>
        <w:rPr>
          <w:b/>
        </w:rPr>
        <w:br w:type="page"/>
      </w:r>
      <w:r w:rsidRPr="00E5431C">
        <w:rPr>
          <w:b/>
        </w:rPr>
        <w:lastRenderedPageBreak/>
        <w:t>Day 3 The Moine Thrust</w:t>
      </w:r>
    </w:p>
    <w:p w:rsidR="00CC25EE" w:rsidRDefault="00CC25EE" w:rsidP="006A00F1">
      <w:r>
        <w:t>Day 3 (Leave Tain Hotel at 0830)</w:t>
      </w:r>
    </w:p>
    <w:p w:rsidR="00CC25EE" w:rsidRPr="006B060D" w:rsidRDefault="00CC25EE">
      <w:pPr>
        <w:rPr>
          <w:b/>
        </w:rPr>
      </w:pPr>
      <w:r w:rsidRPr="006B060D">
        <w:rPr>
          <w:b/>
        </w:rPr>
        <w:t>1000-1100 Knockan Crag</w:t>
      </w:r>
    </w:p>
    <w:p w:rsidR="00CC25EE" w:rsidRDefault="00CC25EE" w:rsidP="006A00F1">
      <w:r>
        <w:t>Aim: View the Moine Thrust</w:t>
      </w:r>
    </w:p>
    <w:p w:rsidR="00CC25EE" w:rsidRDefault="00CC25EE" w:rsidP="006A00F1">
      <w:r>
        <w:t>Locailty: Knockan Crag Geopark Visitor Centre</w:t>
      </w:r>
    </w:p>
    <w:p w:rsidR="00CC25EE" w:rsidRDefault="00CC25EE" w:rsidP="006A00F1">
      <w:r>
        <w:t xml:space="preserve">One of the best outcrops of the Moine Thrust can be found at the Knockan Crag Visitor Centre. The Centre also contains an exhibit and provides a walkthrough of the  main </w:t>
      </w:r>
      <w:r w:rsidR="001F7F09">
        <w:t>stratigraphic</w:t>
      </w:r>
      <w:r>
        <w:t xml:space="preserve"> units of the NW highlands. </w:t>
      </w:r>
    </w:p>
    <w:p w:rsidR="00CC25EE" w:rsidRPr="006B060D" w:rsidRDefault="00CC25EE" w:rsidP="00005658">
      <w:pPr>
        <w:rPr>
          <w:b/>
        </w:rPr>
      </w:pPr>
      <w:r w:rsidRPr="006B060D">
        <w:rPr>
          <w:b/>
        </w:rPr>
        <w:t>1120-1130 Duplex formation</w:t>
      </w:r>
      <w:r>
        <w:rPr>
          <w:b/>
        </w:rPr>
        <w:t>, a little intrusion,</w:t>
      </w:r>
      <w:r w:rsidRPr="006B060D">
        <w:rPr>
          <w:b/>
        </w:rPr>
        <w:t xml:space="preserve"> some Glaciology</w:t>
      </w:r>
      <w:r>
        <w:rPr>
          <w:b/>
        </w:rPr>
        <w:t xml:space="preserve"> and core geology</w:t>
      </w:r>
    </w:p>
    <w:p w:rsidR="00CC25EE" w:rsidRDefault="00CC25EE" w:rsidP="00005658">
      <w:r>
        <w:t>Aim: View detachment and Imbrication</w:t>
      </w:r>
    </w:p>
    <w:p w:rsidR="00CC25EE" w:rsidRDefault="00CC25EE" w:rsidP="00005658">
      <w:r>
        <w:t>Locality: Assynt</w:t>
      </w:r>
    </w:p>
    <w:p w:rsidR="00CC25EE" w:rsidRDefault="00CC25EE" w:rsidP="00005658">
      <w:r>
        <w:t>Detachment surfaces are important geological boundaries that separate different style of deformation. As with the previous days stop think about how this feature would be recognized in core. Perhaps sketch the view, then sketch only a thin part of it? What would you log to know if you had drilled through such a feature? Perhaps compare you sketches to the IODP 370 decollement zone?</w:t>
      </w:r>
    </w:p>
    <w:p w:rsidR="00CC25EE" w:rsidRPr="006B060D" w:rsidRDefault="00CC25EE" w:rsidP="00005658">
      <w:pPr>
        <w:rPr>
          <w:b/>
        </w:rPr>
      </w:pPr>
      <w:r w:rsidRPr="006B060D">
        <w:rPr>
          <w:b/>
        </w:rPr>
        <w:t>1150-1250 Assynt triple unconformity and the pipe rock</w:t>
      </w:r>
      <w:r>
        <w:rPr>
          <w:b/>
        </w:rPr>
        <w:t xml:space="preserve"> and fuccoid beds</w:t>
      </w:r>
    </w:p>
    <w:p w:rsidR="00CC25EE" w:rsidRDefault="00CC25EE" w:rsidP="00005658">
      <w:r>
        <w:t xml:space="preserve">Aim: View the </w:t>
      </w:r>
      <w:r w:rsidR="001F7F09">
        <w:t>Triple</w:t>
      </w:r>
      <w:r>
        <w:t xml:space="preserve"> Unconformity and pipe rock.</w:t>
      </w:r>
    </w:p>
    <w:p w:rsidR="00CC25EE" w:rsidRDefault="00CC25EE" w:rsidP="00005658">
      <w:r>
        <w:t>Locailty: Assynt</w:t>
      </w:r>
    </w:p>
    <w:p w:rsidR="00CC25EE" w:rsidRDefault="00CC25EE" w:rsidP="00005658">
      <w:r>
        <w:t xml:space="preserve">This locality has roadside outcrops of quartzite and fuccoid bed. Compare the ichnofabrics and burrows of the two units. How do you think the depositional environments would have varied? The Pipe Rock contains </w:t>
      </w:r>
      <w:r w:rsidRPr="00FD1B71">
        <w:rPr>
          <w:i/>
        </w:rPr>
        <w:t>Skolithos</w:t>
      </w:r>
      <w:r>
        <w:rPr>
          <w:i/>
        </w:rPr>
        <w:t>,</w:t>
      </w:r>
      <w:r>
        <w:t xml:space="preserve"> the Fuccoid beds a mixture of </w:t>
      </w:r>
      <w:r w:rsidRPr="00B75E0F">
        <w:rPr>
          <w:i/>
        </w:rPr>
        <w:t>Cruziana</w:t>
      </w:r>
      <w:r>
        <w:t xml:space="preserve"> (burrows) and </w:t>
      </w:r>
      <w:r w:rsidRPr="00B75E0F">
        <w:rPr>
          <w:i/>
        </w:rPr>
        <w:t>Rusphyc</w:t>
      </w:r>
      <w:r>
        <w:rPr>
          <w:i/>
        </w:rPr>
        <w:t>u</w:t>
      </w:r>
      <w:r w:rsidRPr="00B75E0F">
        <w:rPr>
          <w:i/>
        </w:rPr>
        <w:t>s</w:t>
      </w:r>
      <w:r>
        <w:t xml:space="preserve"> (resting). </w:t>
      </w:r>
    </w:p>
    <w:p w:rsidR="00CC25EE" w:rsidRDefault="00CC25EE" w:rsidP="00005658">
      <w:r>
        <w:t xml:space="preserve">Don’t spend too long at the outcrop, the main thing to see here is the triple unconformity, and away to south the Moine riding over the top of the less metamorphosed Palaeozoic units beneath. </w:t>
      </w:r>
    </w:p>
    <w:p w:rsidR="00CC25EE" w:rsidRDefault="00CC25EE" w:rsidP="00005658">
      <w:r>
        <w:t>You probably want to sketch this also.</w:t>
      </w:r>
    </w:p>
    <w:p w:rsidR="00CC25EE" w:rsidRPr="006B060D" w:rsidRDefault="00CC25EE" w:rsidP="00005658">
      <w:pPr>
        <w:rPr>
          <w:b/>
        </w:rPr>
      </w:pPr>
      <w:r>
        <w:rPr>
          <w:b/>
        </w:rPr>
        <w:t>1320-1345</w:t>
      </w:r>
      <w:r w:rsidRPr="006B060D">
        <w:rPr>
          <w:b/>
        </w:rPr>
        <w:t xml:space="preserve"> Glencoul</w:t>
      </w:r>
    </w:p>
    <w:p w:rsidR="00CC25EE" w:rsidRDefault="00CC25EE" w:rsidP="00F950D2">
      <w:r>
        <w:t>Aim: View the Glencoul Thrust and site C0023 in Context</w:t>
      </w:r>
    </w:p>
    <w:p w:rsidR="00CC25EE" w:rsidRDefault="00CC25EE" w:rsidP="00F950D2">
      <w:r>
        <w:t>Locailty: Assynt</w:t>
      </w:r>
    </w:p>
    <w:p w:rsidR="00CC25EE" w:rsidRDefault="00CC25EE" w:rsidP="00F950D2">
      <w:r>
        <w:t>The Glencoul thrust can be seen. Work out or read on the sign</w:t>
      </w:r>
      <w:r w:rsidR="00AB318A">
        <w:t xml:space="preserve"> </w:t>
      </w:r>
      <w:r>
        <w:t xml:space="preserve">and decide what the units involved are. If you sketch it, you could add for scale a thin </w:t>
      </w:r>
      <w:r w:rsidR="001F7F09">
        <w:t>pipe</w:t>
      </w:r>
      <w:r>
        <w:t>, and a flying boat or spaceship 5.3 km above your diagram. For scale, from top to bottom is about 900 m.</w:t>
      </w:r>
    </w:p>
    <w:p w:rsidR="00CC25EE" w:rsidRPr="00164440" w:rsidRDefault="00CC25EE" w:rsidP="00005658">
      <w:pPr>
        <w:rPr>
          <w:b/>
        </w:rPr>
      </w:pPr>
      <w:r w:rsidRPr="00164440">
        <w:rPr>
          <w:b/>
        </w:rPr>
        <w:t>1400-1500 Lunch Kylesku</w:t>
      </w:r>
    </w:p>
    <w:p w:rsidR="00CC25EE" w:rsidRPr="00D64C45" w:rsidRDefault="00CC25EE" w:rsidP="00005658">
      <w:pPr>
        <w:rPr>
          <w:b/>
        </w:rPr>
      </w:pPr>
      <w:r w:rsidRPr="00D64C45">
        <w:rPr>
          <w:b/>
        </w:rPr>
        <w:t>1530-1550 Laxford Brae</w:t>
      </w:r>
    </w:p>
    <w:p w:rsidR="00CC25EE" w:rsidRDefault="00CC25EE" w:rsidP="00F12319">
      <w:r>
        <w:t xml:space="preserve">Aim: Unravel the Lewisian </w:t>
      </w:r>
    </w:p>
    <w:p w:rsidR="00CC25EE" w:rsidRDefault="00CC25EE" w:rsidP="00F12319">
      <w:r>
        <w:t>Locailty: Laxford Brae</w:t>
      </w:r>
    </w:p>
    <w:p w:rsidR="00CC25EE" w:rsidRDefault="00CC25EE" w:rsidP="00005658">
      <w:r>
        <w:lastRenderedPageBreak/>
        <w:t>This road cut provides an excellent opportunity to unravel the Lewisian. Don’t read the sign, look and sketch for yourselves which units came first?</w:t>
      </w:r>
    </w:p>
    <w:p w:rsidR="00CC25EE" w:rsidRPr="00AC3BE9" w:rsidRDefault="00CC25EE" w:rsidP="00005658">
      <w:pPr>
        <w:rPr>
          <w:b/>
        </w:rPr>
      </w:pPr>
      <w:r w:rsidRPr="00AC3BE9">
        <w:rPr>
          <w:b/>
        </w:rPr>
        <w:t>1600-1730 Durness</w:t>
      </w:r>
    </w:p>
    <w:p w:rsidR="00CC25EE" w:rsidRDefault="00CC25EE" w:rsidP="00D64C45">
      <w:r>
        <w:t>Aim: View an interesting section of the Durness and the Moine</w:t>
      </w:r>
    </w:p>
    <w:p w:rsidR="00CC25EE" w:rsidRDefault="00CC25EE" w:rsidP="00D64C45">
      <w:r>
        <w:t>Locailty: Balnakiel Bay</w:t>
      </w:r>
    </w:p>
    <w:p w:rsidR="00CC25EE" w:rsidRDefault="00CC25EE" w:rsidP="00D64C45">
      <w:r>
        <w:t>Outcrops of Stromatolite-bearing Durness Formation and other microbial</w:t>
      </w:r>
      <w:r w:rsidR="001F7F09">
        <w:t>l</w:t>
      </w:r>
      <w:r>
        <w:t>y-mediated sediments are present at this locality. Stratigraphically the Balnakiel formation is Ordovician in age, and young for the Durness Formation in Scotland.</w:t>
      </w:r>
    </w:p>
    <w:p w:rsidR="00CC25EE" w:rsidRDefault="00CC25EE" w:rsidP="00D64C45">
      <w:r>
        <w:t xml:space="preserve">On the far north of the bay is an outcrop of </w:t>
      </w:r>
      <w:r w:rsidR="001F7F09">
        <w:t>M</w:t>
      </w:r>
      <w:r>
        <w:t xml:space="preserve">oine schist with </w:t>
      </w:r>
      <w:r w:rsidR="001F7F09">
        <w:t>well-developed</w:t>
      </w:r>
      <w:r>
        <w:t xml:space="preserve"> axial planar cleavage, and steeply plunging fabrics that give a strong impression of a bedding direction that isn’t there.</w:t>
      </w:r>
    </w:p>
    <w:p w:rsidR="00CC25EE" w:rsidRPr="00164440" w:rsidRDefault="00CC25EE" w:rsidP="00005658">
      <w:pPr>
        <w:rPr>
          <w:b/>
        </w:rPr>
      </w:pPr>
      <w:r w:rsidRPr="00164440">
        <w:rPr>
          <w:b/>
        </w:rPr>
        <w:t xml:space="preserve">1930 </w:t>
      </w:r>
      <w:r>
        <w:rPr>
          <w:b/>
        </w:rPr>
        <w:t>Arrive Back in Tain</w:t>
      </w:r>
    </w:p>
    <w:p w:rsidR="00CC25EE" w:rsidRDefault="00CC25EE" w:rsidP="00005658">
      <w:pPr>
        <w:rPr>
          <w:b/>
        </w:rPr>
      </w:pPr>
    </w:p>
    <w:p w:rsidR="00CC25EE" w:rsidRDefault="00CC25EE" w:rsidP="00335C5C">
      <w:pPr>
        <w:rPr>
          <w:b/>
        </w:rPr>
      </w:pPr>
      <w:r w:rsidRPr="00335C5C">
        <w:rPr>
          <w:b/>
        </w:rPr>
        <w:t>Day 4</w:t>
      </w:r>
      <w:r w:rsidR="00AB318A">
        <w:rPr>
          <w:b/>
        </w:rPr>
        <w:t xml:space="preserve"> – Journey Back</w:t>
      </w:r>
    </w:p>
    <w:p w:rsidR="00CC25EE" w:rsidRDefault="00CC25EE" w:rsidP="00005658">
      <w:pPr>
        <w:rPr>
          <w:b/>
        </w:rPr>
      </w:pPr>
    </w:p>
    <w:p w:rsidR="00CC25EE" w:rsidRDefault="00CC25EE" w:rsidP="00005658">
      <w:pPr>
        <w:rPr>
          <w:b/>
        </w:rPr>
      </w:pPr>
      <w:r>
        <w:rPr>
          <w:b/>
        </w:rPr>
        <w:t>To be confirmed</w:t>
      </w:r>
    </w:p>
    <w:p w:rsidR="00CC25EE" w:rsidRDefault="00CC25EE" w:rsidP="00005658">
      <w:pPr>
        <w:rPr>
          <w:b/>
        </w:rPr>
      </w:pPr>
    </w:p>
    <w:p w:rsidR="00CC25EE" w:rsidRDefault="00CC25EE" w:rsidP="00005658">
      <w:pPr>
        <w:rPr>
          <w:b/>
        </w:rPr>
      </w:pPr>
      <w:r>
        <w:rPr>
          <w:b/>
        </w:rPr>
        <w:t xml:space="preserve">Inverness </w:t>
      </w:r>
    </w:p>
    <w:p w:rsidR="00CC25EE" w:rsidRDefault="00CC25EE" w:rsidP="00005658">
      <w:pPr>
        <w:rPr>
          <w:b/>
        </w:rPr>
      </w:pPr>
      <w:r>
        <w:rPr>
          <w:b/>
        </w:rPr>
        <w:t>Aberdeen</w:t>
      </w:r>
      <w:r>
        <w:rPr>
          <w:b/>
        </w:rPr>
        <w:br w:type="page"/>
      </w:r>
      <w:r w:rsidRPr="00164440">
        <w:rPr>
          <w:b/>
        </w:rPr>
        <w:lastRenderedPageBreak/>
        <w:t>Background</w:t>
      </w:r>
    </w:p>
    <w:p w:rsidR="00CC25EE" w:rsidRPr="00E37A05" w:rsidRDefault="00CC25EE" w:rsidP="00005658"/>
    <w:p w:rsidR="00CC25EE" w:rsidRDefault="001F7F09" w:rsidP="00005658">
      <w:pPr>
        <w:rPr>
          <w:noProof/>
          <w:lang w:eastAsia="en-GB"/>
        </w:rPr>
      </w:pPr>
      <w:r>
        <w:rPr>
          <w:noProof/>
          <w:lang w:eastAsia="en-GB"/>
        </w:rPr>
        <w:drawing>
          <wp:inline distT="0" distB="0" distL="0" distR="0">
            <wp:extent cx="5876925" cy="1962150"/>
            <wp:effectExtent l="0" t="0" r="0" b="0"/>
            <wp:docPr id="14" name="Picture 2" descr="http://www-odp.tamu.edu/publications/190196SR/206/images/06_f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odp.tamu.edu/publications/190196SR/206/images/06_f02.gi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6925" cy="1962150"/>
                    </a:xfrm>
                    <a:prstGeom prst="rect">
                      <a:avLst/>
                    </a:prstGeom>
                    <a:noFill/>
                    <a:ln>
                      <a:noFill/>
                    </a:ln>
                  </pic:spPr>
                </pic:pic>
              </a:graphicData>
            </a:graphic>
          </wp:inline>
        </w:drawing>
      </w:r>
    </w:p>
    <w:p w:rsidR="00CC25EE" w:rsidRDefault="00CC25EE" w:rsidP="00005658">
      <w:pPr>
        <w:rPr>
          <w:noProof/>
          <w:lang w:eastAsia="en-GB"/>
        </w:rPr>
      </w:pPr>
      <w:r>
        <w:rPr>
          <w:noProof/>
          <w:lang w:eastAsia="en-GB"/>
        </w:rPr>
        <w:t>Moore et al 2001</w:t>
      </w:r>
    </w:p>
    <w:tbl>
      <w:tblPr>
        <w:tblW w:w="0" w:type="auto"/>
        <w:tblLook w:val="00A0" w:firstRow="1" w:lastRow="0" w:firstColumn="1" w:lastColumn="0" w:noHBand="0" w:noVBand="0"/>
      </w:tblPr>
      <w:tblGrid>
        <w:gridCol w:w="4775"/>
        <w:gridCol w:w="4251"/>
      </w:tblGrid>
      <w:tr w:rsidR="00CC25EE" w:rsidTr="00AC3BE9">
        <w:tc>
          <w:tcPr>
            <w:tcW w:w="4621" w:type="dxa"/>
          </w:tcPr>
          <w:p w:rsidR="00CC25EE" w:rsidRDefault="001F7F09" w:rsidP="00005658">
            <w:pPr>
              <w:rPr>
                <w:noProof/>
                <w:lang w:eastAsia="en-GB"/>
              </w:rPr>
            </w:pPr>
            <w:r>
              <w:rPr>
                <w:noProof/>
                <w:lang w:eastAsia="en-GB"/>
              </w:rPr>
              <w:drawing>
                <wp:inline distT="0" distB="0" distL="0" distR="0">
                  <wp:extent cx="2981325" cy="3267075"/>
                  <wp:effectExtent l="0" t="0" r="0" b="0"/>
                  <wp:docPr id="15" name="Picture 3" descr="http://publications.iodp.org/proceedings/370/103/figures/370_103_F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ublications.iodp.org/proceedings/370/103/figures/370_103_F18.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81325" cy="3267075"/>
                          </a:xfrm>
                          <a:prstGeom prst="rect">
                            <a:avLst/>
                          </a:prstGeom>
                          <a:noFill/>
                          <a:ln>
                            <a:noFill/>
                          </a:ln>
                        </pic:spPr>
                      </pic:pic>
                    </a:graphicData>
                  </a:graphic>
                </wp:inline>
              </w:drawing>
            </w:r>
          </w:p>
          <w:p w:rsidR="00CC25EE" w:rsidRDefault="00CC25EE" w:rsidP="00005658">
            <w:r>
              <w:rPr>
                <w:noProof/>
                <w:lang w:eastAsia="en-GB"/>
              </w:rPr>
              <w:t>Heuer et al 2017</w:t>
            </w:r>
          </w:p>
        </w:tc>
        <w:tc>
          <w:tcPr>
            <w:tcW w:w="4621" w:type="dxa"/>
          </w:tcPr>
          <w:p w:rsidR="00CC25EE" w:rsidRDefault="001F7F09" w:rsidP="00005658">
            <w:pPr>
              <w:rPr>
                <w:noProof/>
                <w:lang w:eastAsia="en-GB"/>
              </w:rPr>
            </w:pPr>
            <w:r>
              <w:rPr>
                <w:noProof/>
                <w:lang w:eastAsia="en-GB"/>
              </w:rPr>
              <w:drawing>
                <wp:inline distT="0" distB="0" distL="0" distR="0">
                  <wp:extent cx="2638425" cy="1838325"/>
                  <wp:effectExtent l="0" t="0" r="0" b="0"/>
                  <wp:docPr id="16" name="Picture 16" descr="File:P667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P667674.jpg"/>
                          <pic:cNvPicPr>
                            <a:picLocks noChangeAspect="1" noChangeArrowheads="1"/>
                          </pic:cNvPicPr>
                        </pic:nvPicPr>
                        <pic:blipFill>
                          <a:blip r:embed="rId20">
                            <a:extLst>
                              <a:ext uri="{28A0092B-C50C-407E-A947-70E740481C1C}">
                                <a14:useLocalDpi xmlns:a14="http://schemas.microsoft.com/office/drawing/2010/main" val="0"/>
                              </a:ext>
                            </a:extLst>
                          </a:blip>
                          <a:srcRect l="2292" r="27838"/>
                          <a:stretch>
                            <a:fillRect/>
                          </a:stretch>
                        </pic:blipFill>
                        <pic:spPr bwMode="auto">
                          <a:xfrm>
                            <a:off x="0" y="0"/>
                            <a:ext cx="2638425" cy="1838325"/>
                          </a:xfrm>
                          <a:prstGeom prst="rect">
                            <a:avLst/>
                          </a:prstGeom>
                          <a:noFill/>
                          <a:ln>
                            <a:noFill/>
                          </a:ln>
                        </pic:spPr>
                      </pic:pic>
                    </a:graphicData>
                  </a:graphic>
                </wp:inline>
              </w:drawing>
            </w:r>
          </w:p>
          <w:p w:rsidR="00CC25EE" w:rsidRDefault="00CC25EE" w:rsidP="00005658">
            <w:r>
              <w:t>BGS photograph P667674, © NERC</w:t>
            </w:r>
          </w:p>
        </w:tc>
      </w:tr>
    </w:tbl>
    <w:p w:rsidR="00CC25EE" w:rsidRDefault="00CC25EE" w:rsidP="00005658">
      <w:r>
        <w:t xml:space="preserve">Figure 6. Cross section of the Nankai accreationary complex. Sketch the imbrications, then choosing a representative portion think how such a structure could be </w:t>
      </w:r>
      <w:r w:rsidR="001F7F09">
        <w:t>identified</w:t>
      </w:r>
      <w:r>
        <w:t xml:space="preserve"> using bedding and core alone? What Magic skills did Yuzuru and the other loggers use to find the detachment surfaces? What complicates the data used?</w:t>
      </w:r>
    </w:p>
    <w:p w:rsidR="00CC25EE" w:rsidRDefault="00CC25EE" w:rsidP="00DB200D"/>
    <w:p w:rsidR="00CC25EE" w:rsidRDefault="00CC25EE" w:rsidP="00005658"/>
    <w:p w:rsidR="00CC25EE" w:rsidRDefault="00CC25EE" w:rsidP="00005658">
      <w:r>
        <w:br w:type="page"/>
      </w:r>
      <w:r>
        <w:lastRenderedPageBreak/>
        <w:t>Log Sheets For Stoer</w:t>
      </w:r>
    </w:p>
    <w:p w:rsidR="00CC25EE" w:rsidRDefault="001F7F09" w:rsidP="00005658">
      <w:r>
        <w:rPr>
          <w:noProof/>
          <w:lang w:eastAsia="en-GB"/>
        </w:rPr>
        <w:drawing>
          <wp:inline distT="0" distB="0" distL="0" distR="0">
            <wp:extent cx="5676900" cy="7658100"/>
            <wp:effectExtent l="0" t="0" r="0" b="0"/>
            <wp:docPr id="17" name="Picture 17" descr="http://publications.iodp.org/proceedings/370/102/figures/370_102_F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ublications.iodp.org/proceedings/370/102/figures/370_102_F0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6900" cy="7658100"/>
                    </a:xfrm>
                    <a:prstGeom prst="rect">
                      <a:avLst/>
                    </a:prstGeom>
                    <a:noFill/>
                    <a:ln>
                      <a:noFill/>
                    </a:ln>
                  </pic:spPr>
                </pic:pic>
              </a:graphicData>
            </a:graphic>
          </wp:inline>
        </w:drawing>
      </w:r>
    </w:p>
    <w:p w:rsidR="00CC25EE" w:rsidRDefault="00CC25EE" w:rsidP="00005658">
      <w:r>
        <w:br w:type="page"/>
      </w:r>
      <w:r w:rsidR="001F7F09">
        <w:rPr>
          <w:noProof/>
          <w:lang w:eastAsia="en-GB"/>
        </w:rPr>
        <w:lastRenderedPageBreak/>
        <w:drawing>
          <wp:inline distT="0" distB="0" distL="0" distR="0">
            <wp:extent cx="5676900" cy="7658100"/>
            <wp:effectExtent l="0" t="0" r="0" b="0"/>
            <wp:docPr id="18" name="Picture 18" descr="http://publications.iodp.org/proceedings/370/102/figures/370_102_F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ublications.iodp.org/proceedings/370/102/figures/370_102_F0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6900" cy="7658100"/>
                    </a:xfrm>
                    <a:prstGeom prst="rect">
                      <a:avLst/>
                    </a:prstGeom>
                    <a:noFill/>
                    <a:ln>
                      <a:noFill/>
                    </a:ln>
                  </pic:spPr>
                </pic:pic>
              </a:graphicData>
            </a:graphic>
          </wp:inline>
        </w:drawing>
      </w:r>
      <w:r w:rsidR="001F7F09">
        <w:rPr>
          <w:noProof/>
          <w:lang w:eastAsia="en-GB"/>
        </w:rPr>
        <w:lastRenderedPageBreak/>
        <w:drawing>
          <wp:inline distT="0" distB="0" distL="0" distR="0">
            <wp:extent cx="5676900" cy="7658100"/>
            <wp:effectExtent l="0" t="0" r="0" b="0"/>
            <wp:docPr id="19" name="Picture 19" descr="http://publications.iodp.org/proceedings/370/102/figures/370_102_F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ublications.iodp.org/proceedings/370/102/figures/370_102_F0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6900" cy="7658100"/>
                    </a:xfrm>
                    <a:prstGeom prst="rect">
                      <a:avLst/>
                    </a:prstGeom>
                    <a:noFill/>
                    <a:ln>
                      <a:noFill/>
                    </a:ln>
                  </pic:spPr>
                </pic:pic>
              </a:graphicData>
            </a:graphic>
          </wp:inline>
        </w:drawing>
      </w:r>
      <w:r w:rsidR="001F7F09">
        <w:rPr>
          <w:noProof/>
          <w:lang w:eastAsia="en-GB"/>
        </w:rPr>
        <w:lastRenderedPageBreak/>
        <w:drawing>
          <wp:inline distT="0" distB="0" distL="0" distR="0">
            <wp:extent cx="5676900" cy="7658100"/>
            <wp:effectExtent l="0" t="0" r="0" b="0"/>
            <wp:docPr id="20" name="Picture 20" descr="http://publications.iodp.org/proceedings/370/102/figures/370_102_F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ublications.iodp.org/proceedings/370/102/figures/370_102_F0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6900" cy="7658100"/>
                    </a:xfrm>
                    <a:prstGeom prst="rect">
                      <a:avLst/>
                    </a:prstGeom>
                    <a:noFill/>
                    <a:ln>
                      <a:noFill/>
                    </a:ln>
                  </pic:spPr>
                </pic:pic>
              </a:graphicData>
            </a:graphic>
          </wp:inline>
        </w:drawing>
      </w:r>
    </w:p>
    <w:p w:rsidR="00CC25EE" w:rsidRDefault="00CC25EE" w:rsidP="00B50913"/>
    <w:p w:rsidR="00CC25EE" w:rsidRDefault="00CC25EE" w:rsidP="00B50913">
      <w:r>
        <w:br w:type="page"/>
      </w:r>
      <w:r>
        <w:lastRenderedPageBreak/>
        <w:t>Log Sheets For Baden</w:t>
      </w:r>
      <w:r w:rsidR="001F7F09">
        <w:t>s</w:t>
      </w:r>
      <w:r>
        <w:t>callie</w:t>
      </w:r>
    </w:p>
    <w:p w:rsidR="00CC25EE" w:rsidRDefault="001F7F09" w:rsidP="00B50913">
      <w:r>
        <w:rPr>
          <w:noProof/>
          <w:lang w:eastAsia="en-GB"/>
        </w:rPr>
        <w:drawing>
          <wp:inline distT="0" distB="0" distL="0" distR="0">
            <wp:extent cx="5676900" cy="7658100"/>
            <wp:effectExtent l="0" t="0" r="0" b="0"/>
            <wp:docPr id="21" name="Picture 21" descr="http://publications.iodp.org/proceedings/370/102/figures/370_102_F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ublications.iodp.org/proceedings/370/102/figures/370_102_F0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6900" cy="7658100"/>
                    </a:xfrm>
                    <a:prstGeom prst="rect">
                      <a:avLst/>
                    </a:prstGeom>
                    <a:noFill/>
                    <a:ln>
                      <a:noFill/>
                    </a:ln>
                  </pic:spPr>
                </pic:pic>
              </a:graphicData>
            </a:graphic>
          </wp:inline>
        </w:drawing>
      </w:r>
    </w:p>
    <w:p w:rsidR="00CC25EE" w:rsidRDefault="00CC25EE" w:rsidP="00B50913">
      <w:r>
        <w:br w:type="page"/>
      </w:r>
      <w:r w:rsidR="001F7F09">
        <w:rPr>
          <w:noProof/>
          <w:lang w:eastAsia="en-GB"/>
        </w:rPr>
        <w:lastRenderedPageBreak/>
        <w:drawing>
          <wp:inline distT="0" distB="0" distL="0" distR="0">
            <wp:extent cx="5676900" cy="7658100"/>
            <wp:effectExtent l="0" t="0" r="0" b="0"/>
            <wp:docPr id="22" name="Picture 22" descr="http://publications.iodp.org/proceedings/370/102/figures/370_102_F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ublications.iodp.org/proceedings/370/102/figures/370_102_F0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6900" cy="7658100"/>
                    </a:xfrm>
                    <a:prstGeom prst="rect">
                      <a:avLst/>
                    </a:prstGeom>
                    <a:noFill/>
                    <a:ln>
                      <a:noFill/>
                    </a:ln>
                  </pic:spPr>
                </pic:pic>
              </a:graphicData>
            </a:graphic>
          </wp:inline>
        </w:drawing>
      </w:r>
      <w:r w:rsidR="001F7F09">
        <w:rPr>
          <w:noProof/>
          <w:lang w:eastAsia="en-GB"/>
        </w:rPr>
        <w:lastRenderedPageBreak/>
        <w:drawing>
          <wp:inline distT="0" distB="0" distL="0" distR="0">
            <wp:extent cx="5676900" cy="7658100"/>
            <wp:effectExtent l="0" t="0" r="0" b="0"/>
            <wp:docPr id="23" name="Picture 23" descr="http://publications.iodp.org/proceedings/370/102/figures/370_102_F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ublications.iodp.org/proceedings/370/102/figures/370_102_F09.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76900" cy="7658100"/>
                    </a:xfrm>
                    <a:prstGeom prst="rect">
                      <a:avLst/>
                    </a:prstGeom>
                    <a:noFill/>
                    <a:ln>
                      <a:noFill/>
                    </a:ln>
                  </pic:spPr>
                </pic:pic>
              </a:graphicData>
            </a:graphic>
          </wp:inline>
        </w:drawing>
      </w:r>
    </w:p>
    <w:p w:rsidR="00CC25EE" w:rsidRDefault="00CC25EE" w:rsidP="00B50913">
      <w:r>
        <w:br w:type="page"/>
      </w:r>
      <w:r>
        <w:lastRenderedPageBreak/>
        <w:t>Knockan Crag</w:t>
      </w:r>
    </w:p>
    <w:tbl>
      <w:tblPr>
        <w:tblStyle w:val="TableGrid"/>
        <w:tblW w:w="0" w:type="auto"/>
        <w:tblLook w:val="01E0" w:firstRow="1" w:lastRow="1" w:firstColumn="1" w:lastColumn="1" w:noHBand="0" w:noVBand="0"/>
      </w:tblPr>
      <w:tblGrid>
        <w:gridCol w:w="4502"/>
        <w:gridCol w:w="4514"/>
      </w:tblGrid>
      <w:tr w:rsidR="00CC25EE" w:rsidTr="00B50913">
        <w:tc>
          <w:tcPr>
            <w:tcW w:w="4621" w:type="dxa"/>
          </w:tcPr>
          <w:p w:rsidR="00CC25EE" w:rsidRDefault="00CC25EE" w:rsidP="00B50913">
            <w:pPr>
              <w:rPr>
                <w:sz w:val="22"/>
                <w:szCs w:val="22"/>
              </w:rPr>
            </w:pPr>
            <w:r>
              <w:rPr>
                <w:sz w:val="22"/>
                <w:szCs w:val="22"/>
              </w:rPr>
              <w:t>Sketch in Section</w:t>
            </w:r>
          </w:p>
        </w:tc>
        <w:tc>
          <w:tcPr>
            <w:tcW w:w="4621" w:type="dxa"/>
          </w:tcPr>
          <w:p w:rsidR="00CC25EE" w:rsidRDefault="00CC25EE" w:rsidP="00B50913">
            <w:pPr>
              <w:rPr>
                <w:sz w:val="22"/>
                <w:szCs w:val="22"/>
              </w:rPr>
            </w:pPr>
            <w:r>
              <w:rPr>
                <w:sz w:val="22"/>
                <w:szCs w:val="22"/>
              </w:rPr>
              <w:t>Recognition Criteria</w:t>
            </w:r>
          </w:p>
        </w:tc>
      </w:tr>
      <w:tr w:rsidR="00CC25EE" w:rsidTr="00B50913">
        <w:tc>
          <w:tcPr>
            <w:tcW w:w="4621" w:type="dxa"/>
          </w:tcPr>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tc>
        <w:tc>
          <w:tcPr>
            <w:tcW w:w="4621" w:type="dxa"/>
          </w:tcPr>
          <w:p w:rsidR="00CC25EE" w:rsidRDefault="00CC25EE" w:rsidP="00B50913">
            <w:pPr>
              <w:rPr>
                <w:sz w:val="22"/>
                <w:szCs w:val="22"/>
              </w:rPr>
            </w:pPr>
          </w:p>
          <w:p w:rsidR="00CC25EE" w:rsidRDefault="00CC25EE" w:rsidP="00B50913">
            <w:pPr>
              <w:rPr>
                <w:sz w:val="22"/>
                <w:szCs w:val="22"/>
              </w:rPr>
            </w:pPr>
            <w:r>
              <w:rPr>
                <w:sz w:val="22"/>
                <w:szCs w:val="22"/>
              </w:rPr>
              <w:t>•</w:t>
            </w:r>
          </w:p>
          <w:p w:rsidR="00CC25EE" w:rsidRDefault="00CC25EE" w:rsidP="00B50913">
            <w:pPr>
              <w:rPr>
                <w:sz w:val="22"/>
                <w:szCs w:val="22"/>
              </w:rPr>
            </w:pPr>
          </w:p>
          <w:p w:rsidR="00CC25EE" w:rsidRDefault="00CC25EE" w:rsidP="00B50913">
            <w:pPr>
              <w:rPr>
                <w:sz w:val="22"/>
                <w:szCs w:val="22"/>
              </w:rPr>
            </w:pPr>
            <w:r>
              <w:rPr>
                <w:sz w:val="22"/>
                <w:szCs w:val="22"/>
              </w:rPr>
              <w:t>•</w:t>
            </w:r>
          </w:p>
          <w:p w:rsidR="00CC25EE" w:rsidRDefault="00CC25EE" w:rsidP="00B50913">
            <w:pPr>
              <w:rPr>
                <w:sz w:val="22"/>
                <w:szCs w:val="22"/>
              </w:rPr>
            </w:pPr>
          </w:p>
          <w:p w:rsidR="00CC25EE" w:rsidRDefault="00CC25EE" w:rsidP="00B50913">
            <w:pPr>
              <w:rPr>
                <w:sz w:val="22"/>
                <w:szCs w:val="22"/>
              </w:rPr>
            </w:pPr>
            <w:r>
              <w:rPr>
                <w:sz w:val="22"/>
                <w:szCs w:val="22"/>
              </w:rPr>
              <w:t>•</w:t>
            </w:r>
          </w:p>
        </w:tc>
      </w:tr>
      <w:tr w:rsidR="00CC25EE" w:rsidTr="00B50913">
        <w:tc>
          <w:tcPr>
            <w:tcW w:w="4621" w:type="dxa"/>
          </w:tcPr>
          <w:p w:rsidR="00CC25EE" w:rsidRDefault="00CC25EE" w:rsidP="00D34C25">
            <w:pPr>
              <w:rPr>
                <w:sz w:val="22"/>
                <w:szCs w:val="22"/>
              </w:rPr>
            </w:pPr>
          </w:p>
          <w:p w:rsidR="00CC25EE" w:rsidRDefault="00CC25EE" w:rsidP="00D34C25">
            <w:pPr>
              <w:rPr>
                <w:sz w:val="22"/>
                <w:szCs w:val="22"/>
              </w:rPr>
            </w:pPr>
          </w:p>
          <w:p w:rsidR="00CC25EE" w:rsidRDefault="00CC25EE" w:rsidP="00D34C25">
            <w:pPr>
              <w:rPr>
                <w:sz w:val="22"/>
                <w:szCs w:val="22"/>
              </w:rPr>
            </w:pPr>
          </w:p>
          <w:p w:rsidR="00CC25EE" w:rsidRDefault="00CC25EE" w:rsidP="00D34C25">
            <w:pPr>
              <w:rPr>
                <w:sz w:val="22"/>
                <w:szCs w:val="22"/>
              </w:rPr>
            </w:pPr>
          </w:p>
          <w:p w:rsidR="00CC25EE" w:rsidRDefault="00CC25EE" w:rsidP="00D34C25">
            <w:pPr>
              <w:rPr>
                <w:sz w:val="22"/>
                <w:szCs w:val="22"/>
              </w:rPr>
            </w:pPr>
          </w:p>
          <w:p w:rsidR="00CC25EE" w:rsidRDefault="00CC25EE" w:rsidP="00D34C25">
            <w:pPr>
              <w:rPr>
                <w:sz w:val="22"/>
                <w:szCs w:val="22"/>
              </w:rPr>
            </w:pPr>
          </w:p>
          <w:p w:rsidR="00CC25EE" w:rsidRDefault="00CC25EE" w:rsidP="00D34C25">
            <w:pPr>
              <w:rPr>
                <w:sz w:val="22"/>
                <w:szCs w:val="22"/>
              </w:rPr>
            </w:pPr>
          </w:p>
        </w:tc>
        <w:tc>
          <w:tcPr>
            <w:tcW w:w="4621" w:type="dxa"/>
          </w:tcPr>
          <w:p w:rsidR="00CC25EE" w:rsidRDefault="00CC25EE" w:rsidP="00B50913">
            <w:pPr>
              <w:rPr>
                <w:sz w:val="22"/>
                <w:szCs w:val="22"/>
              </w:rPr>
            </w:pPr>
          </w:p>
          <w:p w:rsidR="00CC25EE" w:rsidRDefault="00CC25EE" w:rsidP="00B50913">
            <w:pPr>
              <w:rPr>
                <w:sz w:val="22"/>
                <w:szCs w:val="22"/>
              </w:rPr>
            </w:pPr>
            <w:r>
              <w:rPr>
                <w:sz w:val="22"/>
                <w:szCs w:val="22"/>
              </w:rPr>
              <w:t>•</w:t>
            </w:r>
          </w:p>
          <w:p w:rsidR="00CC25EE" w:rsidRDefault="00CC25EE" w:rsidP="00B50913">
            <w:pPr>
              <w:rPr>
                <w:sz w:val="22"/>
                <w:szCs w:val="22"/>
              </w:rPr>
            </w:pPr>
          </w:p>
          <w:p w:rsidR="00CC25EE" w:rsidRDefault="00CC25EE" w:rsidP="00B50913">
            <w:pPr>
              <w:rPr>
                <w:sz w:val="22"/>
                <w:szCs w:val="22"/>
              </w:rPr>
            </w:pPr>
            <w:r>
              <w:rPr>
                <w:sz w:val="22"/>
                <w:szCs w:val="22"/>
              </w:rPr>
              <w:t>•</w:t>
            </w:r>
          </w:p>
          <w:p w:rsidR="00CC25EE" w:rsidRDefault="00CC25EE" w:rsidP="00B50913">
            <w:pPr>
              <w:rPr>
                <w:sz w:val="22"/>
                <w:szCs w:val="22"/>
              </w:rPr>
            </w:pPr>
          </w:p>
          <w:p w:rsidR="00CC25EE" w:rsidRDefault="00CC25EE" w:rsidP="00B50913">
            <w:pPr>
              <w:rPr>
                <w:sz w:val="22"/>
                <w:szCs w:val="22"/>
              </w:rPr>
            </w:pPr>
            <w:r>
              <w:rPr>
                <w:sz w:val="22"/>
                <w:szCs w:val="22"/>
              </w:rPr>
              <w:t>•</w:t>
            </w:r>
          </w:p>
        </w:tc>
      </w:tr>
      <w:tr w:rsidR="00CC25EE" w:rsidTr="00B50913">
        <w:tc>
          <w:tcPr>
            <w:tcW w:w="4621" w:type="dxa"/>
          </w:tcPr>
          <w:p w:rsidR="00CC25EE" w:rsidRDefault="00CC25EE" w:rsidP="00D34C25">
            <w:pPr>
              <w:rPr>
                <w:sz w:val="22"/>
                <w:szCs w:val="22"/>
              </w:rPr>
            </w:pPr>
          </w:p>
          <w:p w:rsidR="00CC25EE" w:rsidRDefault="00CC25EE" w:rsidP="00D34C25">
            <w:pPr>
              <w:rPr>
                <w:sz w:val="22"/>
                <w:szCs w:val="22"/>
              </w:rPr>
            </w:pPr>
          </w:p>
          <w:p w:rsidR="00CC25EE" w:rsidRDefault="00CC25EE" w:rsidP="00D34C25">
            <w:pPr>
              <w:rPr>
                <w:sz w:val="22"/>
                <w:szCs w:val="22"/>
              </w:rPr>
            </w:pPr>
          </w:p>
          <w:p w:rsidR="00CC25EE" w:rsidRDefault="00CC25EE" w:rsidP="00D34C25">
            <w:pPr>
              <w:rPr>
                <w:sz w:val="22"/>
                <w:szCs w:val="22"/>
              </w:rPr>
            </w:pPr>
          </w:p>
          <w:p w:rsidR="00CC25EE" w:rsidRDefault="00CC25EE" w:rsidP="00D34C25">
            <w:pPr>
              <w:rPr>
                <w:sz w:val="22"/>
                <w:szCs w:val="22"/>
              </w:rPr>
            </w:pPr>
          </w:p>
          <w:p w:rsidR="00CC25EE" w:rsidRDefault="00CC25EE" w:rsidP="00D34C25">
            <w:pPr>
              <w:rPr>
                <w:sz w:val="22"/>
                <w:szCs w:val="22"/>
              </w:rPr>
            </w:pPr>
          </w:p>
          <w:p w:rsidR="00CC25EE" w:rsidRDefault="00CC25EE" w:rsidP="00D34C25">
            <w:pPr>
              <w:rPr>
                <w:sz w:val="22"/>
                <w:szCs w:val="22"/>
              </w:rPr>
            </w:pPr>
          </w:p>
        </w:tc>
        <w:tc>
          <w:tcPr>
            <w:tcW w:w="4621" w:type="dxa"/>
          </w:tcPr>
          <w:p w:rsidR="00CC25EE" w:rsidRDefault="00CC25EE" w:rsidP="00B50913">
            <w:pPr>
              <w:rPr>
                <w:sz w:val="22"/>
                <w:szCs w:val="22"/>
              </w:rPr>
            </w:pPr>
          </w:p>
          <w:p w:rsidR="00CC25EE" w:rsidRDefault="00CC25EE" w:rsidP="00B50913">
            <w:pPr>
              <w:rPr>
                <w:sz w:val="22"/>
                <w:szCs w:val="22"/>
              </w:rPr>
            </w:pPr>
            <w:r>
              <w:rPr>
                <w:sz w:val="22"/>
                <w:szCs w:val="22"/>
              </w:rPr>
              <w:t>•</w:t>
            </w:r>
          </w:p>
          <w:p w:rsidR="00CC25EE" w:rsidRDefault="00CC25EE" w:rsidP="00B50913">
            <w:pPr>
              <w:rPr>
                <w:sz w:val="22"/>
                <w:szCs w:val="22"/>
              </w:rPr>
            </w:pPr>
          </w:p>
          <w:p w:rsidR="00CC25EE" w:rsidRDefault="00CC25EE" w:rsidP="00B50913">
            <w:pPr>
              <w:rPr>
                <w:sz w:val="22"/>
                <w:szCs w:val="22"/>
              </w:rPr>
            </w:pPr>
            <w:r>
              <w:rPr>
                <w:sz w:val="22"/>
                <w:szCs w:val="22"/>
              </w:rPr>
              <w:t>•</w:t>
            </w:r>
          </w:p>
          <w:p w:rsidR="00CC25EE" w:rsidRDefault="00CC25EE" w:rsidP="00B50913">
            <w:pPr>
              <w:rPr>
                <w:sz w:val="22"/>
                <w:szCs w:val="22"/>
              </w:rPr>
            </w:pPr>
          </w:p>
          <w:p w:rsidR="00CC25EE" w:rsidRDefault="00CC25EE" w:rsidP="00B50913">
            <w:pPr>
              <w:rPr>
                <w:sz w:val="22"/>
                <w:szCs w:val="22"/>
              </w:rPr>
            </w:pPr>
            <w:r>
              <w:rPr>
                <w:sz w:val="22"/>
                <w:szCs w:val="22"/>
              </w:rPr>
              <w:t>•</w:t>
            </w:r>
          </w:p>
        </w:tc>
      </w:tr>
      <w:tr w:rsidR="00CC25EE" w:rsidTr="00B50913">
        <w:tc>
          <w:tcPr>
            <w:tcW w:w="4621" w:type="dxa"/>
          </w:tcPr>
          <w:p w:rsidR="00CC25EE" w:rsidRDefault="00CC25EE" w:rsidP="00D34C25">
            <w:pPr>
              <w:rPr>
                <w:sz w:val="22"/>
                <w:szCs w:val="22"/>
              </w:rPr>
            </w:pPr>
          </w:p>
          <w:p w:rsidR="00CC25EE" w:rsidRDefault="00CC25EE" w:rsidP="00D34C25">
            <w:pPr>
              <w:rPr>
                <w:sz w:val="22"/>
                <w:szCs w:val="22"/>
              </w:rPr>
            </w:pPr>
          </w:p>
          <w:p w:rsidR="00CC25EE" w:rsidRDefault="00CC25EE" w:rsidP="00D34C25">
            <w:pPr>
              <w:rPr>
                <w:sz w:val="22"/>
                <w:szCs w:val="22"/>
              </w:rPr>
            </w:pPr>
          </w:p>
          <w:p w:rsidR="00CC25EE" w:rsidRDefault="00CC25EE" w:rsidP="00D34C25">
            <w:pPr>
              <w:rPr>
                <w:sz w:val="22"/>
                <w:szCs w:val="22"/>
              </w:rPr>
            </w:pPr>
          </w:p>
          <w:p w:rsidR="00CC25EE" w:rsidRDefault="00CC25EE" w:rsidP="00D34C25">
            <w:pPr>
              <w:rPr>
                <w:sz w:val="22"/>
                <w:szCs w:val="22"/>
              </w:rPr>
            </w:pPr>
          </w:p>
          <w:p w:rsidR="00CC25EE" w:rsidRDefault="00CC25EE" w:rsidP="00D34C25">
            <w:pPr>
              <w:rPr>
                <w:sz w:val="22"/>
                <w:szCs w:val="22"/>
              </w:rPr>
            </w:pPr>
          </w:p>
          <w:p w:rsidR="00CC25EE" w:rsidRDefault="00CC25EE" w:rsidP="00D34C25">
            <w:pPr>
              <w:rPr>
                <w:sz w:val="22"/>
                <w:szCs w:val="22"/>
              </w:rPr>
            </w:pPr>
          </w:p>
        </w:tc>
        <w:tc>
          <w:tcPr>
            <w:tcW w:w="4621" w:type="dxa"/>
          </w:tcPr>
          <w:p w:rsidR="00CC25EE" w:rsidRDefault="00CC25EE" w:rsidP="00B50913">
            <w:pPr>
              <w:rPr>
                <w:sz w:val="22"/>
                <w:szCs w:val="22"/>
              </w:rPr>
            </w:pPr>
          </w:p>
          <w:p w:rsidR="00CC25EE" w:rsidRDefault="00CC25EE" w:rsidP="00B50913">
            <w:pPr>
              <w:rPr>
                <w:sz w:val="22"/>
                <w:szCs w:val="22"/>
              </w:rPr>
            </w:pPr>
            <w:r>
              <w:rPr>
                <w:sz w:val="22"/>
                <w:szCs w:val="22"/>
              </w:rPr>
              <w:t>•</w:t>
            </w:r>
          </w:p>
          <w:p w:rsidR="00CC25EE" w:rsidRDefault="00CC25EE" w:rsidP="00B50913">
            <w:pPr>
              <w:rPr>
                <w:sz w:val="22"/>
                <w:szCs w:val="22"/>
              </w:rPr>
            </w:pPr>
          </w:p>
          <w:p w:rsidR="00CC25EE" w:rsidRDefault="00CC25EE" w:rsidP="00B50913">
            <w:pPr>
              <w:rPr>
                <w:sz w:val="22"/>
                <w:szCs w:val="22"/>
              </w:rPr>
            </w:pPr>
            <w:r>
              <w:rPr>
                <w:sz w:val="22"/>
                <w:szCs w:val="22"/>
              </w:rPr>
              <w:t>•</w:t>
            </w:r>
          </w:p>
          <w:p w:rsidR="00CC25EE" w:rsidRDefault="00CC25EE" w:rsidP="00B50913">
            <w:pPr>
              <w:rPr>
                <w:sz w:val="22"/>
                <w:szCs w:val="22"/>
              </w:rPr>
            </w:pPr>
          </w:p>
          <w:p w:rsidR="00CC25EE" w:rsidRDefault="00CC25EE" w:rsidP="00B50913">
            <w:pPr>
              <w:rPr>
                <w:sz w:val="22"/>
                <w:szCs w:val="22"/>
              </w:rPr>
            </w:pPr>
            <w:r>
              <w:rPr>
                <w:sz w:val="22"/>
                <w:szCs w:val="22"/>
              </w:rPr>
              <w:t>•</w:t>
            </w:r>
          </w:p>
        </w:tc>
      </w:tr>
    </w:tbl>
    <w:p w:rsidR="00CC25EE" w:rsidRDefault="00CC25EE" w:rsidP="00B50913"/>
    <w:p w:rsidR="00CC25EE" w:rsidRDefault="00CC25EE" w:rsidP="00B50913">
      <w:r>
        <w:br w:type="page"/>
      </w:r>
      <w:r>
        <w:lastRenderedPageBreak/>
        <w:t>Assynt-Roadside, Imbrication and Interpreting detachments in core</w:t>
      </w:r>
    </w:p>
    <w:tbl>
      <w:tblPr>
        <w:tblStyle w:val="TableGrid"/>
        <w:tblW w:w="0" w:type="auto"/>
        <w:tblLook w:val="01E0" w:firstRow="1" w:lastRow="1" w:firstColumn="1" w:lastColumn="1" w:noHBand="0" w:noVBand="0"/>
      </w:tblPr>
      <w:tblGrid>
        <w:gridCol w:w="8322"/>
        <w:gridCol w:w="694"/>
      </w:tblGrid>
      <w:tr w:rsidR="00CC25EE" w:rsidTr="00B10368">
        <w:tc>
          <w:tcPr>
            <w:tcW w:w="8548" w:type="dxa"/>
          </w:tcPr>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tc>
        <w:tc>
          <w:tcPr>
            <w:tcW w:w="694" w:type="dxa"/>
          </w:tcPr>
          <w:p w:rsidR="00CC25EE" w:rsidRDefault="00CC25EE" w:rsidP="00B50913">
            <w:pPr>
              <w:rPr>
                <w:sz w:val="22"/>
                <w:szCs w:val="22"/>
              </w:rPr>
            </w:pPr>
          </w:p>
        </w:tc>
      </w:tr>
      <w:tr w:rsidR="00CC25EE" w:rsidTr="00B10368">
        <w:trPr>
          <w:cantSplit/>
          <w:trHeight w:val="1134"/>
        </w:trPr>
        <w:tc>
          <w:tcPr>
            <w:tcW w:w="8548" w:type="dxa"/>
          </w:tcPr>
          <w:p w:rsidR="00CC25EE" w:rsidRDefault="00CC25EE" w:rsidP="00B50913">
            <w:pPr>
              <w:rPr>
                <w:sz w:val="22"/>
                <w:szCs w:val="22"/>
              </w:rPr>
            </w:pPr>
          </w:p>
          <w:p w:rsidR="00CC25EE" w:rsidRDefault="00CC25EE" w:rsidP="00B50913">
            <w:pPr>
              <w:rPr>
                <w:sz w:val="22"/>
                <w:szCs w:val="22"/>
              </w:rPr>
            </w:pPr>
          </w:p>
        </w:tc>
        <w:tc>
          <w:tcPr>
            <w:tcW w:w="694" w:type="dxa"/>
            <w:textDirection w:val="tbRl"/>
          </w:tcPr>
          <w:p w:rsidR="00CC25EE" w:rsidRDefault="00CC25EE" w:rsidP="00B10368">
            <w:pPr>
              <w:ind w:left="113" w:right="113"/>
              <w:rPr>
                <w:sz w:val="22"/>
                <w:szCs w:val="22"/>
              </w:rPr>
            </w:pPr>
            <w:r>
              <w:rPr>
                <w:sz w:val="22"/>
                <w:szCs w:val="22"/>
              </w:rPr>
              <w:t>log</w:t>
            </w:r>
          </w:p>
        </w:tc>
      </w:tr>
      <w:tr w:rsidR="00CC25EE" w:rsidTr="00B10368">
        <w:trPr>
          <w:cantSplit/>
          <w:trHeight w:val="1134"/>
        </w:trPr>
        <w:tc>
          <w:tcPr>
            <w:tcW w:w="8548" w:type="dxa"/>
          </w:tcPr>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tc>
        <w:tc>
          <w:tcPr>
            <w:tcW w:w="694" w:type="dxa"/>
            <w:textDirection w:val="tbRl"/>
          </w:tcPr>
          <w:p w:rsidR="00CC25EE" w:rsidRDefault="00CC25EE" w:rsidP="00B10368">
            <w:pPr>
              <w:ind w:left="113" w:right="113"/>
              <w:rPr>
                <w:sz w:val="22"/>
                <w:szCs w:val="22"/>
              </w:rPr>
            </w:pPr>
            <w:r>
              <w:rPr>
                <w:sz w:val="22"/>
                <w:szCs w:val="22"/>
              </w:rPr>
              <w:t>dip</w:t>
            </w:r>
          </w:p>
        </w:tc>
      </w:tr>
      <w:tr w:rsidR="00CC25EE" w:rsidTr="00B10368">
        <w:trPr>
          <w:cantSplit/>
          <w:trHeight w:val="1134"/>
        </w:trPr>
        <w:tc>
          <w:tcPr>
            <w:tcW w:w="8548" w:type="dxa"/>
          </w:tcPr>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tc>
        <w:tc>
          <w:tcPr>
            <w:tcW w:w="694" w:type="dxa"/>
            <w:textDirection w:val="tbRl"/>
          </w:tcPr>
          <w:p w:rsidR="00CC25EE" w:rsidRDefault="00CC25EE" w:rsidP="00B10368">
            <w:pPr>
              <w:ind w:left="113" w:right="113"/>
              <w:rPr>
                <w:sz w:val="22"/>
                <w:szCs w:val="22"/>
              </w:rPr>
            </w:pPr>
            <w:r>
              <w:rPr>
                <w:sz w:val="22"/>
                <w:szCs w:val="22"/>
              </w:rPr>
              <w:t>structure</w:t>
            </w:r>
          </w:p>
        </w:tc>
      </w:tr>
    </w:tbl>
    <w:p w:rsidR="00CC25EE" w:rsidRDefault="00CC25EE" w:rsidP="00B50913"/>
    <w:p w:rsidR="00CC25EE" w:rsidRPr="00E265FF" w:rsidRDefault="00CC25EE" w:rsidP="00B50913">
      <w:pPr>
        <w:rPr>
          <w:b/>
        </w:rPr>
      </w:pPr>
      <w:r>
        <w:br w:type="page"/>
      </w:r>
      <w:r w:rsidRPr="00E265FF">
        <w:rPr>
          <w:b/>
        </w:rPr>
        <w:lastRenderedPageBreak/>
        <w:t>Lewisian – cross cutting relationships</w:t>
      </w:r>
    </w:p>
    <w:p w:rsidR="00CC25EE" w:rsidRDefault="00CC25EE" w:rsidP="00B50913">
      <w:r>
        <w:t>Compare the cross cutting relationships at Laxford Brae and on the North Coast .</w:t>
      </w:r>
    </w:p>
    <w:p w:rsidR="00CC25EE" w:rsidRDefault="00CC25EE" w:rsidP="00B50913"/>
    <w:tbl>
      <w:tblPr>
        <w:tblStyle w:val="TableGrid"/>
        <w:tblW w:w="0" w:type="auto"/>
        <w:tblLook w:val="01E0" w:firstRow="1" w:lastRow="1" w:firstColumn="1" w:lastColumn="1" w:noHBand="0" w:noVBand="0"/>
      </w:tblPr>
      <w:tblGrid>
        <w:gridCol w:w="8336"/>
        <w:gridCol w:w="680"/>
      </w:tblGrid>
      <w:tr w:rsidR="00CC25EE" w:rsidTr="006C2338">
        <w:trPr>
          <w:cantSplit/>
          <w:trHeight w:val="1134"/>
        </w:trPr>
        <w:tc>
          <w:tcPr>
            <w:tcW w:w="8568" w:type="dxa"/>
          </w:tcPr>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p w:rsidR="00CC25EE" w:rsidRDefault="00CC25EE" w:rsidP="00B50913">
            <w:pPr>
              <w:rPr>
                <w:sz w:val="22"/>
                <w:szCs w:val="22"/>
              </w:rPr>
            </w:pPr>
          </w:p>
        </w:tc>
        <w:tc>
          <w:tcPr>
            <w:tcW w:w="674" w:type="dxa"/>
            <w:textDirection w:val="tbRl"/>
          </w:tcPr>
          <w:p w:rsidR="00CC25EE" w:rsidRDefault="00CC25EE" w:rsidP="006C2338">
            <w:pPr>
              <w:ind w:left="113" w:right="113"/>
              <w:rPr>
                <w:sz w:val="22"/>
                <w:szCs w:val="22"/>
              </w:rPr>
            </w:pPr>
            <w:r>
              <w:rPr>
                <w:sz w:val="22"/>
                <w:szCs w:val="22"/>
              </w:rPr>
              <w:t>Lewisian at Laxford Brae</w:t>
            </w:r>
          </w:p>
        </w:tc>
      </w:tr>
      <w:tr w:rsidR="00CC25EE" w:rsidTr="006C2338">
        <w:trPr>
          <w:cantSplit/>
          <w:trHeight w:val="1134"/>
        </w:trPr>
        <w:tc>
          <w:tcPr>
            <w:tcW w:w="8568" w:type="dxa"/>
          </w:tcPr>
          <w:p w:rsidR="00CC25EE" w:rsidRDefault="00CC25EE" w:rsidP="00B10368">
            <w:pPr>
              <w:rPr>
                <w:sz w:val="22"/>
                <w:szCs w:val="22"/>
              </w:rPr>
            </w:pPr>
          </w:p>
          <w:p w:rsidR="00CC25EE" w:rsidRDefault="00CC25EE" w:rsidP="00B10368">
            <w:pPr>
              <w:rPr>
                <w:sz w:val="22"/>
                <w:szCs w:val="22"/>
              </w:rPr>
            </w:pPr>
          </w:p>
          <w:p w:rsidR="00CC25EE" w:rsidRDefault="00CC25EE" w:rsidP="00B10368">
            <w:pPr>
              <w:rPr>
                <w:sz w:val="22"/>
                <w:szCs w:val="22"/>
              </w:rPr>
            </w:pPr>
          </w:p>
          <w:p w:rsidR="00CC25EE" w:rsidRDefault="00CC25EE" w:rsidP="00B10368">
            <w:pPr>
              <w:rPr>
                <w:sz w:val="22"/>
                <w:szCs w:val="22"/>
              </w:rPr>
            </w:pPr>
          </w:p>
          <w:p w:rsidR="00CC25EE" w:rsidRDefault="00CC25EE" w:rsidP="00B10368">
            <w:pPr>
              <w:rPr>
                <w:sz w:val="22"/>
                <w:szCs w:val="22"/>
              </w:rPr>
            </w:pPr>
          </w:p>
          <w:p w:rsidR="00CC25EE" w:rsidRDefault="00CC25EE" w:rsidP="00B10368">
            <w:pPr>
              <w:rPr>
                <w:sz w:val="22"/>
                <w:szCs w:val="22"/>
              </w:rPr>
            </w:pPr>
          </w:p>
          <w:p w:rsidR="00CC25EE" w:rsidRDefault="00CC25EE" w:rsidP="00B10368">
            <w:pPr>
              <w:rPr>
                <w:sz w:val="22"/>
                <w:szCs w:val="22"/>
              </w:rPr>
            </w:pPr>
          </w:p>
          <w:p w:rsidR="00CC25EE" w:rsidRDefault="00CC25EE" w:rsidP="00B10368">
            <w:pPr>
              <w:rPr>
                <w:sz w:val="22"/>
                <w:szCs w:val="22"/>
              </w:rPr>
            </w:pPr>
          </w:p>
          <w:p w:rsidR="00CC25EE" w:rsidRDefault="00CC25EE" w:rsidP="00B10368">
            <w:pPr>
              <w:rPr>
                <w:sz w:val="22"/>
                <w:szCs w:val="22"/>
              </w:rPr>
            </w:pPr>
          </w:p>
          <w:p w:rsidR="00CC25EE" w:rsidRDefault="00CC25EE" w:rsidP="00B10368">
            <w:pPr>
              <w:rPr>
                <w:sz w:val="22"/>
                <w:szCs w:val="22"/>
              </w:rPr>
            </w:pPr>
          </w:p>
          <w:p w:rsidR="00CC25EE" w:rsidRDefault="00CC25EE" w:rsidP="00B10368">
            <w:pPr>
              <w:rPr>
                <w:sz w:val="22"/>
                <w:szCs w:val="22"/>
              </w:rPr>
            </w:pPr>
          </w:p>
          <w:p w:rsidR="00CC25EE" w:rsidRDefault="00CC25EE" w:rsidP="00B10368">
            <w:pPr>
              <w:rPr>
                <w:sz w:val="22"/>
                <w:szCs w:val="22"/>
              </w:rPr>
            </w:pPr>
          </w:p>
          <w:p w:rsidR="00CC25EE" w:rsidRDefault="00CC25EE" w:rsidP="00B50913">
            <w:pPr>
              <w:rPr>
                <w:sz w:val="22"/>
                <w:szCs w:val="22"/>
              </w:rPr>
            </w:pPr>
          </w:p>
        </w:tc>
        <w:tc>
          <w:tcPr>
            <w:tcW w:w="674" w:type="dxa"/>
            <w:textDirection w:val="tbRl"/>
          </w:tcPr>
          <w:p w:rsidR="00CC25EE" w:rsidRDefault="00CC25EE" w:rsidP="006C2338">
            <w:pPr>
              <w:ind w:left="113" w:right="113"/>
              <w:rPr>
                <w:sz w:val="22"/>
                <w:szCs w:val="22"/>
              </w:rPr>
            </w:pPr>
            <w:r>
              <w:rPr>
                <w:sz w:val="22"/>
                <w:szCs w:val="22"/>
              </w:rPr>
              <w:t>Lewisian- Boudinage</w:t>
            </w:r>
          </w:p>
        </w:tc>
      </w:tr>
    </w:tbl>
    <w:p w:rsidR="00AB318A" w:rsidRDefault="00CC25EE">
      <w:pPr>
        <w:spacing w:after="0" w:line="240" w:lineRule="auto"/>
      </w:pPr>
      <w:r>
        <w:br w:type="page"/>
      </w:r>
      <w:r w:rsidR="00AB318A">
        <w:lastRenderedPageBreak/>
        <w:br w:type="page"/>
      </w:r>
    </w:p>
    <w:p w:rsidR="00AB318A" w:rsidRDefault="00AB318A">
      <w:pPr>
        <w:spacing w:after="0" w:line="240" w:lineRule="auto"/>
        <w:rPr>
          <w:b/>
        </w:rPr>
      </w:pPr>
      <w:r>
        <w:rPr>
          <w:b/>
        </w:rPr>
        <w:lastRenderedPageBreak/>
        <w:br w:type="page"/>
      </w:r>
    </w:p>
    <w:p w:rsidR="00CC25EE" w:rsidRDefault="00CC25EE" w:rsidP="00B50913">
      <w:pPr>
        <w:rPr>
          <w:b/>
        </w:rPr>
      </w:pPr>
      <w:r w:rsidRPr="00B10368">
        <w:rPr>
          <w:b/>
        </w:rPr>
        <w:lastRenderedPageBreak/>
        <w:t>References</w:t>
      </w:r>
      <w:r w:rsidR="003B5C69">
        <w:rPr>
          <w:b/>
        </w:rPr>
        <w:t xml:space="preserve"> and Additional Reading</w:t>
      </w:r>
    </w:p>
    <w:p w:rsidR="00AB318A" w:rsidRDefault="00AB318A" w:rsidP="00AB318A">
      <w:r>
        <w:t xml:space="preserve">Amor, K., </w:t>
      </w:r>
      <w:proofErr w:type="spellStart"/>
      <w:r>
        <w:t>Hesselbo</w:t>
      </w:r>
      <w:proofErr w:type="spellEnd"/>
      <w:r>
        <w:t xml:space="preserve">, S.P., </w:t>
      </w:r>
      <w:proofErr w:type="spellStart"/>
      <w:r>
        <w:t>Porcelli</w:t>
      </w:r>
      <w:proofErr w:type="spellEnd"/>
      <w:r>
        <w:t>, D</w:t>
      </w:r>
      <w:proofErr w:type="gramStart"/>
      <w:r>
        <w:t>. ,</w:t>
      </w:r>
      <w:proofErr w:type="gramEnd"/>
      <w:r>
        <w:t xml:space="preserve"> Thacker S., Parnell J. (2008). A Precambrian proximal ejecta blanket from Scotland. Geology, 36 (4).</w:t>
      </w:r>
    </w:p>
    <w:p w:rsidR="003B5C69" w:rsidRDefault="003B5C69" w:rsidP="003B5C69">
      <w:r>
        <w:t xml:space="preserve">Goodenough K. and Krabbendam M. (2011) NMSE - Publishing Ltd (15 May 2011) </w:t>
      </w:r>
      <w:r w:rsidRPr="00614F03">
        <w:t>A Geological Excursion Guide to the North-West Highlands of Scotland</w:t>
      </w:r>
    </w:p>
    <w:p w:rsidR="003B5C69" w:rsidRDefault="003B5C69" w:rsidP="003B5C69">
      <w:r w:rsidRPr="00AB318A">
        <w:t xml:space="preserve">Heuer, V.B., Inagaki, F., Morono, Y., Kubo, Y., Maeda, L., and the Expedition 370 Scientists, 2017. Temperature Limit of the Deep Biosphere off </w:t>
      </w:r>
      <w:proofErr w:type="spellStart"/>
      <w:r w:rsidRPr="00AB318A">
        <w:t>Muroto</w:t>
      </w:r>
      <w:proofErr w:type="spellEnd"/>
      <w:r w:rsidRPr="00AB318A">
        <w:t>. Proceedings of the International Ocean Discovery Program, 370: College Station, TX (International Ocean Discovery Program). https://doi.org/10.14379/iodp.proc.370.2017</w:t>
      </w:r>
    </w:p>
    <w:p w:rsidR="003B5C69" w:rsidRDefault="003B5C69" w:rsidP="003B5C69">
      <w:pPr>
        <w:rPr>
          <w:rFonts w:ascii="Verdana" w:hAnsi="Verdana"/>
          <w:sz w:val="20"/>
          <w:szCs w:val="20"/>
        </w:rPr>
      </w:pPr>
      <w:r>
        <w:rPr>
          <w:rFonts w:ascii="Verdana" w:hAnsi="Verdana"/>
          <w:sz w:val="20"/>
          <w:szCs w:val="20"/>
        </w:rPr>
        <w:t xml:space="preserve">Moore, G.F., </w:t>
      </w:r>
      <w:proofErr w:type="spellStart"/>
      <w:r>
        <w:rPr>
          <w:rFonts w:ascii="Verdana" w:hAnsi="Verdana"/>
          <w:sz w:val="20"/>
          <w:szCs w:val="20"/>
        </w:rPr>
        <w:t>Taira</w:t>
      </w:r>
      <w:proofErr w:type="spellEnd"/>
      <w:r>
        <w:rPr>
          <w:rFonts w:ascii="Verdana" w:hAnsi="Verdana"/>
          <w:sz w:val="20"/>
          <w:szCs w:val="20"/>
        </w:rPr>
        <w:t xml:space="preserve">, A., Klaus, A., et al., 2001. </w:t>
      </w:r>
      <w:r>
        <w:rPr>
          <w:rFonts w:ascii="Verdana" w:hAnsi="Verdana"/>
          <w:i/>
          <w:iCs/>
          <w:sz w:val="20"/>
          <w:szCs w:val="20"/>
        </w:rPr>
        <w:t xml:space="preserve">Proc. ODP, Init. </w:t>
      </w:r>
      <w:proofErr w:type="spellStart"/>
      <w:r>
        <w:rPr>
          <w:rFonts w:ascii="Verdana" w:hAnsi="Verdana"/>
          <w:i/>
          <w:iCs/>
          <w:sz w:val="20"/>
          <w:szCs w:val="20"/>
        </w:rPr>
        <w:t>Repts</w:t>
      </w:r>
      <w:proofErr w:type="spellEnd"/>
      <w:r>
        <w:rPr>
          <w:rFonts w:ascii="Verdana" w:hAnsi="Verdana"/>
          <w:i/>
          <w:iCs/>
          <w:sz w:val="20"/>
          <w:szCs w:val="20"/>
        </w:rPr>
        <w:t>.,</w:t>
      </w:r>
      <w:r>
        <w:rPr>
          <w:rFonts w:ascii="Verdana" w:hAnsi="Verdana"/>
          <w:sz w:val="20"/>
          <w:szCs w:val="20"/>
        </w:rPr>
        <w:t xml:space="preserve"> 190: College Station, TX (Ocean Drilling Program). </w:t>
      </w:r>
      <w:r w:rsidRPr="003A419A">
        <w:rPr>
          <w:rFonts w:ascii="Verdana" w:hAnsi="Verdana"/>
          <w:sz w:val="20"/>
          <w:szCs w:val="20"/>
        </w:rPr>
        <w:t>doi:10.2973/odp.proc.ir.190.2001</w:t>
      </w:r>
    </w:p>
    <w:p w:rsidR="003B5C69" w:rsidRDefault="003B5C69" w:rsidP="003B5C69">
      <w:proofErr w:type="spellStart"/>
      <w:r>
        <w:t>P</w:t>
      </w:r>
      <w:r>
        <w:t>rave</w:t>
      </w:r>
      <w:proofErr w:type="spellEnd"/>
      <w:r>
        <w:t>,</w:t>
      </w:r>
      <w:r>
        <w:t xml:space="preserve"> </w:t>
      </w:r>
      <w:r>
        <w:t>A.R. 2002. Life on land in the Proterozoic: evidence from the Torridonian rocks of northwest Scotland. Geology, 40, 811-814.</w:t>
      </w:r>
    </w:p>
    <w:p w:rsidR="003B5C69" w:rsidRDefault="003B5C69" w:rsidP="003B5C69">
      <w:r>
        <w:t xml:space="preserve">Stewart, A.D., 2002, </w:t>
      </w:r>
      <w:proofErr w:type="gramStart"/>
      <w:r>
        <w:t>The</w:t>
      </w:r>
      <w:proofErr w:type="gramEnd"/>
      <w:r>
        <w:t xml:space="preserve"> later Proterozoic Torridonian rocks of Scotland: their sedimentology, Geochemistry and Origin. Memoir (Geological Society of London)</w:t>
      </w:r>
      <w:proofErr w:type="gramStart"/>
      <w:r>
        <w:t>,  No</w:t>
      </w:r>
      <w:proofErr w:type="gramEnd"/>
      <w:r>
        <w:t>. 24,  p. 5 –21.</w:t>
      </w:r>
    </w:p>
    <w:p w:rsidR="003B5C69" w:rsidRDefault="003B5C69" w:rsidP="003B5C69">
      <w:proofErr w:type="spellStart"/>
      <w:r>
        <w:rPr>
          <w:rStyle w:val="reference-text"/>
        </w:rPr>
        <w:t>Trewin</w:t>
      </w:r>
      <w:proofErr w:type="spellEnd"/>
      <w:r>
        <w:rPr>
          <w:rStyle w:val="reference-text"/>
        </w:rPr>
        <w:t>, NH (</w:t>
      </w:r>
      <w:proofErr w:type="spellStart"/>
      <w:proofErr w:type="gramStart"/>
      <w:r>
        <w:rPr>
          <w:rStyle w:val="reference-text"/>
        </w:rPr>
        <w:t>ed</w:t>
      </w:r>
      <w:proofErr w:type="spellEnd"/>
      <w:proofErr w:type="gramEnd"/>
      <w:r>
        <w:rPr>
          <w:rStyle w:val="reference-text"/>
        </w:rPr>
        <w:t xml:space="preserve">) 2002. </w:t>
      </w:r>
      <w:r>
        <w:rPr>
          <w:rStyle w:val="reference-text"/>
          <w:i/>
          <w:iCs/>
        </w:rPr>
        <w:t>The Geology of Scotland</w:t>
      </w:r>
      <w:r>
        <w:rPr>
          <w:rStyle w:val="reference-text"/>
        </w:rPr>
        <w:t xml:space="preserve">, (4th </w:t>
      </w:r>
      <w:proofErr w:type="spellStart"/>
      <w:r>
        <w:rPr>
          <w:rStyle w:val="reference-text"/>
        </w:rPr>
        <w:t>edn</w:t>
      </w:r>
      <w:proofErr w:type="spellEnd"/>
      <w:r>
        <w:rPr>
          <w:rStyle w:val="reference-text"/>
        </w:rPr>
        <w:t>) The Geological Society, London</w:t>
      </w:r>
      <w:r>
        <w:rPr>
          <w:rStyle w:val="reference-text"/>
        </w:rPr>
        <w:t>.</w:t>
      </w:r>
    </w:p>
    <w:p w:rsidR="003B5C69" w:rsidRDefault="003B5C69" w:rsidP="003B5C69"/>
    <w:p w:rsidR="00CC25EE" w:rsidRDefault="00CC25EE" w:rsidP="003B5C69"/>
    <w:sectPr w:rsidR="00CC25EE" w:rsidSect="00164440">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A5D"/>
    <w:rsid w:val="00005658"/>
    <w:rsid w:val="00027E49"/>
    <w:rsid w:val="0005045E"/>
    <w:rsid w:val="00097E50"/>
    <w:rsid w:val="00116A7A"/>
    <w:rsid w:val="00164440"/>
    <w:rsid w:val="00195AC8"/>
    <w:rsid w:val="001F7F09"/>
    <w:rsid w:val="00246221"/>
    <w:rsid w:val="00273C62"/>
    <w:rsid w:val="00287A80"/>
    <w:rsid w:val="002B6076"/>
    <w:rsid w:val="00302C11"/>
    <w:rsid w:val="003032D2"/>
    <w:rsid w:val="00335C5C"/>
    <w:rsid w:val="003509EA"/>
    <w:rsid w:val="003608C2"/>
    <w:rsid w:val="003A419A"/>
    <w:rsid w:val="003A7E45"/>
    <w:rsid w:val="003B03C4"/>
    <w:rsid w:val="003B48AB"/>
    <w:rsid w:val="003B5C69"/>
    <w:rsid w:val="003B600D"/>
    <w:rsid w:val="003E4F23"/>
    <w:rsid w:val="003F362C"/>
    <w:rsid w:val="00430B74"/>
    <w:rsid w:val="00463680"/>
    <w:rsid w:val="00471982"/>
    <w:rsid w:val="004D12A0"/>
    <w:rsid w:val="00592463"/>
    <w:rsid w:val="00593591"/>
    <w:rsid w:val="005A5C6A"/>
    <w:rsid w:val="005C4048"/>
    <w:rsid w:val="005F7228"/>
    <w:rsid w:val="00614F03"/>
    <w:rsid w:val="00641A24"/>
    <w:rsid w:val="006A00F1"/>
    <w:rsid w:val="006A54AC"/>
    <w:rsid w:val="006B060D"/>
    <w:rsid w:val="006C2338"/>
    <w:rsid w:val="00710A21"/>
    <w:rsid w:val="00776D58"/>
    <w:rsid w:val="00795147"/>
    <w:rsid w:val="007E31F5"/>
    <w:rsid w:val="007F109F"/>
    <w:rsid w:val="00845367"/>
    <w:rsid w:val="00902676"/>
    <w:rsid w:val="00905400"/>
    <w:rsid w:val="00912A5D"/>
    <w:rsid w:val="0091504A"/>
    <w:rsid w:val="00921B89"/>
    <w:rsid w:val="00967D0F"/>
    <w:rsid w:val="00995FD2"/>
    <w:rsid w:val="00A44CE6"/>
    <w:rsid w:val="00A63174"/>
    <w:rsid w:val="00AB318A"/>
    <w:rsid w:val="00AC3BE9"/>
    <w:rsid w:val="00AD747B"/>
    <w:rsid w:val="00B00EC5"/>
    <w:rsid w:val="00B10368"/>
    <w:rsid w:val="00B1275B"/>
    <w:rsid w:val="00B35F3F"/>
    <w:rsid w:val="00B50913"/>
    <w:rsid w:val="00B61F9B"/>
    <w:rsid w:val="00B75E0F"/>
    <w:rsid w:val="00BF2F86"/>
    <w:rsid w:val="00C1032F"/>
    <w:rsid w:val="00C64D18"/>
    <w:rsid w:val="00C87945"/>
    <w:rsid w:val="00C9259D"/>
    <w:rsid w:val="00CC25EE"/>
    <w:rsid w:val="00CF6797"/>
    <w:rsid w:val="00D06459"/>
    <w:rsid w:val="00D22D5A"/>
    <w:rsid w:val="00D34C25"/>
    <w:rsid w:val="00D52B8A"/>
    <w:rsid w:val="00D60924"/>
    <w:rsid w:val="00D64C45"/>
    <w:rsid w:val="00DB200D"/>
    <w:rsid w:val="00DD4BB1"/>
    <w:rsid w:val="00E265FF"/>
    <w:rsid w:val="00E37A05"/>
    <w:rsid w:val="00E42E37"/>
    <w:rsid w:val="00E5431C"/>
    <w:rsid w:val="00EB4ED4"/>
    <w:rsid w:val="00EC35E4"/>
    <w:rsid w:val="00EF23E6"/>
    <w:rsid w:val="00EF44E9"/>
    <w:rsid w:val="00F12319"/>
    <w:rsid w:val="00F25B3D"/>
    <w:rsid w:val="00F37D3D"/>
    <w:rsid w:val="00F950D2"/>
    <w:rsid w:val="00FD1B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reet"/>
  <w:smartTagType w:namespaceuri="urn:schemas-microsoft-com:office:smarttags" w:name="State"/>
  <w:smartTagType w:namespaceuri="urn:schemas-microsoft-com:office:smarttags" w:name="country-region"/>
  <w:smartTagType w:namespaceuri="urn:schemas-microsoft-com:office:smarttags" w:name="place"/>
  <w:shapeDefaults>
    <o:shapedefaults v:ext="edit" spidmax="1026"/>
    <o:shapelayout v:ext="edit">
      <o:idmap v:ext="edit" data="1"/>
    </o:shapelayout>
  </w:shapeDefaults>
  <w:decimalSymbol w:val="."/>
  <w:listSeparator w:val=","/>
  <w14:docId w14:val="21F041FC"/>
  <w15:docId w15:val="{E960FDCD-2D43-41B3-90EE-E88021C9E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3591"/>
    <w:pPr>
      <w:spacing w:after="160" w:line="259" w:lineRule="auto"/>
    </w:pPr>
    <w:rPr>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locked/>
    <w:rsid w:val="00592463"/>
    <w:rPr>
      <w:rFonts w:cs="Times New Roman"/>
      <w:b/>
    </w:rPr>
  </w:style>
  <w:style w:type="table" w:styleId="TableGrid">
    <w:name w:val="Table Grid"/>
    <w:basedOn w:val="TableNormal"/>
    <w:uiPriority w:val="99"/>
    <w:locked/>
    <w:rsid w:val="00116A7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608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08C2"/>
    <w:rPr>
      <w:rFonts w:ascii="Segoe UI" w:hAnsi="Segoe UI" w:cs="Segoe UI"/>
      <w:sz w:val="18"/>
      <w:szCs w:val="18"/>
      <w:lang w:eastAsia="en-US"/>
    </w:rPr>
  </w:style>
  <w:style w:type="character" w:styleId="Hyperlink">
    <w:name w:val="Hyperlink"/>
    <w:basedOn w:val="DefaultParagraphFont"/>
    <w:uiPriority w:val="99"/>
    <w:semiHidden/>
    <w:unhideWhenUsed/>
    <w:rsid w:val="003B5C69"/>
    <w:rPr>
      <w:color w:val="0000FF"/>
      <w:u w:val="single"/>
    </w:rPr>
  </w:style>
  <w:style w:type="character" w:customStyle="1" w:styleId="reference-text">
    <w:name w:val="reference-text"/>
    <w:basedOn w:val="DefaultParagraphFont"/>
    <w:rsid w:val="003B5C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7226709">
      <w:marLeft w:val="0"/>
      <w:marRight w:val="0"/>
      <w:marTop w:val="0"/>
      <w:marBottom w:val="0"/>
      <w:divBdr>
        <w:top w:val="none" w:sz="0" w:space="0" w:color="auto"/>
        <w:left w:val="none" w:sz="0" w:space="0" w:color="auto"/>
        <w:bottom w:val="none" w:sz="0" w:space="0" w:color="auto"/>
        <w:right w:val="none" w:sz="0" w:space="0" w:color="auto"/>
      </w:divBdr>
      <w:divsChild>
        <w:div w:id="1247226701">
          <w:marLeft w:val="0"/>
          <w:marRight w:val="0"/>
          <w:marTop w:val="0"/>
          <w:marBottom w:val="0"/>
          <w:divBdr>
            <w:top w:val="none" w:sz="0" w:space="0" w:color="auto"/>
            <w:left w:val="none" w:sz="0" w:space="0" w:color="auto"/>
            <w:bottom w:val="none" w:sz="0" w:space="0" w:color="auto"/>
            <w:right w:val="none" w:sz="0" w:space="0" w:color="auto"/>
          </w:divBdr>
        </w:div>
        <w:div w:id="1247226702">
          <w:marLeft w:val="0"/>
          <w:marRight w:val="0"/>
          <w:marTop w:val="0"/>
          <w:marBottom w:val="0"/>
          <w:divBdr>
            <w:top w:val="none" w:sz="0" w:space="0" w:color="auto"/>
            <w:left w:val="none" w:sz="0" w:space="0" w:color="auto"/>
            <w:bottom w:val="none" w:sz="0" w:space="0" w:color="auto"/>
            <w:right w:val="none" w:sz="0" w:space="0" w:color="auto"/>
          </w:divBdr>
        </w:div>
        <w:div w:id="1247226703">
          <w:marLeft w:val="0"/>
          <w:marRight w:val="0"/>
          <w:marTop w:val="0"/>
          <w:marBottom w:val="0"/>
          <w:divBdr>
            <w:top w:val="none" w:sz="0" w:space="0" w:color="auto"/>
            <w:left w:val="none" w:sz="0" w:space="0" w:color="auto"/>
            <w:bottom w:val="none" w:sz="0" w:space="0" w:color="auto"/>
            <w:right w:val="none" w:sz="0" w:space="0" w:color="auto"/>
          </w:divBdr>
        </w:div>
        <w:div w:id="1247226704">
          <w:marLeft w:val="0"/>
          <w:marRight w:val="0"/>
          <w:marTop w:val="0"/>
          <w:marBottom w:val="0"/>
          <w:divBdr>
            <w:top w:val="none" w:sz="0" w:space="0" w:color="auto"/>
            <w:left w:val="none" w:sz="0" w:space="0" w:color="auto"/>
            <w:bottom w:val="none" w:sz="0" w:space="0" w:color="auto"/>
            <w:right w:val="none" w:sz="0" w:space="0" w:color="auto"/>
          </w:divBdr>
        </w:div>
        <w:div w:id="1247226705">
          <w:marLeft w:val="0"/>
          <w:marRight w:val="0"/>
          <w:marTop w:val="0"/>
          <w:marBottom w:val="0"/>
          <w:divBdr>
            <w:top w:val="none" w:sz="0" w:space="0" w:color="auto"/>
            <w:left w:val="none" w:sz="0" w:space="0" w:color="auto"/>
            <w:bottom w:val="none" w:sz="0" w:space="0" w:color="auto"/>
            <w:right w:val="none" w:sz="0" w:space="0" w:color="auto"/>
          </w:divBdr>
        </w:div>
        <w:div w:id="1247226706">
          <w:marLeft w:val="0"/>
          <w:marRight w:val="0"/>
          <w:marTop w:val="0"/>
          <w:marBottom w:val="0"/>
          <w:divBdr>
            <w:top w:val="none" w:sz="0" w:space="0" w:color="auto"/>
            <w:left w:val="none" w:sz="0" w:space="0" w:color="auto"/>
            <w:bottom w:val="none" w:sz="0" w:space="0" w:color="auto"/>
            <w:right w:val="none" w:sz="0" w:space="0" w:color="auto"/>
          </w:divBdr>
        </w:div>
        <w:div w:id="1247226707">
          <w:marLeft w:val="0"/>
          <w:marRight w:val="0"/>
          <w:marTop w:val="0"/>
          <w:marBottom w:val="0"/>
          <w:divBdr>
            <w:top w:val="none" w:sz="0" w:space="0" w:color="auto"/>
            <w:left w:val="none" w:sz="0" w:space="0" w:color="auto"/>
            <w:bottom w:val="none" w:sz="0" w:space="0" w:color="auto"/>
            <w:right w:val="none" w:sz="0" w:space="0" w:color="auto"/>
          </w:divBdr>
        </w:div>
        <w:div w:id="1247226708">
          <w:marLeft w:val="0"/>
          <w:marRight w:val="0"/>
          <w:marTop w:val="0"/>
          <w:marBottom w:val="0"/>
          <w:divBdr>
            <w:top w:val="none" w:sz="0" w:space="0" w:color="auto"/>
            <w:left w:val="none" w:sz="0" w:space="0" w:color="auto"/>
            <w:bottom w:val="none" w:sz="0" w:space="0" w:color="auto"/>
            <w:right w:val="none" w:sz="0" w:space="0" w:color="auto"/>
          </w:divBdr>
        </w:div>
        <w:div w:id="1247226710">
          <w:marLeft w:val="0"/>
          <w:marRight w:val="0"/>
          <w:marTop w:val="0"/>
          <w:marBottom w:val="0"/>
          <w:divBdr>
            <w:top w:val="none" w:sz="0" w:space="0" w:color="auto"/>
            <w:left w:val="none" w:sz="0" w:space="0" w:color="auto"/>
            <w:bottom w:val="none" w:sz="0" w:space="0" w:color="auto"/>
            <w:right w:val="none" w:sz="0" w:space="0" w:color="auto"/>
          </w:divBdr>
        </w:div>
        <w:div w:id="1247226711">
          <w:marLeft w:val="0"/>
          <w:marRight w:val="0"/>
          <w:marTop w:val="0"/>
          <w:marBottom w:val="0"/>
          <w:divBdr>
            <w:top w:val="none" w:sz="0" w:space="0" w:color="auto"/>
            <w:left w:val="none" w:sz="0" w:space="0" w:color="auto"/>
            <w:bottom w:val="none" w:sz="0" w:space="0" w:color="auto"/>
            <w:right w:val="none" w:sz="0" w:space="0" w:color="auto"/>
          </w:divBdr>
        </w:div>
        <w:div w:id="1247226712">
          <w:marLeft w:val="0"/>
          <w:marRight w:val="0"/>
          <w:marTop w:val="0"/>
          <w:marBottom w:val="0"/>
          <w:divBdr>
            <w:top w:val="none" w:sz="0" w:space="0" w:color="auto"/>
            <w:left w:val="none" w:sz="0" w:space="0" w:color="auto"/>
            <w:bottom w:val="none" w:sz="0" w:space="0" w:color="auto"/>
            <w:right w:val="none" w:sz="0" w:space="0" w:color="auto"/>
          </w:divBdr>
        </w:div>
      </w:divsChild>
    </w:div>
    <w:div w:id="1247226713">
      <w:marLeft w:val="0"/>
      <w:marRight w:val="0"/>
      <w:marTop w:val="0"/>
      <w:marBottom w:val="0"/>
      <w:divBdr>
        <w:top w:val="none" w:sz="0" w:space="0" w:color="auto"/>
        <w:left w:val="none" w:sz="0" w:space="0" w:color="auto"/>
        <w:bottom w:val="none" w:sz="0" w:space="0" w:color="auto"/>
        <w:right w:val="none" w:sz="0" w:space="0" w:color="auto"/>
      </w:divBdr>
    </w:div>
    <w:div w:id="1466850739">
      <w:bodyDiv w:val="1"/>
      <w:marLeft w:val="0"/>
      <w:marRight w:val="0"/>
      <w:marTop w:val="0"/>
      <w:marBottom w:val="0"/>
      <w:divBdr>
        <w:top w:val="none" w:sz="0" w:space="0" w:color="auto"/>
        <w:left w:val="none" w:sz="0" w:space="0" w:color="auto"/>
        <w:bottom w:val="none" w:sz="0" w:space="0" w:color="auto"/>
        <w:right w:val="none" w:sz="0" w:space="0" w:color="auto"/>
      </w:divBdr>
      <w:divsChild>
        <w:div w:id="1338773400">
          <w:marLeft w:val="0"/>
          <w:marRight w:val="0"/>
          <w:marTop w:val="0"/>
          <w:marBottom w:val="0"/>
          <w:divBdr>
            <w:top w:val="none" w:sz="0" w:space="0" w:color="auto"/>
            <w:left w:val="none" w:sz="0" w:space="0" w:color="auto"/>
            <w:bottom w:val="none" w:sz="0" w:space="0" w:color="auto"/>
            <w:right w:val="none" w:sz="0" w:space="0" w:color="auto"/>
          </w:divBdr>
        </w:div>
        <w:div w:id="1356231551">
          <w:marLeft w:val="0"/>
          <w:marRight w:val="0"/>
          <w:marTop w:val="0"/>
          <w:marBottom w:val="0"/>
          <w:divBdr>
            <w:top w:val="none" w:sz="0" w:space="0" w:color="auto"/>
            <w:left w:val="none" w:sz="0" w:space="0" w:color="auto"/>
            <w:bottom w:val="none" w:sz="0" w:space="0" w:color="auto"/>
            <w:right w:val="none" w:sz="0" w:space="0" w:color="auto"/>
          </w:divBdr>
        </w:div>
        <w:div w:id="56442688">
          <w:marLeft w:val="0"/>
          <w:marRight w:val="0"/>
          <w:marTop w:val="0"/>
          <w:marBottom w:val="0"/>
          <w:divBdr>
            <w:top w:val="none" w:sz="0" w:space="0" w:color="auto"/>
            <w:left w:val="none" w:sz="0" w:space="0" w:color="auto"/>
            <w:bottom w:val="none" w:sz="0" w:space="0" w:color="auto"/>
            <w:right w:val="none" w:sz="0" w:space="0" w:color="auto"/>
          </w:divBdr>
        </w:div>
        <w:div w:id="35589316">
          <w:marLeft w:val="0"/>
          <w:marRight w:val="0"/>
          <w:marTop w:val="0"/>
          <w:marBottom w:val="0"/>
          <w:divBdr>
            <w:top w:val="none" w:sz="0" w:space="0" w:color="auto"/>
            <w:left w:val="none" w:sz="0" w:space="0" w:color="auto"/>
            <w:bottom w:val="none" w:sz="0" w:space="0" w:color="auto"/>
            <w:right w:val="none" w:sz="0" w:space="0" w:color="auto"/>
          </w:divBdr>
        </w:div>
        <w:div w:id="1314944287">
          <w:marLeft w:val="0"/>
          <w:marRight w:val="0"/>
          <w:marTop w:val="0"/>
          <w:marBottom w:val="0"/>
          <w:divBdr>
            <w:top w:val="none" w:sz="0" w:space="0" w:color="auto"/>
            <w:left w:val="none" w:sz="0" w:space="0" w:color="auto"/>
            <w:bottom w:val="none" w:sz="0" w:space="0" w:color="auto"/>
            <w:right w:val="none" w:sz="0" w:space="0" w:color="auto"/>
          </w:divBdr>
        </w:div>
        <w:div w:id="1524786055">
          <w:marLeft w:val="0"/>
          <w:marRight w:val="0"/>
          <w:marTop w:val="0"/>
          <w:marBottom w:val="0"/>
          <w:divBdr>
            <w:top w:val="none" w:sz="0" w:space="0" w:color="auto"/>
            <w:left w:val="none" w:sz="0" w:space="0" w:color="auto"/>
            <w:bottom w:val="none" w:sz="0" w:space="0" w:color="auto"/>
            <w:right w:val="none" w:sz="0" w:space="0" w:color="auto"/>
          </w:divBdr>
        </w:div>
        <w:div w:id="1429496106">
          <w:marLeft w:val="0"/>
          <w:marRight w:val="0"/>
          <w:marTop w:val="0"/>
          <w:marBottom w:val="0"/>
          <w:divBdr>
            <w:top w:val="none" w:sz="0" w:space="0" w:color="auto"/>
            <w:left w:val="none" w:sz="0" w:space="0" w:color="auto"/>
            <w:bottom w:val="none" w:sz="0" w:space="0" w:color="auto"/>
            <w:right w:val="none" w:sz="0" w:space="0" w:color="auto"/>
          </w:divBdr>
        </w:div>
        <w:div w:id="522715331">
          <w:marLeft w:val="0"/>
          <w:marRight w:val="0"/>
          <w:marTop w:val="0"/>
          <w:marBottom w:val="0"/>
          <w:divBdr>
            <w:top w:val="none" w:sz="0" w:space="0" w:color="auto"/>
            <w:left w:val="none" w:sz="0" w:space="0" w:color="auto"/>
            <w:bottom w:val="none" w:sz="0" w:space="0" w:color="auto"/>
            <w:right w:val="none" w:sz="0" w:space="0" w:color="auto"/>
          </w:divBdr>
        </w:div>
        <w:div w:id="823854949">
          <w:marLeft w:val="0"/>
          <w:marRight w:val="0"/>
          <w:marTop w:val="0"/>
          <w:marBottom w:val="0"/>
          <w:divBdr>
            <w:top w:val="none" w:sz="0" w:space="0" w:color="auto"/>
            <w:left w:val="none" w:sz="0" w:space="0" w:color="auto"/>
            <w:bottom w:val="none" w:sz="0" w:space="0" w:color="auto"/>
            <w:right w:val="none" w:sz="0" w:space="0" w:color="auto"/>
          </w:divBdr>
        </w:div>
        <w:div w:id="1122043171">
          <w:marLeft w:val="0"/>
          <w:marRight w:val="0"/>
          <w:marTop w:val="0"/>
          <w:marBottom w:val="0"/>
          <w:divBdr>
            <w:top w:val="none" w:sz="0" w:space="0" w:color="auto"/>
            <w:left w:val="none" w:sz="0" w:space="0" w:color="auto"/>
            <w:bottom w:val="none" w:sz="0" w:space="0" w:color="auto"/>
            <w:right w:val="none" w:sz="0" w:space="0" w:color="auto"/>
          </w:divBdr>
        </w:div>
        <w:div w:id="707267174">
          <w:marLeft w:val="0"/>
          <w:marRight w:val="0"/>
          <w:marTop w:val="0"/>
          <w:marBottom w:val="0"/>
          <w:divBdr>
            <w:top w:val="none" w:sz="0" w:space="0" w:color="auto"/>
            <w:left w:val="none" w:sz="0" w:space="0" w:color="auto"/>
            <w:bottom w:val="none" w:sz="0" w:space="0" w:color="auto"/>
            <w:right w:val="none" w:sz="0" w:space="0" w:color="auto"/>
          </w:divBdr>
        </w:div>
        <w:div w:id="2016180357">
          <w:marLeft w:val="0"/>
          <w:marRight w:val="0"/>
          <w:marTop w:val="0"/>
          <w:marBottom w:val="0"/>
          <w:divBdr>
            <w:top w:val="none" w:sz="0" w:space="0" w:color="auto"/>
            <w:left w:val="none" w:sz="0" w:space="0" w:color="auto"/>
            <w:bottom w:val="none" w:sz="0" w:space="0" w:color="auto"/>
            <w:right w:val="none" w:sz="0" w:space="0" w:color="auto"/>
          </w:divBdr>
        </w:div>
        <w:div w:id="1085348230">
          <w:marLeft w:val="0"/>
          <w:marRight w:val="0"/>
          <w:marTop w:val="0"/>
          <w:marBottom w:val="0"/>
          <w:divBdr>
            <w:top w:val="none" w:sz="0" w:space="0" w:color="auto"/>
            <w:left w:val="none" w:sz="0" w:space="0" w:color="auto"/>
            <w:bottom w:val="none" w:sz="0" w:space="0" w:color="auto"/>
            <w:right w:val="none" w:sz="0" w:space="0" w:color="auto"/>
          </w:divBdr>
        </w:div>
        <w:div w:id="8824498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emf"/><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9FE2E9-5A7F-4968-A949-94A1FB9D3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1902</Words>
  <Characters>10842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Geological History of the NW</vt:lpstr>
    </vt:vector>
  </TitlesOfParts>
  <Company>University of Aberdeen</Company>
  <LinksUpToDate>false</LinksUpToDate>
  <CharactersWithSpaces>12719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Geological History of the NW</dc:title>
  <dc:subject/>
  <dc:creator>Bowden, Dr Stephen A.</dc:creator>
  <cp:keywords/>
  <dc:description/>
  <cp:lastModifiedBy>Bowden, Dr Stephen A.</cp:lastModifiedBy>
  <cp:revision>2</cp:revision>
  <cp:lastPrinted>2018-05-22T09:04:00Z</cp:lastPrinted>
  <dcterms:created xsi:type="dcterms:W3CDTF">2018-05-22T09:55:00Z</dcterms:created>
  <dcterms:modified xsi:type="dcterms:W3CDTF">2018-05-22T09:55:00Z</dcterms:modified>
</cp:coreProperties>
</file>