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FD" w:rsidRDefault="00402FFD" w:rsidP="00402FFD">
      <w:pPr>
        <w:rPr>
          <w:rFonts w:cstheme="minorHAnsi"/>
          <w:b/>
        </w:rPr>
      </w:pPr>
      <w:bookmarkStart w:id="0" w:name="_GoBack"/>
      <w:bookmarkEnd w:id="0"/>
    </w:p>
    <w:p w:rsidR="00402FFD" w:rsidRPr="00BE365D" w:rsidRDefault="00402FFD" w:rsidP="00402FFD">
      <w:pPr>
        <w:rPr>
          <w:rFonts w:cstheme="minorHAnsi"/>
          <w:b/>
        </w:rPr>
      </w:pPr>
      <w:r w:rsidRPr="00BE365D">
        <w:rPr>
          <w:rFonts w:cstheme="minorHAnsi"/>
          <w:b/>
        </w:rPr>
        <w:t>What is a Bupa Wellbeing health expenses?</w:t>
      </w:r>
    </w:p>
    <w:p w:rsidR="00402FFD" w:rsidRPr="00BE365D" w:rsidRDefault="00402FFD" w:rsidP="00402FFD">
      <w:pPr>
        <w:rPr>
          <w:rFonts w:cstheme="minorHAnsi"/>
        </w:rPr>
      </w:pPr>
      <w:r w:rsidRPr="00BE365D">
        <w:rPr>
          <w:rFonts w:cstheme="minorHAnsi"/>
        </w:rPr>
        <w:t>Bupa wellbeing health expenses offers money back towards your everyday healthcare costs such as dental treatment, eye tests, private consultations and prescriptions.</w:t>
      </w:r>
    </w:p>
    <w:p w:rsidR="00402FFD" w:rsidRPr="00BE365D" w:rsidRDefault="00402FFD" w:rsidP="00402FFD">
      <w:pPr>
        <w:rPr>
          <w:rFonts w:cstheme="minorHAnsi"/>
        </w:rPr>
      </w:pPr>
    </w:p>
    <w:p w:rsidR="00402FFD" w:rsidRPr="00BE365D" w:rsidRDefault="00402FFD" w:rsidP="00402FFD">
      <w:pPr>
        <w:rPr>
          <w:rFonts w:cstheme="minorHAnsi"/>
          <w:b/>
        </w:rPr>
      </w:pPr>
      <w:r w:rsidRPr="00BE365D">
        <w:rPr>
          <w:rFonts w:cstheme="minorHAnsi"/>
          <w:b/>
        </w:rPr>
        <w:t>How does it work?</w:t>
      </w:r>
    </w:p>
    <w:p w:rsidR="00402FFD" w:rsidRPr="00BE365D" w:rsidRDefault="00402FFD" w:rsidP="00402FFD">
      <w:pPr>
        <w:rPr>
          <w:rFonts w:cstheme="minorHAnsi"/>
        </w:rPr>
      </w:pPr>
      <w:r w:rsidRPr="00BE365D">
        <w:rPr>
          <w:rFonts w:cstheme="minorHAnsi"/>
        </w:rPr>
        <w:t>You choose where you want to receive your treatment.   You pay upfront and then claim the cash back to help cover the cost up to your annual benefit limit</w:t>
      </w:r>
      <w:r>
        <w:rPr>
          <w:rFonts w:cstheme="minorHAnsi"/>
        </w:rPr>
        <w:t>s</w:t>
      </w:r>
      <w:r w:rsidRPr="00BE365D">
        <w:rPr>
          <w:rFonts w:cstheme="minorHAnsi"/>
        </w:rPr>
        <w:t>.</w:t>
      </w:r>
    </w:p>
    <w:p w:rsidR="00402FFD" w:rsidRPr="00BE365D" w:rsidRDefault="00402FFD" w:rsidP="00402FFD">
      <w:pPr>
        <w:rPr>
          <w:rFonts w:cstheme="minorHAnsi"/>
        </w:rPr>
      </w:pPr>
    </w:p>
    <w:p w:rsidR="00402FFD" w:rsidRPr="00771AA6" w:rsidRDefault="00402FFD" w:rsidP="00402FFD">
      <w:pPr>
        <w:rPr>
          <w:rFonts w:cstheme="minorHAnsi"/>
          <w:b/>
        </w:rPr>
      </w:pPr>
      <w:r>
        <w:rPr>
          <w:rFonts w:cstheme="minorHAnsi"/>
          <w:b/>
        </w:rPr>
        <w:t>What are</w:t>
      </w:r>
      <w:r w:rsidRPr="00771AA6">
        <w:rPr>
          <w:rFonts w:cstheme="minorHAnsi"/>
          <w:b/>
        </w:rPr>
        <w:t xml:space="preserve"> my annual benefit limit</w:t>
      </w:r>
      <w:r>
        <w:rPr>
          <w:rFonts w:cstheme="minorHAnsi"/>
          <w:b/>
        </w:rPr>
        <w:t>s</w:t>
      </w:r>
      <w:r w:rsidRPr="00771AA6">
        <w:rPr>
          <w:rFonts w:cstheme="minorHAnsi"/>
          <w:b/>
        </w:rPr>
        <w:t>?</w:t>
      </w:r>
    </w:p>
    <w:p w:rsidR="00402FFD" w:rsidRPr="00BE365D" w:rsidRDefault="00402FFD" w:rsidP="00402FFD">
      <w:pPr>
        <w:rPr>
          <w:rFonts w:cstheme="minorHAnsi"/>
        </w:rPr>
      </w:pPr>
      <w:r w:rsidRPr="00BE365D">
        <w:rPr>
          <w:rFonts w:cstheme="minorHAnsi"/>
        </w:rPr>
        <w:t>Please refer to the below table</w:t>
      </w:r>
      <w:r>
        <w:rPr>
          <w:rFonts w:cstheme="minorHAnsi"/>
        </w:rPr>
        <w:t xml:space="preserve"> – Level 1 Benefits</w:t>
      </w:r>
    </w:p>
    <w:p w:rsidR="00402FFD" w:rsidRPr="00BE365D" w:rsidRDefault="00402FFD" w:rsidP="00402FF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395"/>
      </w:tblGrid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  <w:b/>
              </w:rPr>
            </w:pPr>
            <w:r w:rsidRPr="00BE365D">
              <w:rPr>
                <w:rFonts w:cstheme="minorHAnsi"/>
                <w:b/>
              </w:rPr>
              <w:t>Treatment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  <w:b/>
              </w:rPr>
            </w:pPr>
            <w:r w:rsidRPr="00BE365D">
              <w:rPr>
                <w:rFonts w:cstheme="minorHAnsi"/>
                <w:b/>
              </w:rPr>
              <w:t>Annual benefit limit</w:t>
            </w:r>
            <w:r>
              <w:rPr>
                <w:rFonts w:cstheme="minorHAnsi"/>
                <w:b/>
              </w:rPr>
              <w:t xml:space="preserve"> – </w:t>
            </w:r>
            <w:r w:rsidRPr="004E7F2A">
              <w:rPr>
                <w:rFonts w:cstheme="minorHAnsi"/>
                <w:b/>
                <w:i/>
                <w:color w:val="FF0000"/>
                <w:u w:val="single"/>
              </w:rPr>
              <w:t>up to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 xml:space="preserve">Access to </w:t>
            </w:r>
            <w:r>
              <w:rPr>
                <w:rFonts w:cstheme="minorHAnsi"/>
              </w:rPr>
              <w:t>Bupa</w:t>
            </w:r>
            <w:r w:rsidRPr="00BE365D">
              <w:rPr>
                <w:rFonts w:cstheme="minorHAnsi"/>
              </w:rPr>
              <w:t xml:space="preserve"> online health assessment tool</w:t>
            </w:r>
            <w:r>
              <w:rPr>
                <w:rFonts w:cstheme="minorHAnsi"/>
              </w:rPr>
              <w:t xml:space="preserve"> – Positive Health</w:t>
            </w:r>
          </w:p>
        </w:tc>
        <w:tc>
          <w:tcPr>
            <w:tcW w:w="4395" w:type="dxa"/>
          </w:tcPr>
          <w:p w:rsidR="00402FF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Included</w:t>
            </w:r>
          </w:p>
          <w:p w:rsidR="00402FFD" w:rsidRPr="00BE365D" w:rsidRDefault="00402FFD" w:rsidP="00972D2F">
            <w:pPr>
              <w:rPr>
                <w:rFonts w:cstheme="minorHAnsi"/>
              </w:rPr>
            </w:pP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A health assessment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£100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Dental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£60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Dental injury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£200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Optical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£60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Treatments (physiotherapy, osteopathy, chiropractic, chiropody, acupuncture)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£150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Prescriptions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£25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Consultation and diagnostics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£200</w:t>
            </w:r>
          </w:p>
        </w:tc>
      </w:tr>
      <w:tr w:rsidR="00402FFD" w:rsidRPr="00BE365D" w:rsidTr="00972D2F">
        <w:tc>
          <w:tcPr>
            <w:tcW w:w="4077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Hospital (in-patient, day-surgery)</w:t>
            </w:r>
          </w:p>
        </w:tc>
        <w:tc>
          <w:tcPr>
            <w:tcW w:w="4395" w:type="dxa"/>
          </w:tcPr>
          <w:p w:rsidR="00402FFD" w:rsidRPr="00BE365D" w:rsidRDefault="00402FFD" w:rsidP="00972D2F">
            <w:pPr>
              <w:rPr>
                <w:rFonts w:cstheme="minorHAnsi"/>
              </w:rPr>
            </w:pPr>
            <w:r w:rsidRPr="00BE365D">
              <w:rPr>
                <w:rFonts w:cstheme="minorHAnsi"/>
              </w:rPr>
              <w:t>£20 per night for 20 days/nights</w:t>
            </w:r>
          </w:p>
        </w:tc>
      </w:tr>
    </w:tbl>
    <w:p w:rsidR="00402FFD" w:rsidRPr="00BE365D" w:rsidRDefault="00402FFD" w:rsidP="00402FFD">
      <w:pPr>
        <w:rPr>
          <w:rFonts w:cstheme="minorHAnsi"/>
        </w:rPr>
      </w:pPr>
    </w:p>
    <w:p w:rsidR="00402FFD" w:rsidRPr="00BE365D" w:rsidRDefault="00402FFD" w:rsidP="00402FFD">
      <w:pPr>
        <w:rPr>
          <w:rFonts w:cstheme="minorHAnsi"/>
          <w:b/>
        </w:rPr>
      </w:pPr>
      <w:r w:rsidRPr="00BE365D">
        <w:rPr>
          <w:rFonts w:cstheme="minorHAnsi"/>
          <w:b/>
        </w:rPr>
        <w:t>Are dependents included in the plan?</w:t>
      </w:r>
    </w:p>
    <w:p w:rsidR="00402FFD" w:rsidRPr="00BE365D" w:rsidRDefault="00402FFD" w:rsidP="00402FFD">
      <w:pPr>
        <w:rPr>
          <w:rFonts w:cstheme="minorHAnsi"/>
        </w:rPr>
      </w:pPr>
      <w:r w:rsidRPr="00BE365D">
        <w:rPr>
          <w:rFonts w:cstheme="minorHAnsi"/>
        </w:rPr>
        <w:t xml:space="preserve">This plan will cover up to 4 of your </w:t>
      </w:r>
      <w:r>
        <w:rPr>
          <w:rFonts w:cstheme="minorHAnsi"/>
        </w:rPr>
        <w:t>children FREE of charge up to the age of 21</w:t>
      </w:r>
      <w:r w:rsidRPr="00BE365D">
        <w:rPr>
          <w:rFonts w:cstheme="minorHAnsi"/>
        </w:rPr>
        <w:t>.  Each child has the</w:t>
      </w:r>
      <w:r>
        <w:rPr>
          <w:rFonts w:cstheme="minorHAnsi"/>
        </w:rPr>
        <w:t>ir own separate</w:t>
      </w:r>
      <w:r w:rsidRPr="00BE365D">
        <w:rPr>
          <w:rFonts w:cstheme="minorHAnsi"/>
        </w:rPr>
        <w:t xml:space="preserve"> annual benefit limit as shown above.</w:t>
      </w:r>
    </w:p>
    <w:p w:rsidR="00402FFD" w:rsidRPr="00BE365D" w:rsidRDefault="00402FFD" w:rsidP="00402FFD">
      <w:pPr>
        <w:rPr>
          <w:rFonts w:cstheme="minorHAnsi"/>
        </w:rPr>
      </w:pPr>
    </w:p>
    <w:p w:rsidR="00402FFD" w:rsidRPr="00BE365D" w:rsidRDefault="00402FFD" w:rsidP="00402FFD">
      <w:pPr>
        <w:rPr>
          <w:rFonts w:cstheme="minorHAnsi"/>
          <w:b/>
        </w:rPr>
      </w:pPr>
      <w:r w:rsidRPr="00BE365D">
        <w:rPr>
          <w:rFonts w:cstheme="minorHAnsi"/>
          <w:b/>
        </w:rPr>
        <w:t>How do I claim the cash back?</w:t>
      </w:r>
    </w:p>
    <w:p w:rsidR="00402FFD" w:rsidRPr="00BE365D" w:rsidRDefault="00402FFD" w:rsidP="00402FFD">
      <w:pPr>
        <w:rPr>
          <w:rFonts w:cstheme="minorHAnsi"/>
        </w:rPr>
      </w:pPr>
      <w:r>
        <w:rPr>
          <w:rFonts w:cstheme="minorHAnsi"/>
        </w:rPr>
        <w:t>To make a claim, you must use the claim form provided by BUPA.  If you don’t have a claim form, you can call BUPA on 0845 606 6003.  You will need to provide the fully competed form and original receipt(s) as soon as you have used your service/received treatment</w:t>
      </w:r>
      <w:r w:rsidR="00015E21">
        <w:rPr>
          <w:rFonts w:cstheme="minorHAnsi"/>
        </w:rPr>
        <w:t>, you can email these over to Bupa</w:t>
      </w:r>
      <w:r>
        <w:rPr>
          <w:rFonts w:cstheme="minorHAnsi"/>
        </w:rPr>
        <w:t>.  In any event, your claim will need to be submitted to BUPA within 90 days unless it was not reasonably possible to do so.</w:t>
      </w:r>
    </w:p>
    <w:p w:rsidR="00402FFD" w:rsidRDefault="00402FFD" w:rsidP="00402FFD">
      <w:pPr>
        <w:rPr>
          <w:rFonts w:cstheme="minorHAnsi"/>
          <w:b/>
          <w:highlight w:val="yellow"/>
        </w:rPr>
      </w:pPr>
    </w:p>
    <w:p w:rsidR="00402FFD" w:rsidRPr="00BE365D" w:rsidRDefault="00402FFD" w:rsidP="00402FFD">
      <w:pPr>
        <w:rPr>
          <w:rFonts w:cstheme="minorHAnsi"/>
          <w:b/>
        </w:rPr>
      </w:pPr>
      <w:r w:rsidRPr="00BE365D">
        <w:rPr>
          <w:rFonts w:cstheme="minorHAnsi"/>
          <w:b/>
        </w:rPr>
        <w:t>Is there a cost associated with this scheme?</w:t>
      </w:r>
    </w:p>
    <w:p w:rsidR="00402FFD" w:rsidRPr="00BE365D" w:rsidRDefault="00402FFD" w:rsidP="00402FFD">
      <w:pPr>
        <w:rPr>
          <w:rFonts w:cstheme="minorHAnsi"/>
        </w:rPr>
      </w:pPr>
      <w:r w:rsidRPr="00BE365D">
        <w:rPr>
          <w:rFonts w:cstheme="minorHAnsi"/>
        </w:rPr>
        <w:t>A Company funded medical plan is a benefit in kind, so you are required to pay tax on this benefit as below:</w:t>
      </w:r>
    </w:p>
    <w:p w:rsidR="00402FFD" w:rsidRPr="00BE365D" w:rsidRDefault="00402FFD" w:rsidP="00402FFD">
      <w:pPr>
        <w:rPr>
          <w:rFonts w:cstheme="minorHAnsi"/>
        </w:rPr>
      </w:pPr>
    </w:p>
    <w:p w:rsidR="00402FFD" w:rsidRDefault="00402FFD" w:rsidP="00402FFD">
      <w:pPr>
        <w:rPr>
          <w:rFonts w:cstheme="minorHAnsi"/>
        </w:rPr>
      </w:pPr>
      <w:r w:rsidRPr="00BE365D">
        <w:rPr>
          <w:rFonts w:cstheme="minorHAnsi"/>
        </w:rPr>
        <w:t>Basic rate tax payer</w:t>
      </w:r>
      <w:r w:rsidRPr="00BE365D">
        <w:rPr>
          <w:rFonts w:cstheme="minorHAnsi"/>
        </w:rPr>
        <w:tab/>
        <w:t xml:space="preserve"> £10.40 per annum (</w:t>
      </w:r>
      <w:r>
        <w:rPr>
          <w:rFonts w:cstheme="minorHAnsi"/>
        </w:rPr>
        <w:t xml:space="preserve">approx </w:t>
      </w:r>
      <w:r w:rsidRPr="00BE365D">
        <w:rPr>
          <w:rFonts w:cstheme="minorHAnsi"/>
        </w:rPr>
        <w:t>87p per month)</w:t>
      </w:r>
    </w:p>
    <w:p w:rsidR="00402FFD" w:rsidRPr="00BE365D" w:rsidRDefault="00402FFD" w:rsidP="00402FFD">
      <w:pPr>
        <w:rPr>
          <w:rFonts w:cstheme="minorHAnsi"/>
        </w:rPr>
      </w:pPr>
      <w:r>
        <w:rPr>
          <w:rFonts w:cstheme="minorHAnsi"/>
        </w:rPr>
        <w:t>Higher rate tax payer      £20.80 per annum (approx £1.73 per month)</w:t>
      </w:r>
    </w:p>
    <w:p w:rsidR="00402FFD" w:rsidRDefault="00402FFD" w:rsidP="00402FFD">
      <w:pPr>
        <w:rPr>
          <w:rFonts w:cstheme="minorHAnsi"/>
        </w:rPr>
      </w:pPr>
    </w:p>
    <w:p w:rsidR="00402FFD" w:rsidRPr="00BE365D" w:rsidRDefault="00402FFD" w:rsidP="00402FFD">
      <w:pPr>
        <w:rPr>
          <w:rFonts w:cstheme="minorHAnsi"/>
        </w:rPr>
      </w:pPr>
    </w:p>
    <w:p w:rsidR="00402FFD" w:rsidRPr="00771AA6" w:rsidRDefault="00402FFD" w:rsidP="00402FFD">
      <w:pPr>
        <w:rPr>
          <w:rFonts w:cstheme="minorHAnsi"/>
          <w:b/>
        </w:rPr>
      </w:pPr>
      <w:r w:rsidRPr="00771AA6">
        <w:rPr>
          <w:rFonts w:cstheme="minorHAnsi"/>
          <w:b/>
        </w:rPr>
        <w:t>Are there any additional benefits of this plan?</w:t>
      </w:r>
    </w:p>
    <w:p w:rsidR="00402FFD" w:rsidRDefault="00402FFD" w:rsidP="00402FFD">
      <w:pPr>
        <w:rPr>
          <w:rFonts w:cstheme="minorHAnsi"/>
        </w:rPr>
      </w:pPr>
      <w:r>
        <w:rPr>
          <w:rFonts w:cstheme="minorHAnsi"/>
        </w:rPr>
        <w:t>This plan also comes with the following benefits:</w:t>
      </w:r>
    </w:p>
    <w:p w:rsidR="00402FFD" w:rsidRDefault="00402FFD" w:rsidP="00402FFD">
      <w:pPr>
        <w:rPr>
          <w:rFonts w:cstheme="minorHAnsi"/>
        </w:rPr>
      </w:pPr>
    </w:p>
    <w:p w:rsidR="00402FFD" w:rsidRPr="00771AA6" w:rsidRDefault="00402FFD" w:rsidP="00402FFD">
      <w:pPr>
        <w:pStyle w:val="ListParagraph"/>
        <w:numPr>
          <w:ilvl w:val="0"/>
          <w:numId w:val="1"/>
        </w:numPr>
        <w:rPr>
          <w:rFonts w:cstheme="minorHAnsi"/>
        </w:rPr>
      </w:pPr>
      <w:r w:rsidRPr="00771AA6">
        <w:rPr>
          <w:rFonts w:cstheme="minorHAnsi"/>
        </w:rPr>
        <w:t xml:space="preserve">Health line – speak directly to a qualified nurse by calling </w:t>
      </w:r>
      <w:r>
        <w:rPr>
          <w:rFonts w:cstheme="minorHAnsi"/>
        </w:rPr>
        <w:t>this</w:t>
      </w:r>
      <w:r w:rsidRPr="00771AA6">
        <w:rPr>
          <w:rFonts w:cstheme="minorHAnsi"/>
        </w:rPr>
        <w:t xml:space="preserve"> confidential </w:t>
      </w:r>
      <w:r>
        <w:rPr>
          <w:rFonts w:cstheme="minorHAnsi"/>
        </w:rPr>
        <w:t xml:space="preserve"> 24/7 </w:t>
      </w:r>
      <w:r w:rsidRPr="00771AA6">
        <w:rPr>
          <w:rFonts w:cstheme="minorHAnsi"/>
        </w:rPr>
        <w:t>phone service</w:t>
      </w:r>
    </w:p>
    <w:p w:rsidR="00402FFD" w:rsidRDefault="00402FFD" w:rsidP="00402FFD">
      <w:pPr>
        <w:rPr>
          <w:rFonts w:cstheme="minorHAnsi"/>
        </w:rPr>
      </w:pPr>
    </w:p>
    <w:p w:rsidR="00402FFD" w:rsidRPr="00771AA6" w:rsidRDefault="00402FFD" w:rsidP="00402FFD">
      <w:pPr>
        <w:pStyle w:val="ListParagraph"/>
        <w:numPr>
          <w:ilvl w:val="0"/>
          <w:numId w:val="1"/>
        </w:numPr>
        <w:rPr>
          <w:rFonts w:cstheme="minorHAnsi"/>
        </w:rPr>
      </w:pPr>
      <w:r w:rsidRPr="00771AA6">
        <w:rPr>
          <w:rFonts w:cstheme="minorHAnsi"/>
        </w:rPr>
        <w:lastRenderedPageBreak/>
        <w:t>Employee Assistance Programme – telephone counselling covering bereavement, stress, anxiety, depression,</w:t>
      </w:r>
      <w:r>
        <w:rPr>
          <w:rFonts w:cstheme="minorHAnsi"/>
        </w:rPr>
        <w:t xml:space="preserve"> emotional problems,</w:t>
      </w:r>
      <w:r w:rsidRPr="00771AA6">
        <w:rPr>
          <w:rFonts w:cstheme="minorHAnsi"/>
        </w:rPr>
        <w:t xml:space="preserve"> legal advice etc.</w:t>
      </w:r>
      <w:r>
        <w:rPr>
          <w:rFonts w:cstheme="minorHAnsi"/>
        </w:rPr>
        <w:t xml:space="preserve"> Six face to face counselling sessions where required.</w:t>
      </w:r>
    </w:p>
    <w:p w:rsidR="00402FFD" w:rsidRDefault="00402FFD" w:rsidP="00402FFD">
      <w:pPr>
        <w:rPr>
          <w:rFonts w:cstheme="minorHAnsi"/>
        </w:rPr>
      </w:pPr>
    </w:p>
    <w:p w:rsidR="00402FFD" w:rsidRDefault="00402FFD" w:rsidP="00402FFD">
      <w:pPr>
        <w:pStyle w:val="ListParagraph"/>
        <w:numPr>
          <w:ilvl w:val="0"/>
          <w:numId w:val="1"/>
        </w:numPr>
        <w:rPr>
          <w:rFonts w:cstheme="minorHAnsi"/>
        </w:rPr>
      </w:pPr>
      <w:r w:rsidRPr="00771AA6">
        <w:rPr>
          <w:rFonts w:cstheme="minorHAnsi"/>
        </w:rPr>
        <w:t xml:space="preserve">Access to BUPA </w:t>
      </w:r>
      <w:r>
        <w:rPr>
          <w:rFonts w:cstheme="minorHAnsi"/>
        </w:rPr>
        <w:t xml:space="preserve">member </w:t>
      </w:r>
      <w:r w:rsidRPr="00771AA6">
        <w:rPr>
          <w:rFonts w:cstheme="minorHAnsi"/>
        </w:rPr>
        <w:t>offers including discounts at retailers, days out, entertainment etc.</w:t>
      </w:r>
    </w:p>
    <w:p w:rsidR="00402FFD" w:rsidRPr="007C2158" w:rsidRDefault="00402FFD" w:rsidP="00402FFD">
      <w:pPr>
        <w:pStyle w:val="ListParagraph"/>
        <w:rPr>
          <w:rFonts w:cstheme="minorHAnsi"/>
        </w:rPr>
      </w:pPr>
    </w:p>
    <w:p w:rsidR="00402FFD" w:rsidRDefault="00402FFD" w:rsidP="00402FFD">
      <w:pPr>
        <w:pStyle w:val="ListParagraph"/>
        <w:rPr>
          <w:rFonts w:cstheme="minorHAnsi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71775" cy="2079934"/>
            <wp:effectExtent l="19050" t="0" r="9525" b="0"/>
            <wp:docPr id="6" name="Picture 7" descr="cid:image003.png@01CF6B67.90597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CF6B67.905978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57" cy="207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FD" w:rsidRPr="005F72B0" w:rsidRDefault="00402FFD" w:rsidP="00402FFD">
      <w:pPr>
        <w:pStyle w:val="ListParagraph"/>
        <w:rPr>
          <w:rFonts w:cstheme="minorHAnsi"/>
        </w:rPr>
      </w:pPr>
    </w:p>
    <w:p w:rsidR="00402FFD" w:rsidRDefault="00402FFD" w:rsidP="00402F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Access to Bupa mobile apps re Fitness, Running and internet links to access Bupa’s extensive information and expertise on Health and Wellbeing</w:t>
      </w:r>
    </w:p>
    <w:p w:rsidR="00402FFD" w:rsidRDefault="00402FFD" w:rsidP="00402FFD"/>
    <w:p w:rsidR="00402FFD" w:rsidRDefault="00402FFD" w:rsidP="00402FFD">
      <w:pPr>
        <w:rPr>
          <w:rFonts w:cstheme="minorHAnsi"/>
          <w:b/>
          <w:highlight w:val="yellow"/>
        </w:rPr>
      </w:pPr>
    </w:p>
    <w:p w:rsidR="00402FFD" w:rsidRDefault="00402FFD" w:rsidP="00402FFD">
      <w:pPr>
        <w:rPr>
          <w:rFonts w:cstheme="minorHAnsi"/>
          <w:b/>
          <w:highlight w:val="yellow"/>
        </w:rPr>
      </w:pPr>
    </w:p>
    <w:p w:rsidR="00402FFD" w:rsidRDefault="00402FFD" w:rsidP="00402FFD">
      <w:pPr>
        <w:rPr>
          <w:rFonts w:cstheme="minorHAnsi"/>
          <w:b/>
          <w:highlight w:val="yellow"/>
        </w:rPr>
      </w:pPr>
    </w:p>
    <w:p w:rsidR="00247FB8" w:rsidRDefault="00247FB8"/>
    <w:sectPr w:rsidR="00247FB8" w:rsidSect="00247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BD5"/>
    <w:multiLevelType w:val="hybridMultilevel"/>
    <w:tmpl w:val="C2DA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FD"/>
    <w:rsid w:val="00015E21"/>
    <w:rsid w:val="000432EC"/>
    <w:rsid w:val="00247FB8"/>
    <w:rsid w:val="00402FFD"/>
    <w:rsid w:val="009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7.png@01CF7C0F.67DD6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marriotk</dc:creator>
  <cp:lastModifiedBy>Mcintosh, Shirley Ann</cp:lastModifiedBy>
  <cp:revision>2</cp:revision>
  <dcterms:created xsi:type="dcterms:W3CDTF">2014-11-06T11:43:00Z</dcterms:created>
  <dcterms:modified xsi:type="dcterms:W3CDTF">2014-11-06T11:43:00Z</dcterms:modified>
</cp:coreProperties>
</file>