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65B54" w14:textId="1E4E3869" w:rsidR="004A3970" w:rsidRPr="000D7BD8" w:rsidRDefault="004A3970" w:rsidP="004A3970">
      <w:pPr>
        <w:jc w:val="center"/>
        <w:rPr>
          <w:b/>
          <w:bCs/>
        </w:rPr>
      </w:pPr>
      <w:r w:rsidRPr="000D7BD8">
        <w:rPr>
          <w:b/>
          <w:bCs/>
        </w:rPr>
        <w:t>UNIVERSITY OF ABERDEEN</w:t>
      </w:r>
    </w:p>
    <w:p w14:paraId="25E207AE" w14:textId="0073878B" w:rsidR="004A3970" w:rsidRPr="004A3970" w:rsidRDefault="004A3970" w:rsidP="004A3970">
      <w:pPr>
        <w:jc w:val="center"/>
      </w:pPr>
      <w:r w:rsidRPr="004A3970">
        <w:rPr>
          <w:b/>
          <w:bCs/>
        </w:rPr>
        <w:t xml:space="preserve">Policy </w:t>
      </w:r>
      <w:r>
        <w:rPr>
          <w:b/>
          <w:bCs/>
        </w:rPr>
        <w:t>on Removable Media</w:t>
      </w:r>
    </w:p>
    <w:p w14:paraId="2C8425C1" w14:textId="2261AE35" w:rsidR="004A3970" w:rsidRPr="00E578BA" w:rsidRDefault="00355CFB" w:rsidP="00A329A5">
      <w:pPr>
        <w:pStyle w:val="ListParagraph"/>
        <w:numPr>
          <w:ilvl w:val="0"/>
          <w:numId w:val="5"/>
        </w:numPr>
      </w:pPr>
      <w:r>
        <w:rPr>
          <w:b/>
          <w:bCs/>
        </w:rPr>
        <w:t>Purpose</w:t>
      </w:r>
    </w:p>
    <w:p w14:paraId="275A804D" w14:textId="52DA565A" w:rsidR="00B634D8" w:rsidRPr="004A3970" w:rsidRDefault="00FF15F1" w:rsidP="00B634D8">
      <w:r w:rsidRPr="00FF15F1">
        <w:t>This policy establish</w:t>
      </w:r>
      <w:r w:rsidR="008266D1">
        <w:t>es</w:t>
      </w:r>
      <w:r w:rsidRPr="00FF15F1">
        <w:t xml:space="preserve"> clear principles</w:t>
      </w:r>
      <w:r w:rsidR="003150A4">
        <w:t>, obligations</w:t>
      </w:r>
      <w:r w:rsidRPr="00FF15F1">
        <w:t xml:space="preserve"> and responsibilities for the use of removable media within </w:t>
      </w:r>
      <w:r>
        <w:t>the</w:t>
      </w:r>
      <w:r w:rsidRPr="00FF15F1">
        <w:t xml:space="preserve"> </w:t>
      </w:r>
      <w:r w:rsidR="00C13B4B">
        <w:t>University</w:t>
      </w:r>
      <w:r w:rsidR="003150A4">
        <w:t xml:space="preserve"> of Aberdeen</w:t>
      </w:r>
      <w:r w:rsidRPr="00FF15F1">
        <w:t xml:space="preserve">. Removable media, such as USB drives, external hard drives, and memory cards, can store large volumes of data, making them </w:t>
      </w:r>
      <w:r w:rsidR="006819B3">
        <w:t xml:space="preserve">appealing </w:t>
      </w:r>
      <w:r w:rsidRPr="00FF15F1">
        <w:t xml:space="preserve">for data transfer and storage. However, they also pose significant risks, including the potential for loss, theft, or misplacement, which can lead to </w:t>
      </w:r>
      <w:r w:rsidR="006819B3">
        <w:t xml:space="preserve">an increased risk of </w:t>
      </w:r>
      <w:r w:rsidRPr="00FF15F1">
        <w:t xml:space="preserve">data breaches. Additionally, removable media can </w:t>
      </w:r>
      <w:r w:rsidR="00D67343">
        <w:t xml:space="preserve">enable malware to </w:t>
      </w:r>
      <w:r w:rsidRPr="00FF15F1">
        <w:t xml:space="preserve">bridge the gap between </w:t>
      </w:r>
      <w:r w:rsidRPr="00FF3780">
        <w:t xml:space="preserve">networked and non-networked </w:t>
      </w:r>
      <w:r w:rsidR="00D95A16" w:rsidRPr="00FF3780">
        <w:t>PCs</w:t>
      </w:r>
      <w:r w:rsidR="0047363C" w:rsidRPr="00FF3780">
        <w:t xml:space="preserve"> such as isolated instrument</w:t>
      </w:r>
      <w:r w:rsidR="00C90807" w:rsidRPr="00FF3780">
        <w:t>s</w:t>
      </w:r>
      <w:r w:rsidRPr="00FF15F1">
        <w:t>,</w:t>
      </w:r>
      <w:r w:rsidR="003954A2">
        <w:t xml:space="preserve"> when transferring </w:t>
      </w:r>
      <w:r w:rsidR="00C90807">
        <w:t>instrument data output via removable media</w:t>
      </w:r>
      <w:r w:rsidR="00252226">
        <w:t>.</w:t>
      </w:r>
      <w:r w:rsidRPr="00FF15F1">
        <w:t xml:space="preserve"> This policy aims to mitigate these risks by outlining proper usage, handling, and security measures to protect </w:t>
      </w:r>
      <w:r w:rsidR="008D496F">
        <w:t>the University’</w:t>
      </w:r>
      <w:r w:rsidRPr="00FF15F1">
        <w:t>s data integrity and security.</w:t>
      </w:r>
    </w:p>
    <w:p w14:paraId="14B30B87" w14:textId="30D05960" w:rsidR="004A3970" w:rsidRDefault="00377AE1" w:rsidP="00A329A5">
      <w:pPr>
        <w:pStyle w:val="ListParagraph"/>
        <w:numPr>
          <w:ilvl w:val="0"/>
          <w:numId w:val="5"/>
        </w:numPr>
        <w:rPr>
          <w:b/>
          <w:bCs/>
        </w:rPr>
      </w:pPr>
      <w:r>
        <w:rPr>
          <w:b/>
          <w:bCs/>
        </w:rPr>
        <w:t>Scope</w:t>
      </w:r>
      <w:r w:rsidR="00122185">
        <w:rPr>
          <w:b/>
          <w:bCs/>
        </w:rPr>
        <w:t xml:space="preserve"> and Definition</w:t>
      </w:r>
    </w:p>
    <w:p w14:paraId="7A178FCB" w14:textId="03E65FFE" w:rsidR="006917E4" w:rsidRPr="000D7BD8" w:rsidRDefault="00483AF8" w:rsidP="00791563">
      <w:r w:rsidRPr="000D7BD8">
        <w:t>This policy applies to:</w:t>
      </w:r>
    </w:p>
    <w:p w14:paraId="1A396895" w14:textId="7DE01D41" w:rsidR="00483AF8" w:rsidRDefault="00AE4856" w:rsidP="00AE4856">
      <w:pPr>
        <w:pStyle w:val="ListParagraph"/>
        <w:numPr>
          <w:ilvl w:val="0"/>
          <w:numId w:val="14"/>
        </w:numPr>
      </w:pPr>
      <w:r>
        <w:t xml:space="preserve">The use of removable media </w:t>
      </w:r>
      <w:r w:rsidR="00122185">
        <w:t>devices</w:t>
      </w:r>
    </w:p>
    <w:p w14:paraId="7DB6C2A9" w14:textId="638294C2" w:rsidR="002D244C" w:rsidRDefault="00FC1245" w:rsidP="002D244C">
      <w:pPr>
        <w:pStyle w:val="ListParagraph"/>
        <w:numPr>
          <w:ilvl w:val="0"/>
          <w:numId w:val="14"/>
        </w:numPr>
      </w:pPr>
      <w:r>
        <w:t xml:space="preserve">It applies to all members of staff employed by the University, and to persons with honorary staff status given access to </w:t>
      </w:r>
      <w:proofErr w:type="gramStart"/>
      <w:r>
        <w:t>University</w:t>
      </w:r>
      <w:proofErr w:type="gramEnd"/>
      <w:r>
        <w:t xml:space="preserve"> information or IT facilities (‘staff’)</w:t>
      </w:r>
    </w:p>
    <w:p w14:paraId="3D4498D3" w14:textId="77777777" w:rsidR="008A5FDC" w:rsidRDefault="009E227A" w:rsidP="008A5FDC">
      <w:pPr>
        <w:pStyle w:val="ListParagraph"/>
        <w:numPr>
          <w:ilvl w:val="0"/>
          <w:numId w:val="14"/>
        </w:numPr>
      </w:pPr>
      <w:r>
        <w:t xml:space="preserve">It also applies to </w:t>
      </w:r>
      <w:r w:rsidR="0014315E">
        <w:t xml:space="preserve">external parties, suppliers, contractors and visitors who may have access to the University’s </w:t>
      </w:r>
      <w:r w:rsidR="00C93021">
        <w:t>systems and data.</w:t>
      </w:r>
    </w:p>
    <w:p w14:paraId="38E5FD92" w14:textId="77777777" w:rsidR="008A5FDC" w:rsidRDefault="008A5FDC" w:rsidP="008A5FDC">
      <w:pPr>
        <w:pStyle w:val="ListParagraph"/>
      </w:pPr>
    </w:p>
    <w:p w14:paraId="21DFC85F" w14:textId="0BA7A15C" w:rsidR="008A5FDC" w:rsidRDefault="008A5FDC" w:rsidP="00A53A43">
      <w:r w:rsidRPr="004126B3">
        <w:t>Removable media include</w:t>
      </w:r>
      <w:r>
        <w:t>s,</w:t>
      </w:r>
      <w:r w:rsidRPr="004126B3">
        <w:t xml:space="preserve"> but </w:t>
      </w:r>
      <w:r>
        <w:t>is</w:t>
      </w:r>
      <w:r w:rsidRPr="004126B3">
        <w:t xml:space="preserve"> not limited to</w:t>
      </w:r>
      <w:r>
        <w:t>,</w:t>
      </w:r>
      <w:r w:rsidRPr="004126B3">
        <w:t xml:space="preserve"> the following</w:t>
      </w:r>
      <w:r>
        <w:t>:</w:t>
      </w:r>
    </w:p>
    <w:p w14:paraId="2116BB95" w14:textId="3F2D8D6A" w:rsidR="008A5FDC" w:rsidRDefault="008A5FDC" w:rsidP="00A53A43">
      <w:pPr>
        <w:pStyle w:val="ListParagraph"/>
        <w:numPr>
          <w:ilvl w:val="0"/>
          <w:numId w:val="16"/>
        </w:numPr>
      </w:pPr>
      <w:r>
        <w:t xml:space="preserve">CDs, DVDs, Blu-Ray, floppy and other optical </w:t>
      </w:r>
      <w:r w:rsidR="003662E8">
        <w:t>d</w:t>
      </w:r>
      <w:r>
        <w:t>isks.</w:t>
      </w:r>
    </w:p>
    <w:p w14:paraId="0026F928" w14:textId="77777777" w:rsidR="008A5FDC" w:rsidRDefault="008A5FDC" w:rsidP="00A53A43">
      <w:pPr>
        <w:pStyle w:val="ListParagraph"/>
        <w:numPr>
          <w:ilvl w:val="0"/>
          <w:numId w:val="16"/>
        </w:numPr>
      </w:pPr>
      <w:r>
        <w:t>Tape drives.</w:t>
      </w:r>
    </w:p>
    <w:p w14:paraId="72312595" w14:textId="77777777" w:rsidR="008A5FDC" w:rsidRDefault="008A5FDC" w:rsidP="00A53A43">
      <w:pPr>
        <w:pStyle w:val="ListParagraph"/>
        <w:numPr>
          <w:ilvl w:val="0"/>
          <w:numId w:val="16"/>
        </w:numPr>
      </w:pPr>
      <w:r>
        <w:t xml:space="preserve">External Hard Drives. </w:t>
      </w:r>
    </w:p>
    <w:p w14:paraId="627BABDB" w14:textId="77777777" w:rsidR="008A5FDC" w:rsidRDefault="008A5FDC" w:rsidP="00A53A43">
      <w:pPr>
        <w:pStyle w:val="ListParagraph"/>
        <w:numPr>
          <w:ilvl w:val="0"/>
          <w:numId w:val="16"/>
        </w:numPr>
      </w:pPr>
      <w:r>
        <w:t xml:space="preserve">USB Memory Sticks (also known as pen drives or flash drives). </w:t>
      </w:r>
    </w:p>
    <w:p w14:paraId="3D7CD9FC" w14:textId="77777777" w:rsidR="008A5FDC" w:rsidRDefault="008A5FDC" w:rsidP="00A53A43">
      <w:pPr>
        <w:pStyle w:val="ListParagraph"/>
        <w:numPr>
          <w:ilvl w:val="0"/>
          <w:numId w:val="16"/>
        </w:numPr>
      </w:pPr>
      <w:r>
        <w:t xml:space="preserve">Media Card Readers. </w:t>
      </w:r>
    </w:p>
    <w:p w14:paraId="79C361D3" w14:textId="77777777" w:rsidR="008A5FDC" w:rsidRDefault="008A5FDC" w:rsidP="00A53A43">
      <w:pPr>
        <w:pStyle w:val="ListParagraph"/>
        <w:numPr>
          <w:ilvl w:val="0"/>
          <w:numId w:val="16"/>
        </w:numPr>
      </w:pPr>
      <w:r>
        <w:t xml:space="preserve">Embedded storage and storage cards (including those on mobile phones and PDAs). </w:t>
      </w:r>
    </w:p>
    <w:p w14:paraId="578CCE37" w14:textId="77777777" w:rsidR="008A5FDC" w:rsidRDefault="008A5FDC" w:rsidP="00A53A43">
      <w:pPr>
        <w:pStyle w:val="ListParagraph"/>
        <w:numPr>
          <w:ilvl w:val="0"/>
          <w:numId w:val="16"/>
        </w:numPr>
      </w:pPr>
      <w:r>
        <w:t xml:space="preserve">MP3 and other media players. </w:t>
      </w:r>
    </w:p>
    <w:p w14:paraId="4FD009D8" w14:textId="77777777" w:rsidR="008A5FDC" w:rsidRDefault="008A5FDC" w:rsidP="00A53A43">
      <w:pPr>
        <w:pStyle w:val="ListParagraph"/>
        <w:numPr>
          <w:ilvl w:val="0"/>
          <w:numId w:val="16"/>
        </w:numPr>
      </w:pPr>
      <w:r>
        <w:t xml:space="preserve">Digital Cameras. </w:t>
      </w:r>
    </w:p>
    <w:p w14:paraId="7B167297" w14:textId="77777777" w:rsidR="008A5FDC" w:rsidRDefault="008A5FDC" w:rsidP="00A53A43">
      <w:pPr>
        <w:pStyle w:val="ListParagraph"/>
        <w:numPr>
          <w:ilvl w:val="0"/>
          <w:numId w:val="16"/>
        </w:numPr>
      </w:pPr>
      <w:r>
        <w:t xml:space="preserve">Backup Cassettes. </w:t>
      </w:r>
    </w:p>
    <w:p w14:paraId="273703DE" w14:textId="77777777" w:rsidR="008A5FDC" w:rsidRPr="004126B3" w:rsidRDefault="008A5FDC" w:rsidP="00A53A43">
      <w:pPr>
        <w:pStyle w:val="ListParagraph"/>
        <w:numPr>
          <w:ilvl w:val="0"/>
          <w:numId w:val="16"/>
        </w:numPr>
      </w:pPr>
      <w:r>
        <w:t>Audio Tapes (including Dictaphones and Answering Machines).</w:t>
      </w:r>
    </w:p>
    <w:p w14:paraId="4E7FAAC9" w14:textId="77777777" w:rsidR="00AE4856" w:rsidRPr="000D7BD8" w:rsidRDefault="00AE4856" w:rsidP="00AE4856">
      <w:pPr>
        <w:rPr>
          <w:b/>
          <w:bCs/>
        </w:rPr>
      </w:pPr>
    </w:p>
    <w:p w14:paraId="5490E1CC" w14:textId="77777777" w:rsidR="00AE6838" w:rsidRDefault="006A3BC9" w:rsidP="00AE6838">
      <w:pPr>
        <w:pStyle w:val="ListParagraph"/>
        <w:numPr>
          <w:ilvl w:val="0"/>
          <w:numId w:val="5"/>
        </w:numPr>
        <w:rPr>
          <w:b/>
          <w:bCs/>
        </w:rPr>
      </w:pPr>
      <w:r>
        <w:rPr>
          <w:b/>
          <w:bCs/>
        </w:rPr>
        <w:t>Objectives</w:t>
      </w:r>
    </w:p>
    <w:p w14:paraId="3DAD2D11" w14:textId="3B7DA0BD" w:rsidR="004B0843" w:rsidRPr="004B0843" w:rsidRDefault="004B0843" w:rsidP="000D7BD8">
      <w:r w:rsidRPr="000D7BD8">
        <w:t>This policy is designed to:</w:t>
      </w:r>
    </w:p>
    <w:p w14:paraId="2F81D979" w14:textId="7DA1C998" w:rsidR="006917E4" w:rsidRPr="006917E4" w:rsidRDefault="006A3BC9" w:rsidP="006917E4">
      <w:pPr>
        <w:pStyle w:val="ListParagraph"/>
        <w:numPr>
          <w:ilvl w:val="1"/>
          <w:numId w:val="5"/>
        </w:numPr>
      </w:pPr>
      <w:r w:rsidRPr="006917E4">
        <w:t xml:space="preserve">Protect the confidentiality, integrity and availability of </w:t>
      </w:r>
      <w:r w:rsidR="008E6336">
        <w:t xml:space="preserve">the </w:t>
      </w:r>
      <w:r w:rsidRPr="006917E4">
        <w:t>University digital assets, services and data.</w:t>
      </w:r>
    </w:p>
    <w:p w14:paraId="3A6F3053" w14:textId="3CEA23B8" w:rsidR="007A7E2B" w:rsidRDefault="007A7E2B" w:rsidP="006917E4">
      <w:pPr>
        <w:pStyle w:val="ListParagraph"/>
        <w:numPr>
          <w:ilvl w:val="1"/>
          <w:numId w:val="5"/>
        </w:numPr>
      </w:pPr>
      <w:r>
        <w:t>To define user responsibilities on handing</w:t>
      </w:r>
      <w:r w:rsidR="001C15C0">
        <w:t xml:space="preserve"> removable media and the data stored on them.</w:t>
      </w:r>
    </w:p>
    <w:p w14:paraId="4740328E" w14:textId="77777777" w:rsidR="006917E4" w:rsidRPr="006917E4" w:rsidRDefault="006A3BC9" w:rsidP="006917E4">
      <w:pPr>
        <w:pStyle w:val="ListParagraph"/>
        <w:numPr>
          <w:ilvl w:val="1"/>
          <w:numId w:val="5"/>
        </w:numPr>
      </w:pPr>
      <w:r w:rsidRPr="006917E4">
        <w:t>Ensure controls and mitigations are appropriate and effective by identifying and managing the information security threats and risks.</w:t>
      </w:r>
    </w:p>
    <w:p w14:paraId="54912A62" w14:textId="2AE082EE" w:rsidR="007658B7" w:rsidRDefault="006A3BC9" w:rsidP="008A5FDC">
      <w:pPr>
        <w:pStyle w:val="ListParagraph"/>
        <w:numPr>
          <w:ilvl w:val="1"/>
          <w:numId w:val="5"/>
        </w:numPr>
      </w:pPr>
      <w:r w:rsidRPr="006917E4">
        <w:t>Reduce information related risk to appropriate and acceptable levels.</w:t>
      </w:r>
    </w:p>
    <w:p w14:paraId="1534BCCE" w14:textId="77777777" w:rsidR="008A5FDC" w:rsidRPr="008A5FDC" w:rsidRDefault="008A5FDC" w:rsidP="008A5FDC">
      <w:pPr>
        <w:pStyle w:val="ListParagraph"/>
        <w:ind w:left="792"/>
      </w:pPr>
    </w:p>
    <w:p w14:paraId="5AE31C30" w14:textId="77777777" w:rsidR="009939D2" w:rsidRPr="009939D2" w:rsidRDefault="009939D2" w:rsidP="009939D2">
      <w:pPr>
        <w:pStyle w:val="ListParagraph"/>
        <w:rPr>
          <w:b/>
          <w:bCs/>
        </w:rPr>
      </w:pPr>
    </w:p>
    <w:p w14:paraId="2EFA7EE6" w14:textId="0BFC2B01" w:rsidR="009939D2" w:rsidRDefault="009939D2" w:rsidP="00A329A5">
      <w:pPr>
        <w:pStyle w:val="ListParagraph"/>
        <w:numPr>
          <w:ilvl w:val="0"/>
          <w:numId w:val="5"/>
        </w:numPr>
        <w:rPr>
          <w:b/>
          <w:bCs/>
        </w:rPr>
      </w:pPr>
      <w:r>
        <w:rPr>
          <w:b/>
          <w:bCs/>
        </w:rPr>
        <w:t>Roles and Responsibilities</w:t>
      </w:r>
    </w:p>
    <w:p w14:paraId="2EC02423" w14:textId="770A5861" w:rsidR="00F80A56" w:rsidRPr="0040678F" w:rsidRDefault="07D5AB3E" w:rsidP="00DE6C76">
      <w:pPr>
        <w:pStyle w:val="ListParagraph"/>
        <w:numPr>
          <w:ilvl w:val="1"/>
          <w:numId w:val="5"/>
        </w:numPr>
      </w:pPr>
      <w:r>
        <w:t xml:space="preserve">All </w:t>
      </w:r>
      <w:r w:rsidR="0B6A8CFA">
        <w:t xml:space="preserve">in scope </w:t>
      </w:r>
      <w:r>
        <w:t>users</w:t>
      </w:r>
      <w:r w:rsidR="2DA264E4">
        <w:t xml:space="preserve"> are responsible for acting in accordance with this policy and with any instructions for handling personal data they are given by the University. </w:t>
      </w:r>
    </w:p>
    <w:p w14:paraId="2D49C96E" w14:textId="706AF180" w:rsidR="00F80A56" w:rsidRPr="0040678F" w:rsidRDefault="07D5AB3E" w:rsidP="00DE6C76">
      <w:pPr>
        <w:pStyle w:val="ListParagraph"/>
        <w:numPr>
          <w:ilvl w:val="1"/>
          <w:numId w:val="5"/>
        </w:numPr>
      </w:pPr>
      <w:r>
        <w:t xml:space="preserve">Heads of Schools and Directors of Professional Services are </w:t>
      </w:r>
      <w:r w:rsidR="07C12AB6">
        <w:t xml:space="preserve">responsible for the operation of this policy within their respective areas of responsibility and for promoting compliant data protection </w:t>
      </w:r>
      <w:r w:rsidR="3E17454A">
        <w:t xml:space="preserve">and information security </w:t>
      </w:r>
      <w:r w:rsidR="07C12AB6">
        <w:t>practices.</w:t>
      </w:r>
    </w:p>
    <w:p w14:paraId="6C7D2B16" w14:textId="51BFA1C7" w:rsidR="00F80A56" w:rsidRPr="0040678F" w:rsidRDefault="0F4F4BC7" w:rsidP="00DE6C76">
      <w:pPr>
        <w:pStyle w:val="ListParagraph"/>
        <w:numPr>
          <w:ilvl w:val="1"/>
          <w:numId w:val="5"/>
        </w:numPr>
      </w:pPr>
      <w:r>
        <w:t>Information Asset Owners</w:t>
      </w:r>
      <w:r w:rsidR="07D5AB3E">
        <w:t xml:space="preserve"> are accountable for ensuring that information in their category is not put at undue risk. They will approve all use and sharing of information in their category, having considered the risks and benefits.</w:t>
      </w:r>
    </w:p>
    <w:p w14:paraId="7F773FB4" w14:textId="3AE4F7CC" w:rsidR="00F80A56" w:rsidRDefault="00F80A56" w:rsidP="00DE6C76">
      <w:pPr>
        <w:pStyle w:val="ListParagraph"/>
        <w:numPr>
          <w:ilvl w:val="1"/>
          <w:numId w:val="5"/>
        </w:numPr>
      </w:pPr>
      <w:r w:rsidRPr="0040678F">
        <w:t xml:space="preserve">The Director of Digital and Information Services has delegated responsibility for establishing and maintaining the University of Aberdeen’s Information Security Management System (ISMS) to ensure the availability, integrity and confidentiality of the University of Aberdeen’s information. The Director of Digital and Information Services will lead on the definition and implementation of the University of Aberdeen’s information security and governance arrangements and make judgement calls when situations arise that are not covered by the current information security management framework. </w:t>
      </w:r>
    </w:p>
    <w:p w14:paraId="1085A08A" w14:textId="2DD649DB" w:rsidR="009B1E1D" w:rsidRPr="0040678F" w:rsidRDefault="74B5D039" w:rsidP="000D7BD8">
      <w:pPr>
        <w:pStyle w:val="ListParagraph"/>
        <w:numPr>
          <w:ilvl w:val="1"/>
          <w:numId w:val="5"/>
        </w:numPr>
      </w:pPr>
      <w:r>
        <w:t>The Information Governance Committee (IGC) has executive responsibility for information governance and security within the University of Aberdeen. Specifically, the Information Governance Committee has responsibility for overseeing the management of the security and governance risks to the University of Aberdeen's staff and students, its infrastructure and its information.</w:t>
      </w:r>
    </w:p>
    <w:p w14:paraId="57E678AE" w14:textId="61EE992B" w:rsidR="00F80A56" w:rsidRPr="0040678F" w:rsidRDefault="07D5AB3E" w:rsidP="00DE6C76">
      <w:pPr>
        <w:pStyle w:val="ListParagraph"/>
        <w:numPr>
          <w:ilvl w:val="1"/>
          <w:numId w:val="5"/>
        </w:numPr>
      </w:pPr>
      <w:r>
        <w:t xml:space="preserve">The Information Risk Working Group (IRWG) </w:t>
      </w:r>
      <w:r w:rsidR="00F80A56">
        <w:t xml:space="preserve">is </w:t>
      </w:r>
      <w:r>
        <w:t>responsible for reviewing information governance and security risk, advising on risk treatment efforts and ensuring consistent implementation of this policy.</w:t>
      </w:r>
    </w:p>
    <w:p w14:paraId="29335D63" w14:textId="77777777" w:rsidR="00DE6C76" w:rsidRPr="00C1521C" w:rsidRDefault="07D5AB3E" w:rsidP="0034404E">
      <w:pPr>
        <w:pStyle w:val="ListParagraph"/>
        <w:numPr>
          <w:ilvl w:val="1"/>
          <w:numId w:val="5"/>
        </w:numPr>
      </w:pPr>
      <w:r>
        <w:t xml:space="preserve">The Operational Security Group (OSG) is a </w:t>
      </w:r>
      <w:r w:rsidR="00F80A56">
        <w:t>Digital and Information Services</w:t>
      </w:r>
      <w:r>
        <w:t xml:space="preserve"> </w:t>
      </w:r>
      <w:r w:rsidR="00F80A56">
        <w:t>(</w:t>
      </w:r>
      <w:r>
        <w:t>DIS</w:t>
      </w:r>
      <w:r w:rsidR="00F80A56">
        <w:t>)</w:t>
      </w:r>
      <w:r>
        <w:t xml:space="preserve"> group responsible for compliance monitoring and improvements, information security </w:t>
      </w:r>
      <w:r w:rsidR="0446C1C0">
        <w:t>m</w:t>
      </w:r>
      <w:r>
        <w:t>aturity assessment, policy review and assessment of security risk and issues. DIS technical service owners and managers are responsible for the deployment and configuration of digital services and systems.</w:t>
      </w:r>
    </w:p>
    <w:p w14:paraId="593F0613" w14:textId="77777777" w:rsidR="00B634D8" w:rsidRPr="00B634D8" w:rsidRDefault="00B634D8" w:rsidP="00B634D8">
      <w:pPr>
        <w:rPr>
          <w:b/>
          <w:bCs/>
        </w:rPr>
      </w:pPr>
    </w:p>
    <w:p w14:paraId="786ED3EA" w14:textId="304DD80D" w:rsidR="00630BDE" w:rsidRDefault="009939D2" w:rsidP="00BA45C4">
      <w:pPr>
        <w:pStyle w:val="ListParagraph"/>
        <w:numPr>
          <w:ilvl w:val="0"/>
          <w:numId w:val="5"/>
        </w:numPr>
      </w:pPr>
      <w:r>
        <w:rPr>
          <w:b/>
          <w:bCs/>
        </w:rPr>
        <w:t>Policy</w:t>
      </w:r>
      <w:r w:rsidR="004A3970" w:rsidRPr="00A329A5">
        <w:rPr>
          <w:b/>
          <w:bCs/>
        </w:rPr>
        <w:t xml:space="preserve"> </w:t>
      </w:r>
    </w:p>
    <w:p w14:paraId="1C9F3048" w14:textId="78C69A88" w:rsidR="00F474F5" w:rsidRDefault="00F474F5" w:rsidP="003F3749">
      <w:pPr>
        <w:pStyle w:val="ListParagraph"/>
        <w:numPr>
          <w:ilvl w:val="1"/>
          <w:numId w:val="5"/>
        </w:numPr>
      </w:pPr>
      <w:r>
        <w:t>Removable media data</w:t>
      </w:r>
    </w:p>
    <w:p w14:paraId="53B6B631" w14:textId="0D304B90" w:rsidR="00F97C82" w:rsidRDefault="0437E430" w:rsidP="00F474F5">
      <w:pPr>
        <w:pStyle w:val="ListParagraph"/>
        <w:numPr>
          <w:ilvl w:val="2"/>
          <w:numId w:val="5"/>
        </w:numPr>
      </w:pPr>
      <w:r>
        <w:t xml:space="preserve">Data should be stored on University </w:t>
      </w:r>
      <w:r w:rsidR="3413EF5E">
        <w:t xml:space="preserve">of Aberdeen </w:t>
      </w:r>
      <w:r w:rsidR="00D0695C">
        <w:t>DIS</w:t>
      </w:r>
      <w:r w:rsidR="57FCE62E">
        <w:t xml:space="preserve"> </w:t>
      </w:r>
      <w:r w:rsidR="624652F5">
        <w:t>provided and managed</w:t>
      </w:r>
      <w:r>
        <w:t xml:space="preserve"> storage</w:t>
      </w:r>
      <w:r w:rsidR="7495AC5B">
        <w:t xml:space="preserve"> whe</w:t>
      </w:r>
      <w:r w:rsidR="4B7670F3">
        <w:t>r</w:t>
      </w:r>
      <w:r w:rsidR="7495AC5B">
        <w:t>ever possible</w:t>
      </w:r>
      <w:r w:rsidR="3413EF5E">
        <w:t xml:space="preserve">. </w:t>
      </w:r>
      <w:r w:rsidR="13782599">
        <w:t xml:space="preserve">Examples of </w:t>
      </w:r>
      <w:r w:rsidR="65F92F3C">
        <w:t xml:space="preserve">University of Aberdeen </w:t>
      </w:r>
      <w:r w:rsidR="4F61656C">
        <w:t xml:space="preserve">IT Services </w:t>
      </w:r>
      <w:r w:rsidR="65F92F3C">
        <w:t xml:space="preserve">provided and managed storage </w:t>
      </w:r>
      <w:r w:rsidR="2AEA593D">
        <w:t xml:space="preserve">are </w:t>
      </w:r>
      <w:r w:rsidR="3F00AFD3">
        <w:t>individual</w:t>
      </w:r>
      <w:r w:rsidR="3413EF5E">
        <w:t xml:space="preserve"> H: drive</w:t>
      </w:r>
      <w:r w:rsidR="13782599">
        <w:t>s</w:t>
      </w:r>
      <w:r w:rsidR="3413EF5E">
        <w:t>, network shared drives</w:t>
      </w:r>
      <w:r w:rsidR="2AEA593D">
        <w:t>, Teams, SharePoint</w:t>
      </w:r>
      <w:r w:rsidR="3413EF5E">
        <w:t xml:space="preserve"> or OneDrive. </w:t>
      </w:r>
    </w:p>
    <w:p w14:paraId="7D720369" w14:textId="05083E55" w:rsidR="005D19AC" w:rsidRDefault="3413EF5E" w:rsidP="00F474F5">
      <w:pPr>
        <w:pStyle w:val="ListParagraph"/>
        <w:numPr>
          <w:ilvl w:val="2"/>
          <w:numId w:val="5"/>
        </w:numPr>
      </w:pPr>
      <w:r>
        <w:t xml:space="preserve">If </w:t>
      </w:r>
      <w:r w:rsidR="26DEB98D">
        <w:t xml:space="preserve">University of Aberdeen </w:t>
      </w:r>
      <w:r>
        <w:t xml:space="preserve">data must be stored on </w:t>
      </w:r>
      <w:r w:rsidR="78382E14">
        <w:t xml:space="preserve">a </w:t>
      </w:r>
      <w:r>
        <w:t>removable media</w:t>
      </w:r>
      <w:r w:rsidR="28FA4D15">
        <w:t>,</w:t>
      </w:r>
      <w:r w:rsidR="1E41B7A9">
        <w:t xml:space="preserve"> </w:t>
      </w:r>
      <w:r>
        <w:t xml:space="preserve">the </w:t>
      </w:r>
      <w:r w:rsidR="57DC448C">
        <w:t>I</w:t>
      </w:r>
      <w:r>
        <w:t xml:space="preserve">nformation </w:t>
      </w:r>
      <w:r w:rsidR="57DC448C">
        <w:t>Asset O</w:t>
      </w:r>
      <w:r>
        <w:t xml:space="preserve">wner of the data must be informed </w:t>
      </w:r>
      <w:r w:rsidR="2C62B285">
        <w:t>and consulted</w:t>
      </w:r>
      <w:r w:rsidR="1293AD8D">
        <w:t xml:space="preserve"> and approval given</w:t>
      </w:r>
      <w:r w:rsidR="2C62B285">
        <w:t xml:space="preserve"> </w:t>
      </w:r>
      <w:r>
        <w:t>before any transfer takes place.</w:t>
      </w:r>
    </w:p>
    <w:p w14:paraId="77C08F4A" w14:textId="4CF1B6BA" w:rsidR="005D19AC" w:rsidRDefault="00A127CC" w:rsidP="00F474F5">
      <w:pPr>
        <w:pStyle w:val="ListParagraph"/>
        <w:numPr>
          <w:ilvl w:val="2"/>
          <w:numId w:val="5"/>
        </w:numPr>
      </w:pPr>
      <w:r>
        <w:t xml:space="preserve">Subject to approval under </w:t>
      </w:r>
      <w:r w:rsidR="00684400">
        <w:t>5</w:t>
      </w:r>
      <w:r>
        <w:t>.1.2, i</w:t>
      </w:r>
      <w:r w:rsidR="005D19AC">
        <w:t xml:space="preserve">f </w:t>
      </w:r>
      <w:r w:rsidR="00CE7F06">
        <w:t xml:space="preserve">University of Aberdeen </w:t>
      </w:r>
      <w:r w:rsidR="005D19AC">
        <w:t xml:space="preserve">data must be stored on removable </w:t>
      </w:r>
      <w:r w:rsidR="00725BA8">
        <w:t>media,</w:t>
      </w:r>
      <w:r w:rsidR="005D19AC">
        <w:t xml:space="preserve"> then data that is sensitive, confidential or contains </w:t>
      </w:r>
      <w:hyperlink r:id="rId11" w:anchor="panel11099" w:history="1">
        <w:r w:rsidR="00F51416" w:rsidRPr="008F494D">
          <w:rPr>
            <w:rStyle w:val="Hyperlink"/>
          </w:rPr>
          <w:t>personal data</w:t>
        </w:r>
      </w:hyperlink>
      <w:r w:rsidR="00CE4780">
        <w:t xml:space="preserve"> </w:t>
      </w:r>
      <w:r w:rsidR="005D19AC">
        <w:t>must be encrypted</w:t>
      </w:r>
      <w:r w:rsidR="004C1BCA">
        <w:t xml:space="preserve"> with </w:t>
      </w:r>
      <w:r w:rsidR="000E2A35">
        <w:t>full</w:t>
      </w:r>
      <w:r w:rsidR="004C1BCA">
        <w:t xml:space="preserve"> drive encryption</w:t>
      </w:r>
      <w:r w:rsidR="005D19AC">
        <w:t>.</w:t>
      </w:r>
    </w:p>
    <w:p w14:paraId="28DE1C20" w14:textId="5ABE0412" w:rsidR="00C369AE" w:rsidRDefault="00C369AE" w:rsidP="00F474F5">
      <w:pPr>
        <w:pStyle w:val="ListParagraph"/>
        <w:numPr>
          <w:ilvl w:val="2"/>
          <w:numId w:val="5"/>
        </w:numPr>
      </w:pPr>
      <w:r>
        <w:t xml:space="preserve">If University of Aberdeen data must be stored on removable media, then </w:t>
      </w:r>
      <w:r w:rsidR="004909FD">
        <w:t xml:space="preserve">only the </w:t>
      </w:r>
      <w:r w:rsidR="00653D7E">
        <w:t xml:space="preserve">minimum </w:t>
      </w:r>
      <w:r w:rsidR="004909FD">
        <w:t xml:space="preserve">necessary </w:t>
      </w:r>
      <w:r>
        <w:t>level of dat</w:t>
      </w:r>
      <w:r w:rsidR="009D1602">
        <w:t>a</w:t>
      </w:r>
      <w:r>
        <w:t xml:space="preserve"> required should be transferred</w:t>
      </w:r>
      <w:r w:rsidR="004909FD">
        <w:t xml:space="preserve"> to removable media.</w:t>
      </w:r>
    </w:p>
    <w:p w14:paraId="101C4B10" w14:textId="5C18C9EE" w:rsidR="3811F0F7" w:rsidRDefault="37D47A5B" w:rsidP="3811F0F7">
      <w:pPr>
        <w:pStyle w:val="ListParagraph"/>
        <w:numPr>
          <w:ilvl w:val="2"/>
          <w:numId w:val="5"/>
        </w:numPr>
      </w:pPr>
      <w:r>
        <w:t xml:space="preserve">If removable media must be used, the data should be transferred onto the University managed storage </w:t>
      </w:r>
      <w:r w:rsidR="5892F2F8">
        <w:t xml:space="preserve">as soon as possible </w:t>
      </w:r>
      <w:r>
        <w:t xml:space="preserve">and the copy on the </w:t>
      </w:r>
      <w:r w:rsidR="1ACE8447">
        <w:t>removable media</w:t>
      </w:r>
      <w:r w:rsidR="2F4176FE">
        <w:t xml:space="preserve"> deleted</w:t>
      </w:r>
      <w:r>
        <w:t>.</w:t>
      </w:r>
    </w:p>
    <w:p w14:paraId="252A73F9" w14:textId="278CBB14" w:rsidR="005D19AC" w:rsidRDefault="005D19AC" w:rsidP="00F474F5">
      <w:pPr>
        <w:pStyle w:val="ListParagraph"/>
        <w:numPr>
          <w:ilvl w:val="2"/>
          <w:numId w:val="5"/>
        </w:numPr>
      </w:pPr>
      <w:r>
        <w:lastRenderedPageBreak/>
        <w:t xml:space="preserve">Removable media </w:t>
      </w:r>
      <w:r w:rsidR="00F651CA">
        <w:t xml:space="preserve">must </w:t>
      </w:r>
      <w:r>
        <w:t xml:space="preserve">never </w:t>
      </w:r>
      <w:r w:rsidR="00F651CA">
        <w:t>hold the only copy</w:t>
      </w:r>
      <w:r w:rsidR="00BC1EAB">
        <w:t xml:space="preserve"> of </w:t>
      </w:r>
      <w:r w:rsidR="00CE7F06">
        <w:t xml:space="preserve">University of Aberdeen </w:t>
      </w:r>
      <w:r w:rsidR="00BC1EAB">
        <w:t>data.</w:t>
      </w:r>
      <w:r>
        <w:t xml:space="preserve"> </w:t>
      </w:r>
      <w:r w:rsidR="00800DAC">
        <w:t xml:space="preserve">If data must </w:t>
      </w:r>
      <w:r w:rsidR="00DA07B7">
        <w:t xml:space="preserve">be </w:t>
      </w:r>
      <w:r w:rsidR="006947F7">
        <w:t>transferred</w:t>
      </w:r>
      <w:r w:rsidR="00DA07B7">
        <w:t xml:space="preserve"> on removable media</w:t>
      </w:r>
      <w:r w:rsidR="00897BE1">
        <w:t>,</w:t>
      </w:r>
      <w:r w:rsidR="00DA07B7">
        <w:t xml:space="preserve"> then </w:t>
      </w:r>
      <w:r w:rsidR="00430BA2">
        <w:t>a copy</w:t>
      </w:r>
      <w:r w:rsidR="00DA07B7">
        <w:t xml:space="preserve"> should </w:t>
      </w:r>
      <w:r w:rsidR="00430BA2">
        <w:t xml:space="preserve">also </w:t>
      </w:r>
      <w:r w:rsidR="00DA07B7">
        <w:t xml:space="preserve">be </w:t>
      </w:r>
      <w:r w:rsidR="00430BA2">
        <w:t xml:space="preserve">left on the University of Aberdeen managed storage, transferred </w:t>
      </w:r>
      <w:r w:rsidR="000541CA">
        <w:t>to the destination</w:t>
      </w:r>
      <w:r w:rsidR="005736D9">
        <w:t xml:space="preserve"> </w:t>
      </w:r>
      <w:r w:rsidR="00430BA2">
        <w:t>and then</w:t>
      </w:r>
      <w:r w:rsidR="006947F7">
        <w:t xml:space="preserve"> securely </w:t>
      </w:r>
      <w:r w:rsidR="002A6D44">
        <w:t>erased from the removable media</w:t>
      </w:r>
      <w:r w:rsidR="006947F7">
        <w:t xml:space="preserve"> </w:t>
      </w:r>
      <w:r w:rsidR="002A6D44">
        <w:t xml:space="preserve">only </w:t>
      </w:r>
      <w:r w:rsidR="006947F7">
        <w:t xml:space="preserve">once confirmation has been obtained that the </w:t>
      </w:r>
      <w:r w:rsidR="005C16D2">
        <w:t>copy has completed.</w:t>
      </w:r>
    </w:p>
    <w:p w14:paraId="0ECBF868" w14:textId="70120D8C" w:rsidR="000A689F" w:rsidRDefault="000A689F" w:rsidP="003E4189">
      <w:pPr>
        <w:pStyle w:val="ListParagraph"/>
        <w:numPr>
          <w:ilvl w:val="2"/>
          <w:numId w:val="5"/>
        </w:numPr>
      </w:pPr>
      <w:r>
        <w:t>Users are required to report the misuse, theft, loss or potential loss of removable media that contains University data to</w:t>
      </w:r>
      <w:r w:rsidR="008266D1">
        <w:t xml:space="preserve"> </w:t>
      </w:r>
      <w:hyperlink r:id="rId12" w:history="1">
        <w:r w:rsidR="008266D1" w:rsidRPr="008266D1">
          <w:rPr>
            <w:rStyle w:val="Hyperlink"/>
          </w:rPr>
          <w:t>Digital &amp; Information Services</w:t>
        </w:r>
      </w:hyperlink>
      <w:r>
        <w:t>.</w:t>
      </w:r>
      <w:r w:rsidR="000273DE">
        <w:t xml:space="preserve"> Where this includes personal data, it must be reported immediately to the Data Protection Officer</w:t>
      </w:r>
      <w:r>
        <w:t>.</w:t>
      </w:r>
    </w:p>
    <w:p w14:paraId="516147DE" w14:textId="68B12949" w:rsidR="003E4189" w:rsidRDefault="003E4189" w:rsidP="003E4189">
      <w:pPr>
        <w:pStyle w:val="ListParagraph"/>
        <w:numPr>
          <w:ilvl w:val="2"/>
          <w:numId w:val="5"/>
        </w:numPr>
      </w:pPr>
      <w:r>
        <w:t xml:space="preserve">All removable media must be scanned by an </w:t>
      </w:r>
      <w:r w:rsidR="006D4F74">
        <w:t>up-to-date</w:t>
      </w:r>
      <w:r>
        <w:t xml:space="preserve"> anti-virus solution prior to use.</w:t>
      </w:r>
    </w:p>
    <w:p w14:paraId="6BC8BB72" w14:textId="77777777" w:rsidR="000A689F" w:rsidRDefault="000A689F" w:rsidP="003E4189">
      <w:pPr>
        <w:pStyle w:val="ListParagraph"/>
        <w:ind w:left="1224"/>
      </w:pPr>
    </w:p>
    <w:p w14:paraId="709DC6B3" w14:textId="77777777" w:rsidR="00B6794C" w:rsidRDefault="001446A9" w:rsidP="00173870">
      <w:pPr>
        <w:pStyle w:val="ListParagraph"/>
        <w:numPr>
          <w:ilvl w:val="1"/>
          <w:numId w:val="5"/>
        </w:numPr>
        <w:ind w:left="720"/>
      </w:pPr>
      <w:r>
        <w:t>Removable media lifecycle</w:t>
      </w:r>
    </w:p>
    <w:p w14:paraId="65627C8E" w14:textId="49BEE791" w:rsidR="00391B30" w:rsidRDefault="003D2836" w:rsidP="00391B30">
      <w:pPr>
        <w:pStyle w:val="ListParagraph"/>
        <w:numPr>
          <w:ilvl w:val="2"/>
          <w:numId w:val="5"/>
        </w:numPr>
      </w:pPr>
      <w:r>
        <w:t>In scope users</w:t>
      </w:r>
      <w:r w:rsidR="005D19AC">
        <w:t xml:space="preserve"> should only use removable media that has been procured via University of Aberdeen procurement </w:t>
      </w:r>
      <w:r w:rsidR="000541CA">
        <w:t>sources</w:t>
      </w:r>
      <w:r w:rsidR="00BC1EAB">
        <w:t>.</w:t>
      </w:r>
    </w:p>
    <w:p w14:paraId="164FF1E1" w14:textId="2EFB3107" w:rsidR="00391B30" w:rsidRDefault="00BC1EAB" w:rsidP="00391B30">
      <w:pPr>
        <w:pStyle w:val="ListParagraph"/>
        <w:numPr>
          <w:ilvl w:val="2"/>
          <w:numId w:val="5"/>
        </w:numPr>
      </w:pPr>
      <w:r>
        <w:t xml:space="preserve">Removable media with an unknown origin </w:t>
      </w:r>
      <w:r w:rsidR="003F187D">
        <w:t xml:space="preserve">should never be used. These include </w:t>
      </w:r>
      <w:r w:rsidR="002515E0">
        <w:t>removable media</w:t>
      </w:r>
      <w:r w:rsidR="005658F2">
        <w:t xml:space="preserve"> </w:t>
      </w:r>
      <w:r w:rsidR="00AF69F0">
        <w:t xml:space="preserve">given </w:t>
      </w:r>
      <w:r w:rsidR="00ED6582">
        <w:t xml:space="preserve">out </w:t>
      </w:r>
      <w:r w:rsidR="00AF69F0">
        <w:t xml:space="preserve">at conferences or </w:t>
      </w:r>
      <w:r w:rsidR="002515E0">
        <w:t>removable media</w:t>
      </w:r>
      <w:r w:rsidR="005F3C81">
        <w:t xml:space="preserve"> that ha</w:t>
      </w:r>
      <w:r w:rsidR="002515E0">
        <w:t>s</w:t>
      </w:r>
      <w:r w:rsidR="005F3C81">
        <w:t xml:space="preserve"> been </w:t>
      </w:r>
      <w:r w:rsidR="00AF69F0">
        <w:t>found.</w:t>
      </w:r>
    </w:p>
    <w:p w14:paraId="1B005298" w14:textId="7E974ADA" w:rsidR="005C0404" w:rsidRDefault="00A7246C" w:rsidP="005C0404">
      <w:pPr>
        <w:pStyle w:val="ListParagraph"/>
        <w:numPr>
          <w:ilvl w:val="2"/>
          <w:numId w:val="5"/>
        </w:numPr>
      </w:pPr>
      <w:r>
        <w:t>Damaged or faulty removable media must not be used. Users are required to contact</w:t>
      </w:r>
      <w:r w:rsidR="008266D1">
        <w:t xml:space="preserve"> Digital &amp; Information Services</w:t>
      </w:r>
      <w:r>
        <w:t xml:space="preserve"> to report damaged or faulty removable media</w:t>
      </w:r>
      <w:r w:rsidR="00950FAE">
        <w:t xml:space="preserve"> as soon as practical</w:t>
      </w:r>
      <w:r>
        <w:t xml:space="preserve"> so </w:t>
      </w:r>
      <w:r w:rsidR="00DB0C48">
        <w:t>arrangements</w:t>
      </w:r>
      <w:r>
        <w:t xml:space="preserve"> can be </w:t>
      </w:r>
      <w:r w:rsidR="00DB0C48">
        <w:t xml:space="preserve">made for </w:t>
      </w:r>
      <w:r w:rsidR="00E914A3">
        <w:t>collect</w:t>
      </w:r>
      <w:r w:rsidR="00DB0C48">
        <w:t>ion</w:t>
      </w:r>
      <w:r w:rsidR="00E914A3">
        <w:t xml:space="preserve"> and </w:t>
      </w:r>
      <w:r>
        <w:t>secure dispos</w:t>
      </w:r>
      <w:r w:rsidR="00DB0C48">
        <w:t>al</w:t>
      </w:r>
      <w:r>
        <w:t>.</w:t>
      </w:r>
    </w:p>
    <w:p w14:paraId="34EF1E1E" w14:textId="047DEB86" w:rsidR="005C0404" w:rsidRDefault="005C0404" w:rsidP="005C0404">
      <w:pPr>
        <w:pStyle w:val="ListParagraph"/>
        <w:numPr>
          <w:ilvl w:val="2"/>
          <w:numId w:val="5"/>
        </w:numPr>
      </w:pPr>
      <w:r>
        <w:t xml:space="preserve">If removable media is to be </w:t>
      </w:r>
      <w:r w:rsidR="00A81043">
        <w:t>transferred</w:t>
      </w:r>
      <w:r>
        <w:t xml:space="preserve"> to another </w:t>
      </w:r>
      <w:r w:rsidR="008E10B8">
        <w:t>Univer</w:t>
      </w:r>
      <w:r w:rsidR="00A81043">
        <w:t xml:space="preserve">sity </w:t>
      </w:r>
      <w:r>
        <w:t>owner</w:t>
      </w:r>
      <w:r w:rsidR="00A81043">
        <w:t xml:space="preserve"> for re-purpose</w:t>
      </w:r>
      <w:r w:rsidR="008E10B8">
        <w:t>,</w:t>
      </w:r>
      <w:r>
        <w:t xml:space="preserve"> then it must be securely erased to remove any data</w:t>
      </w:r>
      <w:r w:rsidR="00A86A5C">
        <w:t xml:space="preserve"> prior to </w:t>
      </w:r>
      <w:r w:rsidR="00A81043">
        <w:t>transfer</w:t>
      </w:r>
      <w:r>
        <w:t>.</w:t>
      </w:r>
    </w:p>
    <w:p w14:paraId="571809DD" w14:textId="6368A946" w:rsidR="001301C3" w:rsidRDefault="001301C3" w:rsidP="005C0404">
      <w:pPr>
        <w:pStyle w:val="ListParagraph"/>
        <w:numPr>
          <w:ilvl w:val="2"/>
          <w:numId w:val="5"/>
        </w:numPr>
      </w:pPr>
      <w:r>
        <w:t>Consideration should be give</w:t>
      </w:r>
      <w:r w:rsidR="000948E1">
        <w:t>n</w:t>
      </w:r>
      <w:r>
        <w:t xml:space="preserve"> to periodically securely erasing removable media</w:t>
      </w:r>
      <w:r w:rsidR="00253408">
        <w:t xml:space="preserve"> to remove any previous data</w:t>
      </w:r>
      <w:r w:rsidR="003E19A1">
        <w:t>. Milestones</w:t>
      </w:r>
      <w:r w:rsidR="00C8291D">
        <w:t xml:space="preserve"> such as at the end of a project</w:t>
      </w:r>
      <w:r w:rsidR="00E075C1">
        <w:t xml:space="preserve"> or after transport is comp</w:t>
      </w:r>
      <w:r w:rsidR="0088001F">
        <w:t>l</w:t>
      </w:r>
      <w:r w:rsidR="00E075C1">
        <w:t>ete</w:t>
      </w:r>
      <w:r w:rsidR="00B201F7">
        <w:t xml:space="preserve"> are examples when periodic secure erasure may be appropriate</w:t>
      </w:r>
      <w:r w:rsidR="00253408">
        <w:t>.</w:t>
      </w:r>
      <w:r w:rsidR="00DA18B0">
        <w:t xml:space="preserve"> </w:t>
      </w:r>
    </w:p>
    <w:p w14:paraId="1CAEADBF" w14:textId="258CA4A2" w:rsidR="00A7246C" w:rsidRDefault="00A7246C" w:rsidP="004C3831">
      <w:pPr>
        <w:pStyle w:val="ListParagraph"/>
        <w:numPr>
          <w:ilvl w:val="2"/>
          <w:numId w:val="5"/>
        </w:numPr>
      </w:pPr>
      <w:r>
        <w:t xml:space="preserve">Removable media must be returned to </w:t>
      </w:r>
      <w:r w:rsidR="008266D1">
        <w:t>Digital &amp; Information Services</w:t>
      </w:r>
      <w:r>
        <w:t xml:space="preserve"> when leaving the University.</w:t>
      </w:r>
      <w:r w:rsidR="008115F8">
        <w:t xml:space="preserve"> Responsibility for </w:t>
      </w:r>
      <w:r w:rsidR="00480D28">
        <w:t>this sits both with the leaver and their line manager.</w:t>
      </w:r>
    </w:p>
    <w:p w14:paraId="452CD114" w14:textId="77777777" w:rsidR="0050590A" w:rsidRDefault="0050590A" w:rsidP="0050590A">
      <w:pPr>
        <w:pStyle w:val="ListParagraph"/>
        <w:ind w:left="1224"/>
      </w:pPr>
    </w:p>
    <w:p w14:paraId="07C8DC83" w14:textId="77777777" w:rsidR="00A7246C" w:rsidRDefault="00A7246C" w:rsidP="003F3749">
      <w:pPr>
        <w:pStyle w:val="ListParagraph"/>
        <w:numPr>
          <w:ilvl w:val="1"/>
          <w:numId w:val="5"/>
        </w:numPr>
      </w:pPr>
      <w:r>
        <w:t>Transport and storage</w:t>
      </w:r>
    </w:p>
    <w:p w14:paraId="06C8D74B" w14:textId="327231BA" w:rsidR="0014558C" w:rsidRDefault="0014558C" w:rsidP="00A7246C">
      <w:pPr>
        <w:pStyle w:val="ListParagraph"/>
        <w:numPr>
          <w:ilvl w:val="2"/>
          <w:numId w:val="5"/>
        </w:numPr>
      </w:pPr>
      <w:r>
        <w:t>Users are required to securely store removable media</w:t>
      </w:r>
      <w:r w:rsidR="005F3C81">
        <w:t xml:space="preserve"> when not in use </w:t>
      </w:r>
      <w:r w:rsidR="00563D61">
        <w:t>such as</w:t>
      </w:r>
      <w:r w:rsidR="00EA1B1F">
        <w:t xml:space="preserve"> in </w:t>
      </w:r>
      <w:r w:rsidR="005F3C81">
        <w:t>a lock</w:t>
      </w:r>
      <w:r w:rsidR="00651E76">
        <w:t>ed room</w:t>
      </w:r>
      <w:r w:rsidR="00570D5B">
        <w:t xml:space="preserve"> or locked drawer</w:t>
      </w:r>
      <w:r>
        <w:t>.</w:t>
      </w:r>
    </w:p>
    <w:p w14:paraId="381F010F" w14:textId="167863EE" w:rsidR="00E112E7" w:rsidRDefault="00E112E7" w:rsidP="00A7246C">
      <w:pPr>
        <w:pStyle w:val="ListParagraph"/>
        <w:numPr>
          <w:ilvl w:val="2"/>
          <w:numId w:val="5"/>
        </w:numPr>
      </w:pPr>
      <w:r>
        <w:t>When transporting removable media</w:t>
      </w:r>
      <w:r w:rsidR="001B51E7">
        <w:t>,</w:t>
      </w:r>
      <w:r>
        <w:t xml:space="preserve"> </w:t>
      </w:r>
      <w:r w:rsidR="00EA0BF0">
        <w:t xml:space="preserve">consideration must be given on how to securely transport </w:t>
      </w:r>
      <w:r w:rsidR="008E10B8">
        <w:t>it</w:t>
      </w:r>
      <w:r w:rsidR="00C86954">
        <w:t>,</w:t>
      </w:r>
      <w:r w:rsidR="00246B29">
        <w:t xml:space="preserve"> and </w:t>
      </w:r>
      <w:r w:rsidR="00CB3798">
        <w:t xml:space="preserve">users must </w:t>
      </w:r>
      <w:r w:rsidR="00246B29">
        <w:t>be able to demonstrate due care was taken</w:t>
      </w:r>
      <w:r w:rsidR="001B51E7">
        <w:t xml:space="preserve"> when transporting </w:t>
      </w:r>
      <w:r w:rsidR="008E10B8">
        <w:t>it</w:t>
      </w:r>
      <w:r w:rsidR="00246B29">
        <w:t>.</w:t>
      </w:r>
    </w:p>
    <w:p w14:paraId="577988E5" w14:textId="77777777" w:rsidR="00B609E0" w:rsidRPr="004A3970" w:rsidRDefault="00B609E0" w:rsidP="00B609E0">
      <w:pPr>
        <w:pStyle w:val="ListParagraph"/>
        <w:ind w:left="792"/>
      </w:pPr>
    </w:p>
    <w:p w14:paraId="4171BEA8" w14:textId="479B0D1B" w:rsidR="005F617F" w:rsidRPr="00B60A5A" w:rsidRDefault="005F617F" w:rsidP="00A329A5">
      <w:pPr>
        <w:pStyle w:val="ListParagraph"/>
        <w:numPr>
          <w:ilvl w:val="0"/>
          <w:numId w:val="5"/>
        </w:numPr>
        <w:rPr>
          <w:b/>
          <w:bCs/>
        </w:rPr>
      </w:pPr>
      <w:r w:rsidRPr="00B60A5A">
        <w:rPr>
          <w:b/>
          <w:bCs/>
        </w:rPr>
        <w:t>Interaction with other Policies</w:t>
      </w:r>
    </w:p>
    <w:p w14:paraId="7A44CC3E" w14:textId="0A6F3E93" w:rsidR="00D7231E" w:rsidRDefault="35FBAED2" w:rsidP="00D7231E">
      <w:pPr>
        <w:pStyle w:val="ListParagraph"/>
        <w:numPr>
          <w:ilvl w:val="1"/>
          <w:numId w:val="5"/>
        </w:numPr>
      </w:pPr>
      <w:r>
        <w:t>This policy should be read in conjunction with:</w:t>
      </w:r>
    </w:p>
    <w:p w14:paraId="32B6BE35" w14:textId="7B39180F" w:rsidR="00D7231E" w:rsidRDefault="0079083E" w:rsidP="00D7231E">
      <w:pPr>
        <w:pStyle w:val="ListParagraph"/>
        <w:numPr>
          <w:ilvl w:val="0"/>
          <w:numId w:val="8"/>
        </w:numPr>
      </w:pPr>
      <w:hyperlink r:id="rId13" w:history="1">
        <w:r w:rsidRPr="004819C3">
          <w:rPr>
            <w:rStyle w:val="Hyperlink"/>
          </w:rPr>
          <w:t>Information Security Policy</w:t>
        </w:r>
      </w:hyperlink>
    </w:p>
    <w:p w14:paraId="6F077D48" w14:textId="7B4686DA" w:rsidR="0079083E" w:rsidRDefault="00BF631A" w:rsidP="00D7231E">
      <w:pPr>
        <w:pStyle w:val="ListParagraph"/>
        <w:numPr>
          <w:ilvl w:val="0"/>
          <w:numId w:val="8"/>
        </w:numPr>
      </w:pPr>
      <w:hyperlink r:id="rId14" w:history="1">
        <w:r w:rsidRPr="004819C3">
          <w:rPr>
            <w:rStyle w:val="Hyperlink"/>
          </w:rPr>
          <w:t>Information Security Supporting Policies</w:t>
        </w:r>
      </w:hyperlink>
    </w:p>
    <w:p w14:paraId="51494CEF" w14:textId="0C4E96CC" w:rsidR="00BF631A" w:rsidRDefault="00BF631A" w:rsidP="00D7231E">
      <w:pPr>
        <w:pStyle w:val="ListParagraph"/>
        <w:numPr>
          <w:ilvl w:val="0"/>
          <w:numId w:val="8"/>
        </w:numPr>
      </w:pPr>
      <w:hyperlink r:id="rId15" w:history="1">
        <w:r w:rsidRPr="004819C3">
          <w:rPr>
            <w:rStyle w:val="Hyperlink"/>
          </w:rPr>
          <w:t>Conditions for using Information technology Facilities</w:t>
        </w:r>
      </w:hyperlink>
    </w:p>
    <w:p w14:paraId="131259F9" w14:textId="255AFCBB" w:rsidR="00901EE2" w:rsidRDefault="00901EE2" w:rsidP="00D7231E">
      <w:pPr>
        <w:pStyle w:val="ListParagraph"/>
        <w:numPr>
          <w:ilvl w:val="0"/>
          <w:numId w:val="8"/>
        </w:numPr>
      </w:pPr>
      <w:hyperlink r:id="rId16" w:history="1">
        <w:r w:rsidRPr="004819C3">
          <w:rPr>
            <w:rStyle w:val="Hyperlink"/>
          </w:rPr>
          <w:t>Data Protection Policy</w:t>
        </w:r>
      </w:hyperlink>
    </w:p>
    <w:p w14:paraId="250E0C9F" w14:textId="77777777" w:rsidR="00BF631A" w:rsidRPr="005F617F" w:rsidRDefault="00BF631A" w:rsidP="000D7BD8"/>
    <w:p w14:paraId="7B829005" w14:textId="77777777" w:rsidR="0099315C" w:rsidRPr="0099315C" w:rsidRDefault="00B30CC9" w:rsidP="00B30CC9">
      <w:pPr>
        <w:pStyle w:val="ListParagraph"/>
        <w:numPr>
          <w:ilvl w:val="0"/>
          <w:numId w:val="5"/>
        </w:numPr>
      </w:pPr>
      <w:r>
        <w:rPr>
          <w:b/>
          <w:bCs/>
        </w:rPr>
        <w:t>Compliance</w:t>
      </w:r>
    </w:p>
    <w:p w14:paraId="38AE8D59" w14:textId="77777777" w:rsidR="00644899" w:rsidRDefault="00B30CC9" w:rsidP="00644899">
      <w:pPr>
        <w:pStyle w:val="ListParagraph"/>
        <w:numPr>
          <w:ilvl w:val="1"/>
          <w:numId w:val="5"/>
        </w:numPr>
      </w:pPr>
      <w:r>
        <w:t xml:space="preserve">Non-compliance with this policy could expose the University to accidental or deliberate misuse of information, breaches of confidentiality, malicious or accidental corruption of data, theft of intellectual property and a breach of statutory, regulatory and/or contractual requirements. </w:t>
      </w:r>
    </w:p>
    <w:p w14:paraId="2ECFA45E" w14:textId="77777777" w:rsidR="00644899" w:rsidRDefault="00B30CC9" w:rsidP="000D7BD8">
      <w:pPr>
        <w:pStyle w:val="ListParagraph"/>
        <w:numPr>
          <w:ilvl w:val="1"/>
          <w:numId w:val="5"/>
        </w:numPr>
      </w:pPr>
      <w:r>
        <w:lastRenderedPageBreak/>
        <w:t xml:space="preserve">The University of Aberdeen shall conduct information security and risk audit, compliance and assurance activities to ensure information security objectives and the requirements of this and supporting policies, procedures and standards are met. </w:t>
      </w:r>
    </w:p>
    <w:p w14:paraId="7D22B69E" w14:textId="5D8519F5" w:rsidR="00C965D5" w:rsidRDefault="00B30CC9" w:rsidP="000D7BD8">
      <w:pPr>
        <w:pStyle w:val="ListParagraph"/>
        <w:numPr>
          <w:ilvl w:val="1"/>
          <w:numId w:val="5"/>
        </w:numPr>
      </w:pPr>
      <w:r>
        <w:t xml:space="preserve">A breach of this policy will be taken seriously by the University and dealt with under the provisions stated in the University of Aberdeen Conditions for using IT Facilities.  </w:t>
      </w:r>
    </w:p>
    <w:p w14:paraId="18633D90" w14:textId="77777777" w:rsidR="00644899" w:rsidRPr="000D7BD8" w:rsidRDefault="00644899" w:rsidP="00644899">
      <w:pPr>
        <w:pStyle w:val="ListParagraph"/>
        <w:ind w:left="792"/>
      </w:pPr>
    </w:p>
    <w:p w14:paraId="7D43A37C" w14:textId="77777777" w:rsidR="00644899" w:rsidRDefault="00C965D5" w:rsidP="00644899">
      <w:pPr>
        <w:pStyle w:val="ListParagraph"/>
        <w:numPr>
          <w:ilvl w:val="0"/>
          <w:numId w:val="5"/>
        </w:numPr>
        <w:rPr>
          <w:b/>
          <w:bCs/>
        </w:rPr>
      </w:pPr>
      <w:r w:rsidRPr="000D7BD8">
        <w:rPr>
          <w:b/>
          <w:bCs/>
        </w:rPr>
        <w:t>Review</w:t>
      </w:r>
    </w:p>
    <w:p w14:paraId="2176405C" w14:textId="0312A4A9" w:rsidR="00B06A17" w:rsidRPr="00644899" w:rsidRDefault="00DA1840" w:rsidP="00644899">
      <w:pPr>
        <w:rPr>
          <w:b/>
          <w:bCs/>
        </w:rPr>
      </w:pPr>
      <w:r>
        <w:t xml:space="preserve">This policy is reviewed at least annually to ensure it: </w:t>
      </w:r>
    </w:p>
    <w:p w14:paraId="655F476A" w14:textId="77777777" w:rsidR="00B06A17" w:rsidRDefault="00DA1840" w:rsidP="00B06A17">
      <w:pPr>
        <w:pStyle w:val="ListParagraph"/>
        <w:ind w:left="360"/>
      </w:pPr>
      <w:r>
        <w:t xml:space="preserve">• Remains fit for purpose and accurate. </w:t>
      </w:r>
    </w:p>
    <w:p w14:paraId="22B37832" w14:textId="77777777" w:rsidR="00B06A17" w:rsidRDefault="00DA1840" w:rsidP="00B06A17">
      <w:pPr>
        <w:pStyle w:val="ListParagraph"/>
        <w:ind w:left="360"/>
      </w:pPr>
      <w:r>
        <w:t>• Reflects changes in technologies.</w:t>
      </w:r>
    </w:p>
    <w:p w14:paraId="4D5C25B8" w14:textId="77777777" w:rsidR="00B06A17" w:rsidRDefault="00DA1840" w:rsidP="00B06A17">
      <w:pPr>
        <w:pStyle w:val="ListParagraph"/>
        <w:ind w:left="360"/>
      </w:pPr>
      <w:r>
        <w:t xml:space="preserve">• Is aligned to industry best practice. </w:t>
      </w:r>
    </w:p>
    <w:p w14:paraId="518D2570" w14:textId="40DBDA8D" w:rsidR="00DA1840" w:rsidRPr="000A747B" w:rsidRDefault="00DA1840" w:rsidP="000D7BD8">
      <w:pPr>
        <w:pStyle w:val="ListParagraph"/>
        <w:ind w:left="360"/>
      </w:pPr>
      <w:r>
        <w:t>• Supports continued regulatory, contractual, and legal compliance</w:t>
      </w:r>
    </w:p>
    <w:p w14:paraId="3B6E731A" w14:textId="77777777" w:rsidR="00DA1840" w:rsidRPr="00DA1840" w:rsidRDefault="00DA1840" w:rsidP="000D7BD8"/>
    <w:tbl>
      <w:tblPr>
        <w:tblStyle w:val="TableGrid"/>
        <w:tblW w:w="0" w:type="auto"/>
        <w:tblInd w:w="720" w:type="dxa"/>
        <w:tblLook w:val="04A0" w:firstRow="1" w:lastRow="0" w:firstColumn="1" w:lastColumn="0" w:noHBand="0" w:noVBand="1"/>
      </w:tblPr>
      <w:tblGrid>
        <w:gridCol w:w="2761"/>
        <w:gridCol w:w="2750"/>
        <w:gridCol w:w="2785"/>
      </w:tblGrid>
      <w:tr w:rsidR="00E50DC2" w14:paraId="411E80C8" w14:textId="77777777" w:rsidTr="00E50DC2">
        <w:tc>
          <w:tcPr>
            <w:tcW w:w="3005" w:type="dxa"/>
            <w:shd w:val="clear" w:color="auto" w:fill="D9D9D9" w:themeFill="background1" w:themeFillShade="D9"/>
          </w:tcPr>
          <w:p w14:paraId="1C2D2D09" w14:textId="76E9222A" w:rsidR="00175011" w:rsidRDefault="00175011" w:rsidP="00175011">
            <w:pPr>
              <w:pStyle w:val="ListParagraph"/>
              <w:ind w:left="0"/>
              <w:jc w:val="center"/>
            </w:pPr>
            <w:r>
              <w:t>Version</w:t>
            </w:r>
          </w:p>
        </w:tc>
        <w:tc>
          <w:tcPr>
            <w:tcW w:w="3005" w:type="dxa"/>
            <w:shd w:val="clear" w:color="auto" w:fill="D9D9D9" w:themeFill="background1" w:themeFillShade="D9"/>
          </w:tcPr>
          <w:p w14:paraId="0C256CA4" w14:textId="55D6D02D" w:rsidR="00175011" w:rsidRDefault="00175011" w:rsidP="00175011">
            <w:pPr>
              <w:pStyle w:val="ListParagraph"/>
              <w:ind w:left="0"/>
              <w:jc w:val="center"/>
            </w:pPr>
            <w:r>
              <w:t>Date</w:t>
            </w:r>
          </w:p>
        </w:tc>
        <w:tc>
          <w:tcPr>
            <w:tcW w:w="3006" w:type="dxa"/>
            <w:shd w:val="clear" w:color="auto" w:fill="D9D9D9" w:themeFill="background1" w:themeFillShade="D9"/>
          </w:tcPr>
          <w:p w14:paraId="12C5962A" w14:textId="77D1A07D" w:rsidR="00175011" w:rsidRDefault="00175011" w:rsidP="00175011">
            <w:pPr>
              <w:pStyle w:val="ListParagraph"/>
              <w:ind w:left="0"/>
              <w:jc w:val="center"/>
            </w:pPr>
            <w:r>
              <w:t>Action</w:t>
            </w:r>
          </w:p>
        </w:tc>
      </w:tr>
      <w:tr w:rsidR="00E50DC2" w14:paraId="09D53643" w14:textId="77777777" w:rsidTr="00175011">
        <w:tc>
          <w:tcPr>
            <w:tcW w:w="3005" w:type="dxa"/>
          </w:tcPr>
          <w:p w14:paraId="4A3F42FC" w14:textId="62276D0B" w:rsidR="00175011" w:rsidRDefault="00175011" w:rsidP="00175011">
            <w:pPr>
              <w:pStyle w:val="ListParagraph"/>
              <w:ind w:left="0"/>
              <w:jc w:val="center"/>
            </w:pPr>
            <w:r>
              <w:t>1</w:t>
            </w:r>
          </w:p>
        </w:tc>
        <w:tc>
          <w:tcPr>
            <w:tcW w:w="3005" w:type="dxa"/>
          </w:tcPr>
          <w:p w14:paraId="77F99E93" w14:textId="3866EB99" w:rsidR="00175011" w:rsidRDefault="00FB4703" w:rsidP="00175011">
            <w:pPr>
              <w:pStyle w:val="ListParagraph"/>
              <w:ind w:left="0"/>
              <w:jc w:val="center"/>
            </w:pPr>
            <w:r>
              <w:t>4 March 2025</w:t>
            </w:r>
          </w:p>
        </w:tc>
        <w:tc>
          <w:tcPr>
            <w:tcW w:w="3006" w:type="dxa"/>
          </w:tcPr>
          <w:p w14:paraId="3E457639" w14:textId="6A8E3517" w:rsidR="00175011" w:rsidRDefault="00FB4703" w:rsidP="00175011">
            <w:pPr>
              <w:pStyle w:val="ListParagraph"/>
              <w:ind w:left="0"/>
              <w:jc w:val="center"/>
            </w:pPr>
            <w:r>
              <w:t>Approved by IGC</w:t>
            </w:r>
          </w:p>
        </w:tc>
      </w:tr>
      <w:tr w:rsidR="00E50DC2" w14:paraId="6DABFE7A" w14:textId="77777777" w:rsidTr="00175011">
        <w:tc>
          <w:tcPr>
            <w:tcW w:w="3005" w:type="dxa"/>
          </w:tcPr>
          <w:p w14:paraId="538F5BBD" w14:textId="77777777" w:rsidR="00175011" w:rsidRDefault="00175011" w:rsidP="00175011">
            <w:pPr>
              <w:pStyle w:val="ListParagraph"/>
              <w:ind w:left="0"/>
              <w:jc w:val="center"/>
            </w:pPr>
          </w:p>
        </w:tc>
        <w:tc>
          <w:tcPr>
            <w:tcW w:w="3005" w:type="dxa"/>
          </w:tcPr>
          <w:p w14:paraId="3DBF52BA" w14:textId="77777777" w:rsidR="00175011" w:rsidRDefault="00175011" w:rsidP="00175011">
            <w:pPr>
              <w:pStyle w:val="ListParagraph"/>
              <w:ind w:left="0"/>
              <w:jc w:val="center"/>
            </w:pPr>
          </w:p>
        </w:tc>
        <w:tc>
          <w:tcPr>
            <w:tcW w:w="3006" w:type="dxa"/>
          </w:tcPr>
          <w:p w14:paraId="6FD58714" w14:textId="77777777" w:rsidR="00175011" w:rsidRDefault="00175011" w:rsidP="00175011">
            <w:pPr>
              <w:pStyle w:val="ListParagraph"/>
              <w:ind w:left="0"/>
              <w:jc w:val="center"/>
            </w:pPr>
          </w:p>
        </w:tc>
      </w:tr>
    </w:tbl>
    <w:p w14:paraId="7EAA3797" w14:textId="77777777" w:rsidR="00B634D8" w:rsidRDefault="00B634D8" w:rsidP="00B634D8">
      <w:pPr>
        <w:pStyle w:val="ListParagrap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261"/>
        <w:gridCol w:w="4261"/>
      </w:tblGrid>
      <w:tr w:rsidR="00615D49" w:rsidRPr="00A2068F" w14:paraId="747A9E56" w14:textId="77777777" w:rsidTr="00A02397">
        <w:trPr>
          <w:tblHeader/>
        </w:trPr>
        <w:tc>
          <w:tcPr>
            <w:tcW w:w="4261" w:type="dxa"/>
          </w:tcPr>
          <w:p w14:paraId="78A9F69C" w14:textId="77777777" w:rsidR="00615D49" w:rsidRPr="00A2068F" w:rsidRDefault="00615D49" w:rsidP="00A02397">
            <w:pPr>
              <w:pStyle w:val="Heading2"/>
            </w:pPr>
            <w:r w:rsidRPr="00A2068F">
              <w:lastRenderedPageBreak/>
              <w:t>Title</w:t>
            </w:r>
          </w:p>
          <w:p w14:paraId="2B66AA6C" w14:textId="77777777" w:rsidR="00615D49" w:rsidRPr="00A2068F" w:rsidRDefault="00615D49" w:rsidP="00A02397">
            <w:pPr>
              <w:rPr>
                <w:b/>
              </w:rPr>
            </w:pPr>
          </w:p>
        </w:tc>
        <w:tc>
          <w:tcPr>
            <w:tcW w:w="4261" w:type="dxa"/>
          </w:tcPr>
          <w:p w14:paraId="1CA4AC81" w14:textId="77777777" w:rsidR="00615D49" w:rsidRPr="004F188F" w:rsidRDefault="00615D49" w:rsidP="00A02397">
            <w:pPr>
              <w:rPr>
                <w:rFonts w:ascii="Aptos" w:hAnsi="Aptos"/>
              </w:rPr>
            </w:pPr>
            <w:r w:rsidRPr="004F188F">
              <w:rPr>
                <w:rFonts w:ascii="Aptos" w:hAnsi="Aptos"/>
              </w:rPr>
              <w:t>Removable Media Policy</w:t>
            </w:r>
          </w:p>
        </w:tc>
      </w:tr>
      <w:tr w:rsidR="00615D49" w:rsidRPr="00A2068F" w14:paraId="4C43B1A8" w14:textId="77777777" w:rsidTr="00A02397">
        <w:trPr>
          <w:trHeight w:val="445"/>
          <w:tblHeader/>
        </w:trPr>
        <w:tc>
          <w:tcPr>
            <w:tcW w:w="4261" w:type="dxa"/>
          </w:tcPr>
          <w:p w14:paraId="1F194267" w14:textId="77777777" w:rsidR="00615D49" w:rsidRPr="00A2068F" w:rsidRDefault="00615D49" w:rsidP="00A02397">
            <w:pPr>
              <w:pStyle w:val="Heading2"/>
            </w:pPr>
            <w:r w:rsidRPr="00A2068F">
              <w:t>Author / Creator</w:t>
            </w:r>
          </w:p>
          <w:p w14:paraId="27153852" w14:textId="77777777" w:rsidR="00615D49" w:rsidRPr="00A2068F" w:rsidRDefault="00615D49" w:rsidP="00A02397">
            <w:pPr>
              <w:rPr>
                <w:b/>
              </w:rPr>
            </w:pPr>
          </w:p>
        </w:tc>
        <w:tc>
          <w:tcPr>
            <w:tcW w:w="4261" w:type="dxa"/>
          </w:tcPr>
          <w:p w14:paraId="741E5F87" w14:textId="77777777" w:rsidR="00615D49" w:rsidRPr="004F188F" w:rsidRDefault="00615D49" w:rsidP="00A02397">
            <w:pPr>
              <w:rPr>
                <w:rFonts w:ascii="Aptos" w:hAnsi="Aptos"/>
              </w:rPr>
            </w:pPr>
            <w:r w:rsidRPr="004F188F">
              <w:rPr>
                <w:rFonts w:ascii="Aptos" w:hAnsi="Aptos"/>
              </w:rPr>
              <w:t>Information Security Manager</w:t>
            </w:r>
          </w:p>
        </w:tc>
      </w:tr>
      <w:tr w:rsidR="00615D49" w:rsidRPr="00A2068F" w14:paraId="1E4CF358" w14:textId="77777777" w:rsidTr="00A02397">
        <w:trPr>
          <w:tblHeader/>
        </w:trPr>
        <w:tc>
          <w:tcPr>
            <w:tcW w:w="4261" w:type="dxa"/>
          </w:tcPr>
          <w:p w14:paraId="5C035E5C" w14:textId="77777777" w:rsidR="00615D49" w:rsidRPr="00A2068F" w:rsidRDefault="00615D49" w:rsidP="00A02397">
            <w:pPr>
              <w:pStyle w:val="Heading2"/>
            </w:pPr>
            <w:r w:rsidRPr="00A2068F">
              <w:t>Owner</w:t>
            </w:r>
          </w:p>
          <w:p w14:paraId="0847D195" w14:textId="77777777" w:rsidR="00615D49" w:rsidRPr="00A2068F" w:rsidRDefault="00615D49" w:rsidP="00A02397">
            <w:pPr>
              <w:rPr>
                <w:b/>
              </w:rPr>
            </w:pPr>
          </w:p>
        </w:tc>
        <w:tc>
          <w:tcPr>
            <w:tcW w:w="4261" w:type="dxa"/>
          </w:tcPr>
          <w:p w14:paraId="463FF2A8" w14:textId="77777777" w:rsidR="00615D49" w:rsidRPr="004F188F" w:rsidRDefault="00615D49" w:rsidP="00A02397">
            <w:pPr>
              <w:rPr>
                <w:rFonts w:ascii="Aptos" w:hAnsi="Aptos"/>
              </w:rPr>
            </w:pPr>
            <w:r w:rsidRPr="004F188F">
              <w:rPr>
                <w:rFonts w:ascii="Aptos" w:hAnsi="Aptos"/>
              </w:rPr>
              <w:t>Information Security Manager</w:t>
            </w:r>
          </w:p>
        </w:tc>
      </w:tr>
      <w:tr w:rsidR="00615D49" w:rsidRPr="00A2068F" w14:paraId="727F7EA5" w14:textId="77777777" w:rsidTr="00A02397">
        <w:trPr>
          <w:trHeight w:val="417"/>
          <w:tblHeader/>
        </w:trPr>
        <w:tc>
          <w:tcPr>
            <w:tcW w:w="4261" w:type="dxa"/>
          </w:tcPr>
          <w:p w14:paraId="0920486B" w14:textId="77777777" w:rsidR="00615D49" w:rsidRPr="00A2068F" w:rsidRDefault="00615D49" w:rsidP="00A02397">
            <w:pPr>
              <w:pStyle w:val="Heading2"/>
            </w:pPr>
            <w:r w:rsidRPr="00A2068F">
              <w:t>Date published / approved</w:t>
            </w:r>
          </w:p>
        </w:tc>
        <w:tc>
          <w:tcPr>
            <w:tcW w:w="4261" w:type="dxa"/>
          </w:tcPr>
          <w:p w14:paraId="3686F55B" w14:textId="77777777" w:rsidR="00615D49" w:rsidRPr="004F188F" w:rsidRDefault="00615D49" w:rsidP="00A02397">
            <w:pPr>
              <w:rPr>
                <w:rFonts w:ascii="Aptos" w:hAnsi="Aptos"/>
              </w:rPr>
            </w:pPr>
            <w:r w:rsidRPr="004F188F">
              <w:rPr>
                <w:rFonts w:ascii="Aptos" w:hAnsi="Aptos"/>
              </w:rPr>
              <w:t>4 March 2025</w:t>
            </w:r>
          </w:p>
        </w:tc>
      </w:tr>
      <w:tr w:rsidR="00615D49" w:rsidRPr="00A2068F" w14:paraId="681A0B29" w14:textId="77777777" w:rsidTr="00A02397">
        <w:trPr>
          <w:tblHeader/>
        </w:trPr>
        <w:tc>
          <w:tcPr>
            <w:tcW w:w="4261" w:type="dxa"/>
          </w:tcPr>
          <w:p w14:paraId="202A70EF" w14:textId="77777777" w:rsidR="00615D49" w:rsidRPr="00A2068F" w:rsidRDefault="00615D49" w:rsidP="00A02397">
            <w:pPr>
              <w:pStyle w:val="Heading2"/>
            </w:pPr>
            <w:r w:rsidRPr="00A2068F">
              <w:t>Version</w:t>
            </w:r>
          </w:p>
          <w:p w14:paraId="173B575F" w14:textId="77777777" w:rsidR="00615D49" w:rsidRPr="00A2068F" w:rsidRDefault="00615D49" w:rsidP="00A02397">
            <w:pPr>
              <w:rPr>
                <w:b/>
              </w:rPr>
            </w:pPr>
          </w:p>
        </w:tc>
        <w:tc>
          <w:tcPr>
            <w:tcW w:w="4261" w:type="dxa"/>
          </w:tcPr>
          <w:p w14:paraId="5A93831E" w14:textId="77777777" w:rsidR="00615D49" w:rsidRPr="004F188F" w:rsidRDefault="00615D49" w:rsidP="00A02397">
            <w:pPr>
              <w:rPr>
                <w:rFonts w:ascii="Aptos" w:hAnsi="Aptos"/>
              </w:rPr>
            </w:pPr>
            <w:r w:rsidRPr="004F188F">
              <w:rPr>
                <w:rFonts w:ascii="Aptos" w:hAnsi="Aptos"/>
              </w:rPr>
              <w:t>1</w:t>
            </w:r>
          </w:p>
        </w:tc>
      </w:tr>
      <w:tr w:rsidR="00615D49" w:rsidRPr="00A2068F" w14:paraId="1509FC34" w14:textId="77777777" w:rsidTr="00A02397">
        <w:trPr>
          <w:tblHeader/>
        </w:trPr>
        <w:tc>
          <w:tcPr>
            <w:tcW w:w="4261" w:type="dxa"/>
          </w:tcPr>
          <w:p w14:paraId="4A2B0800" w14:textId="77777777" w:rsidR="00615D49" w:rsidRPr="00A2068F" w:rsidRDefault="00615D49" w:rsidP="00A02397">
            <w:pPr>
              <w:pStyle w:val="Heading2"/>
            </w:pPr>
            <w:r>
              <w:t>D</w:t>
            </w:r>
            <w:r w:rsidRPr="00A2068F">
              <w:t>ate</w:t>
            </w:r>
            <w:r>
              <w:t xml:space="preserve"> for Next Review</w:t>
            </w:r>
          </w:p>
          <w:p w14:paraId="6FDEB540" w14:textId="77777777" w:rsidR="00615D49" w:rsidRPr="00A2068F" w:rsidRDefault="00615D49" w:rsidP="00A02397">
            <w:pPr>
              <w:rPr>
                <w:b/>
              </w:rPr>
            </w:pPr>
          </w:p>
        </w:tc>
        <w:tc>
          <w:tcPr>
            <w:tcW w:w="4261" w:type="dxa"/>
          </w:tcPr>
          <w:p w14:paraId="4DDC3C81" w14:textId="77777777" w:rsidR="00615D49" w:rsidRPr="004F188F" w:rsidRDefault="00615D49" w:rsidP="00A02397">
            <w:pPr>
              <w:rPr>
                <w:rFonts w:ascii="Aptos" w:hAnsi="Aptos"/>
              </w:rPr>
            </w:pPr>
            <w:r>
              <w:rPr>
                <w:rFonts w:ascii="Aptos" w:hAnsi="Aptos"/>
              </w:rPr>
              <w:t>March 2026</w:t>
            </w:r>
          </w:p>
        </w:tc>
      </w:tr>
      <w:tr w:rsidR="00615D49" w:rsidRPr="00C400DF" w14:paraId="5F8E052B" w14:textId="77777777" w:rsidTr="00A02397">
        <w:trPr>
          <w:tblHeader/>
        </w:trPr>
        <w:tc>
          <w:tcPr>
            <w:tcW w:w="4261" w:type="dxa"/>
          </w:tcPr>
          <w:p w14:paraId="3B1D1A7A" w14:textId="77777777" w:rsidR="00615D49" w:rsidRPr="00A2068F" w:rsidRDefault="00615D49" w:rsidP="00A02397">
            <w:pPr>
              <w:pStyle w:val="Heading2"/>
            </w:pPr>
            <w:r w:rsidRPr="00A2068F">
              <w:t>Audience</w:t>
            </w:r>
          </w:p>
        </w:tc>
        <w:tc>
          <w:tcPr>
            <w:tcW w:w="4261" w:type="dxa"/>
          </w:tcPr>
          <w:p w14:paraId="668D8E03" w14:textId="77777777" w:rsidR="00615D49" w:rsidRPr="004F188F" w:rsidRDefault="00615D49" w:rsidP="00A02397">
            <w:pPr>
              <w:rPr>
                <w:rFonts w:ascii="Aptos" w:hAnsi="Aptos"/>
                <w:iCs/>
              </w:rPr>
            </w:pPr>
            <w:r>
              <w:rPr>
                <w:rFonts w:ascii="Aptos" w:hAnsi="Aptos"/>
                <w:iCs/>
              </w:rPr>
              <w:t>All staff, students, partners, suppliers and contractors.</w:t>
            </w:r>
          </w:p>
        </w:tc>
      </w:tr>
      <w:tr w:rsidR="00615D49" w:rsidRPr="00C400DF" w14:paraId="3358CCB6" w14:textId="77777777" w:rsidTr="00A02397">
        <w:trPr>
          <w:tblHeader/>
        </w:trPr>
        <w:tc>
          <w:tcPr>
            <w:tcW w:w="4261" w:type="dxa"/>
          </w:tcPr>
          <w:p w14:paraId="66693B07" w14:textId="77777777" w:rsidR="00615D49" w:rsidRPr="00A2068F" w:rsidRDefault="00615D49" w:rsidP="00A02397">
            <w:pPr>
              <w:pStyle w:val="Heading2"/>
            </w:pPr>
            <w:r w:rsidRPr="00A2068F">
              <w:t xml:space="preserve">Related </w:t>
            </w:r>
          </w:p>
          <w:p w14:paraId="6E0A77C6" w14:textId="77777777" w:rsidR="00615D49" w:rsidRPr="00A2068F" w:rsidRDefault="00615D49" w:rsidP="00A02397">
            <w:pPr>
              <w:rPr>
                <w:b/>
              </w:rPr>
            </w:pPr>
          </w:p>
        </w:tc>
        <w:tc>
          <w:tcPr>
            <w:tcW w:w="4261" w:type="dxa"/>
          </w:tcPr>
          <w:p w14:paraId="22A1C6EA" w14:textId="77777777" w:rsidR="00615D49" w:rsidRPr="004F188F" w:rsidRDefault="00615D49" w:rsidP="00A02397">
            <w:pPr>
              <w:rPr>
                <w:rFonts w:ascii="Aptos" w:hAnsi="Aptos"/>
                <w:i/>
              </w:rPr>
            </w:pPr>
          </w:p>
        </w:tc>
      </w:tr>
      <w:tr w:rsidR="00615D49" w:rsidRPr="00A2068F" w14:paraId="78F73D06" w14:textId="77777777" w:rsidTr="00A02397">
        <w:trPr>
          <w:tblHeader/>
        </w:trPr>
        <w:tc>
          <w:tcPr>
            <w:tcW w:w="4261" w:type="dxa"/>
          </w:tcPr>
          <w:p w14:paraId="70B22374" w14:textId="77777777" w:rsidR="00615D49" w:rsidRPr="00A2068F" w:rsidRDefault="00615D49" w:rsidP="00A02397">
            <w:pPr>
              <w:pStyle w:val="Heading2"/>
            </w:pPr>
            <w:r w:rsidRPr="00A2068F">
              <w:t>Subject / Description</w:t>
            </w:r>
          </w:p>
          <w:p w14:paraId="7D0701F6" w14:textId="77777777" w:rsidR="00615D49" w:rsidRPr="00A2068F" w:rsidRDefault="00615D49" w:rsidP="00A02397">
            <w:pPr>
              <w:rPr>
                <w:b/>
              </w:rPr>
            </w:pPr>
          </w:p>
        </w:tc>
        <w:tc>
          <w:tcPr>
            <w:tcW w:w="4261" w:type="dxa"/>
          </w:tcPr>
          <w:p w14:paraId="10E33F12" w14:textId="77777777" w:rsidR="00615D49" w:rsidRPr="004F188F" w:rsidRDefault="00615D49" w:rsidP="00A02397">
            <w:pPr>
              <w:rPr>
                <w:rFonts w:ascii="Aptos" w:hAnsi="Aptos"/>
              </w:rPr>
            </w:pPr>
          </w:p>
        </w:tc>
      </w:tr>
      <w:tr w:rsidR="00615D49" w:rsidRPr="00A2068F" w14:paraId="32AC67FA" w14:textId="77777777" w:rsidTr="00A02397">
        <w:trPr>
          <w:tblHeader/>
        </w:trPr>
        <w:tc>
          <w:tcPr>
            <w:tcW w:w="4261" w:type="dxa"/>
          </w:tcPr>
          <w:p w14:paraId="3FED04D1" w14:textId="77777777" w:rsidR="00615D49" w:rsidRPr="00A2068F" w:rsidRDefault="00615D49" w:rsidP="00A02397">
            <w:pPr>
              <w:pStyle w:val="Heading2"/>
            </w:pPr>
            <w:r w:rsidRPr="00A2068F">
              <w:t>Equality Impact Assessment</w:t>
            </w:r>
          </w:p>
        </w:tc>
        <w:tc>
          <w:tcPr>
            <w:tcW w:w="4261" w:type="dxa"/>
          </w:tcPr>
          <w:p w14:paraId="02DEA6AA" w14:textId="77777777" w:rsidR="00615D49" w:rsidRPr="004F188F" w:rsidRDefault="00615D49" w:rsidP="00A02397">
            <w:pPr>
              <w:rPr>
                <w:rFonts w:ascii="Aptos" w:hAnsi="Aptos"/>
              </w:rPr>
            </w:pPr>
            <w:r>
              <w:rPr>
                <w:rFonts w:ascii="Aptos" w:hAnsi="Aptos"/>
              </w:rPr>
              <w:t>N/A</w:t>
            </w:r>
          </w:p>
        </w:tc>
      </w:tr>
      <w:tr w:rsidR="00615D49" w:rsidRPr="00A2068F" w14:paraId="2132D549" w14:textId="77777777" w:rsidTr="00A02397">
        <w:trPr>
          <w:tblHeader/>
        </w:trPr>
        <w:tc>
          <w:tcPr>
            <w:tcW w:w="4261" w:type="dxa"/>
          </w:tcPr>
          <w:p w14:paraId="1B1DBFB6" w14:textId="77777777" w:rsidR="00615D49" w:rsidRPr="00A2068F" w:rsidRDefault="00615D49" w:rsidP="00A02397">
            <w:pPr>
              <w:pStyle w:val="Heading2"/>
            </w:pPr>
            <w:r>
              <w:t>Section</w:t>
            </w:r>
          </w:p>
          <w:p w14:paraId="5F506416" w14:textId="77777777" w:rsidR="00615D49" w:rsidRPr="00A2068F" w:rsidRDefault="00615D49" w:rsidP="00A02397">
            <w:pPr>
              <w:rPr>
                <w:b/>
              </w:rPr>
            </w:pPr>
          </w:p>
        </w:tc>
        <w:tc>
          <w:tcPr>
            <w:tcW w:w="4261" w:type="dxa"/>
          </w:tcPr>
          <w:p w14:paraId="2A1C77F6" w14:textId="77777777" w:rsidR="00615D49" w:rsidRPr="004F188F" w:rsidRDefault="00615D49" w:rsidP="00A02397">
            <w:pPr>
              <w:rPr>
                <w:rFonts w:ascii="Aptos" w:hAnsi="Aptos"/>
              </w:rPr>
            </w:pPr>
          </w:p>
        </w:tc>
      </w:tr>
      <w:tr w:rsidR="00615D49" w:rsidRPr="00A2068F" w14:paraId="14FAA2B0" w14:textId="77777777" w:rsidTr="00A02397">
        <w:trPr>
          <w:trHeight w:val="445"/>
          <w:tblHeader/>
        </w:trPr>
        <w:tc>
          <w:tcPr>
            <w:tcW w:w="4261" w:type="dxa"/>
          </w:tcPr>
          <w:p w14:paraId="362D1ED9" w14:textId="77777777" w:rsidR="00615D49" w:rsidRPr="00A2068F" w:rsidRDefault="00615D49" w:rsidP="00A02397">
            <w:pPr>
              <w:pStyle w:val="Heading2"/>
            </w:pPr>
            <w:r>
              <w:lastRenderedPageBreak/>
              <w:t>Theme</w:t>
            </w:r>
          </w:p>
          <w:p w14:paraId="7C052FB0" w14:textId="77777777" w:rsidR="00615D49" w:rsidRPr="00A2068F" w:rsidRDefault="00615D49" w:rsidP="00A02397">
            <w:pPr>
              <w:rPr>
                <w:b/>
              </w:rPr>
            </w:pPr>
          </w:p>
        </w:tc>
        <w:tc>
          <w:tcPr>
            <w:tcW w:w="4261" w:type="dxa"/>
          </w:tcPr>
          <w:p w14:paraId="6E03705D" w14:textId="77777777" w:rsidR="00615D49" w:rsidRPr="004F188F" w:rsidRDefault="00615D49" w:rsidP="00A02397">
            <w:pPr>
              <w:rPr>
                <w:rFonts w:ascii="Aptos" w:hAnsi="Aptos"/>
              </w:rPr>
            </w:pPr>
          </w:p>
        </w:tc>
      </w:tr>
      <w:tr w:rsidR="00615D49" w14:paraId="2A98B4E2" w14:textId="77777777" w:rsidTr="00A02397">
        <w:trPr>
          <w:trHeight w:val="445"/>
          <w:tblHeader/>
        </w:trPr>
        <w:tc>
          <w:tcPr>
            <w:tcW w:w="4261" w:type="dxa"/>
          </w:tcPr>
          <w:p w14:paraId="6E3FFA00" w14:textId="77777777" w:rsidR="00615D49" w:rsidRDefault="00615D49" w:rsidP="00A02397">
            <w:pPr>
              <w:pStyle w:val="Heading2"/>
            </w:pPr>
            <w:r>
              <w:t>Keywords</w:t>
            </w:r>
          </w:p>
        </w:tc>
        <w:tc>
          <w:tcPr>
            <w:tcW w:w="4261" w:type="dxa"/>
          </w:tcPr>
          <w:p w14:paraId="2766B774" w14:textId="77777777" w:rsidR="00615D49" w:rsidRPr="004F188F" w:rsidRDefault="00615D49" w:rsidP="00A02397">
            <w:pPr>
              <w:rPr>
                <w:rFonts w:ascii="Aptos" w:hAnsi="Aptos"/>
              </w:rPr>
            </w:pPr>
            <w:r>
              <w:rPr>
                <w:rFonts w:ascii="Aptos" w:hAnsi="Aptos"/>
              </w:rPr>
              <w:t xml:space="preserve">Removable, media, USB, Information, Risk, Breach, Governance, Controls, Digital </w:t>
            </w:r>
          </w:p>
        </w:tc>
      </w:tr>
    </w:tbl>
    <w:p w14:paraId="3F60107A" w14:textId="77777777" w:rsidR="00615D49" w:rsidRDefault="00615D49" w:rsidP="00615D49"/>
    <w:p w14:paraId="199EDDA8" w14:textId="77777777" w:rsidR="00B634D8" w:rsidRPr="004A3970" w:rsidRDefault="00B634D8" w:rsidP="00B634D8"/>
    <w:p w14:paraId="6138AD12" w14:textId="77777777" w:rsidR="00EB7695" w:rsidRDefault="00EB7695"/>
    <w:sectPr w:rsidR="00EB7695">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DEB46" w14:textId="77777777" w:rsidR="008F11C3" w:rsidRDefault="008F11C3" w:rsidP="00862AED">
      <w:pPr>
        <w:spacing w:after="0" w:line="240" w:lineRule="auto"/>
      </w:pPr>
      <w:r>
        <w:separator/>
      </w:r>
    </w:p>
  </w:endnote>
  <w:endnote w:type="continuationSeparator" w:id="0">
    <w:p w14:paraId="7F468B22" w14:textId="77777777" w:rsidR="008F11C3" w:rsidRDefault="008F11C3" w:rsidP="00862AED">
      <w:pPr>
        <w:spacing w:after="0" w:line="240" w:lineRule="auto"/>
      </w:pPr>
      <w:r>
        <w:continuationSeparator/>
      </w:r>
    </w:p>
  </w:endnote>
  <w:endnote w:type="continuationNotice" w:id="1">
    <w:p w14:paraId="56360C21" w14:textId="77777777" w:rsidR="008F11C3" w:rsidRDefault="008F11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5225007"/>
      <w:docPartObj>
        <w:docPartGallery w:val="Page Numbers (Bottom of Page)"/>
        <w:docPartUnique/>
      </w:docPartObj>
    </w:sdtPr>
    <w:sdtEndPr>
      <w:rPr>
        <w:noProof/>
      </w:rPr>
    </w:sdtEndPr>
    <w:sdtContent>
      <w:p w14:paraId="4CB4A3AE" w14:textId="7B969126" w:rsidR="00F90292" w:rsidRDefault="00F902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E73796" w14:textId="77777777" w:rsidR="009D66D2" w:rsidRDefault="009D6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F440" w14:textId="77777777" w:rsidR="008F11C3" w:rsidRDefault="008F11C3" w:rsidP="00862AED">
      <w:pPr>
        <w:spacing w:after="0" w:line="240" w:lineRule="auto"/>
      </w:pPr>
      <w:r>
        <w:separator/>
      </w:r>
    </w:p>
  </w:footnote>
  <w:footnote w:type="continuationSeparator" w:id="0">
    <w:p w14:paraId="5B56F594" w14:textId="77777777" w:rsidR="008F11C3" w:rsidRDefault="008F11C3" w:rsidP="00862AED">
      <w:pPr>
        <w:spacing w:after="0" w:line="240" w:lineRule="auto"/>
      </w:pPr>
      <w:r>
        <w:continuationSeparator/>
      </w:r>
    </w:p>
  </w:footnote>
  <w:footnote w:type="continuationNotice" w:id="1">
    <w:p w14:paraId="634D8318" w14:textId="77777777" w:rsidR="008F11C3" w:rsidRDefault="008F11C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82993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31923"/>
    <w:multiLevelType w:val="multilevel"/>
    <w:tmpl w:val="1FEE5B6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54536D6"/>
    <w:multiLevelType w:val="multilevel"/>
    <w:tmpl w:val="08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BB2D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5555A2A"/>
    <w:multiLevelType w:val="hybridMultilevel"/>
    <w:tmpl w:val="A3964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CC3D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A847BA"/>
    <w:multiLevelType w:val="hybridMultilevel"/>
    <w:tmpl w:val="C7327E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67184F"/>
    <w:multiLevelType w:val="hybridMultilevel"/>
    <w:tmpl w:val="83B88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B2765D"/>
    <w:multiLevelType w:val="multilevel"/>
    <w:tmpl w:val="30602418"/>
    <w:lvl w:ilvl="0">
      <w:start w:val="1"/>
      <w:numFmt w:val="bullet"/>
      <w:lvlText w:val=""/>
      <w:lvlJc w:val="left"/>
      <w:pPr>
        <w:ind w:left="720" w:hanging="360"/>
      </w:pPr>
      <w:rPr>
        <w:rFonts w:ascii="Symbol" w:hAnsi="Symbol" w:hint="default"/>
        <w:b/>
      </w:rPr>
    </w:lvl>
    <w:lvl w:ilvl="1">
      <w:start w:val="1"/>
      <w:numFmt w:val="decimal"/>
      <w:lvlText w:val="%1.%2."/>
      <w:lvlJc w:val="left"/>
      <w:pPr>
        <w:ind w:left="1152" w:hanging="432"/>
      </w:pPr>
    </w:lvl>
    <w:lvl w:ilvl="2">
      <w:start w:val="1"/>
      <w:numFmt w:val="bullet"/>
      <w:lvlText w:val=""/>
      <w:lvlJc w:val="left"/>
      <w:pPr>
        <w:ind w:left="1440" w:hanging="360"/>
      </w:pPr>
      <w:rPr>
        <w:rFonts w:ascii="Symbol" w:hAnsi="Symbol"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A6F4CC3"/>
    <w:multiLevelType w:val="hybridMultilevel"/>
    <w:tmpl w:val="4F1AF65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0" w15:restartNumberingAfterBreak="0">
    <w:nsid w:val="53F47EBF"/>
    <w:multiLevelType w:val="hybridMultilevel"/>
    <w:tmpl w:val="817CE3CC"/>
    <w:lvl w:ilvl="0" w:tplc="3D08D282">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8C6090"/>
    <w:multiLevelType w:val="hybridMultilevel"/>
    <w:tmpl w:val="828A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AC4BA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A15E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717C73"/>
    <w:multiLevelType w:val="multilevel"/>
    <w:tmpl w:val="B468A56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AE4A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13197592">
    <w:abstractNumId w:val="15"/>
  </w:num>
  <w:num w:numId="2" w16cid:durableId="53965169">
    <w:abstractNumId w:val="3"/>
  </w:num>
  <w:num w:numId="3" w16cid:durableId="1242181867">
    <w:abstractNumId w:val="0"/>
  </w:num>
  <w:num w:numId="4" w16cid:durableId="844829981">
    <w:abstractNumId w:val="6"/>
  </w:num>
  <w:num w:numId="5" w16cid:durableId="375737836">
    <w:abstractNumId w:val="2"/>
  </w:num>
  <w:num w:numId="6" w16cid:durableId="118887676">
    <w:abstractNumId w:val="5"/>
  </w:num>
  <w:num w:numId="7" w16cid:durableId="1567958388">
    <w:abstractNumId w:val="10"/>
  </w:num>
  <w:num w:numId="8" w16cid:durableId="1519469767">
    <w:abstractNumId w:val="9"/>
  </w:num>
  <w:num w:numId="9" w16cid:durableId="631449711">
    <w:abstractNumId w:val="14"/>
  </w:num>
  <w:num w:numId="10" w16cid:durableId="404912720">
    <w:abstractNumId w:val="4"/>
  </w:num>
  <w:num w:numId="11" w16cid:durableId="568229251">
    <w:abstractNumId w:val="12"/>
  </w:num>
  <w:num w:numId="12" w16cid:durableId="74136218">
    <w:abstractNumId w:val="13"/>
  </w:num>
  <w:num w:numId="13" w16cid:durableId="2050296906">
    <w:abstractNumId w:val="7"/>
  </w:num>
  <w:num w:numId="14" w16cid:durableId="1414162924">
    <w:abstractNumId w:val="11"/>
  </w:num>
  <w:num w:numId="15" w16cid:durableId="1110507716">
    <w:abstractNumId w:val="1"/>
  </w:num>
  <w:num w:numId="16" w16cid:durableId="574708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70"/>
    <w:rsid w:val="00007263"/>
    <w:rsid w:val="000273DE"/>
    <w:rsid w:val="00030710"/>
    <w:rsid w:val="00033671"/>
    <w:rsid w:val="000375F1"/>
    <w:rsid w:val="000541CA"/>
    <w:rsid w:val="00055377"/>
    <w:rsid w:val="00063EF4"/>
    <w:rsid w:val="00070575"/>
    <w:rsid w:val="000739A3"/>
    <w:rsid w:val="00091716"/>
    <w:rsid w:val="000948E1"/>
    <w:rsid w:val="0009608C"/>
    <w:rsid w:val="000A201F"/>
    <w:rsid w:val="000A689F"/>
    <w:rsid w:val="000A6F85"/>
    <w:rsid w:val="000D7BD8"/>
    <w:rsid w:val="000E2A35"/>
    <w:rsid w:val="000E51F9"/>
    <w:rsid w:val="000F03F3"/>
    <w:rsid w:val="00103249"/>
    <w:rsid w:val="00122185"/>
    <w:rsid w:val="00124800"/>
    <w:rsid w:val="001301C3"/>
    <w:rsid w:val="0014315E"/>
    <w:rsid w:val="00144523"/>
    <w:rsid w:val="001446A9"/>
    <w:rsid w:val="0014558C"/>
    <w:rsid w:val="00146609"/>
    <w:rsid w:val="00146C5B"/>
    <w:rsid w:val="00160B6A"/>
    <w:rsid w:val="00167ADF"/>
    <w:rsid w:val="00173870"/>
    <w:rsid w:val="00175011"/>
    <w:rsid w:val="00183B55"/>
    <w:rsid w:val="001B2D10"/>
    <w:rsid w:val="001B51E7"/>
    <w:rsid w:val="001C080F"/>
    <w:rsid w:val="001C15C0"/>
    <w:rsid w:val="001C164D"/>
    <w:rsid w:val="001C2AB7"/>
    <w:rsid w:val="001C4A02"/>
    <w:rsid w:val="001C7DE3"/>
    <w:rsid w:val="001D277C"/>
    <w:rsid w:val="00213BBB"/>
    <w:rsid w:val="00215C3B"/>
    <w:rsid w:val="00235A48"/>
    <w:rsid w:val="00242020"/>
    <w:rsid w:val="00244DBF"/>
    <w:rsid w:val="00246B29"/>
    <w:rsid w:val="002515E0"/>
    <w:rsid w:val="00252226"/>
    <w:rsid w:val="00253408"/>
    <w:rsid w:val="0025616E"/>
    <w:rsid w:val="00265B29"/>
    <w:rsid w:val="00265D11"/>
    <w:rsid w:val="00295164"/>
    <w:rsid w:val="002A26A9"/>
    <w:rsid w:val="002A6D44"/>
    <w:rsid w:val="002B11C6"/>
    <w:rsid w:val="002C17FF"/>
    <w:rsid w:val="002D2397"/>
    <w:rsid w:val="002D244C"/>
    <w:rsid w:val="002D26C3"/>
    <w:rsid w:val="002D347E"/>
    <w:rsid w:val="002D4DD1"/>
    <w:rsid w:val="002F092F"/>
    <w:rsid w:val="002F4A17"/>
    <w:rsid w:val="00312822"/>
    <w:rsid w:val="003150A4"/>
    <w:rsid w:val="0032148F"/>
    <w:rsid w:val="00340BAB"/>
    <w:rsid w:val="0034404E"/>
    <w:rsid w:val="00350D28"/>
    <w:rsid w:val="00351317"/>
    <w:rsid w:val="003519F3"/>
    <w:rsid w:val="00355CFB"/>
    <w:rsid w:val="00356667"/>
    <w:rsid w:val="00360301"/>
    <w:rsid w:val="00363E17"/>
    <w:rsid w:val="003662E8"/>
    <w:rsid w:val="00376611"/>
    <w:rsid w:val="00377AE1"/>
    <w:rsid w:val="003912B3"/>
    <w:rsid w:val="00391B30"/>
    <w:rsid w:val="003949B2"/>
    <w:rsid w:val="003951E5"/>
    <w:rsid w:val="003954A2"/>
    <w:rsid w:val="003C11BD"/>
    <w:rsid w:val="003C39D3"/>
    <w:rsid w:val="003C669B"/>
    <w:rsid w:val="003D2836"/>
    <w:rsid w:val="003E19A1"/>
    <w:rsid w:val="003E4189"/>
    <w:rsid w:val="003E44D8"/>
    <w:rsid w:val="003F187D"/>
    <w:rsid w:val="003F3749"/>
    <w:rsid w:val="0040678F"/>
    <w:rsid w:val="004126B3"/>
    <w:rsid w:val="00430BA2"/>
    <w:rsid w:val="00434179"/>
    <w:rsid w:val="0047363C"/>
    <w:rsid w:val="00480518"/>
    <w:rsid w:val="00480D28"/>
    <w:rsid w:val="004819C3"/>
    <w:rsid w:val="00483AF8"/>
    <w:rsid w:val="00483FCB"/>
    <w:rsid w:val="004909FD"/>
    <w:rsid w:val="004A3970"/>
    <w:rsid w:val="004A7B1C"/>
    <w:rsid w:val="004B0843"/>
    <w:rsid w:val="004C1BCA"/>
    <w:rsid w:val="004C3831"/>
    <w:rsid w:val="004C6514"/>
    <w:rsid w:val="004E1C0A"/>
    <w:rsid w:val="00500E55"/>
    <w:rsid w:val="00501244"/>
    <w:rsid w:val="0050590A"/>
    <w:rsid w:val="005176CD"/>
    <w:rsid w:val="00523F5B"/>
    <w:rsid w:val="00527643"/>
    <w:rsid w:val="00534EF4"/>
    <w:rsid w:val="00551527"/>
    <w:rsid w:val="00563D61"/>
    <w:rsid w:val="005658F2"/>
    <w:rsid w:val="00570D5B"/>
    <w:rsid w:val="00571D66"/>
    <w:rsid w:val="005736D9"/>
    <w:rsid w:val="005B2F47"/>
    <w:rsid w:val="005C0404"/>
    <w:rsid w:val="005C16D2"/>
    <w:rsid w:val="005D19AC"/>
    <w:rsid w:val="005E00EC"/>
    <w:rsid w:val="005E1108"/>
    <w:rsid w:val="005E7DF7"/>
    <w:rsid w:val="005F12FA"/>
    <w:rsid w:val="005F3C81"/>
    <w:rsid w:val="005F617F"/>
    <w:rsid w:val="005F7C21"/>
    <w:rsid w:val="00611303"/>
    <w:rsid w:val="006122E9"/>
    <w:rsid w:val="00614634"/>
    <w:rsid w:val="00614BCF"/>
    <w:rsid w:val="00615D49"/>
    <w:rsid w:val="006179C0"/>
    <w:rsid w:val="006238E2"/>
    <w:rsid w:val="006302F4"/>
    <w:rsid w:val="00630BDE"/>
    <w:rsid w:val="00631516"/>
    <w:rsid w:val="00644899"/>
    <w:rsid w:val="00651E76"/>
    <w:rsid w:val="00653D7E"/>
    <w:rsid w:val="00673767"/>
    <w:rsid w:val="006819B3"/>
    <w:rsid w:val="0068318F"/>
    <w:rsid w:val="00684400"/>
    <w:rsid w:val="006917E4"/>
    <w:rsid w:val="006947F7"/>
    <w:rsid w:val="006A002F"/>
    <w:rsid w:val="006A3BC9"/>
    <w:rsid w:val="006B3A21"/>
    <w:rsid w:val="006C2B19"/>
    <w:rsid w:val="006D4F74"/>
    <w:rsid w:val="006F0BC0"/>
    <w:rsid w:val="006F2427"/>
    <w:rsid w:val="006F27BC"/>
    <w:rsid w:val="00722C5F"/>
    <w:rsid w:val="0072318C"/>
    <w:rsid w:val="0072523E"/>
    <w:rsid w:val="00725BA8"/>
    <w:rsid w:val="00734F97"/>
    <w:rsid w:val="00755166"/>
    <w:rsid w:val="00755E1B"/>
    <w:rsid w:val="007658B7"/>
    <w:rsid w:val="0079083E"/>
    <w:rsid w:val="00791563"/>
    <w:rsid w:val="007A7E2B"/>
    <w:rsid w:val="007B20BA"/>
    <w:rsid w:val="007D67CF"/>
    <w:rsid w:val="007E27F8"/>
    <w:rsid w:val="007F4DC3"/>
    <w:rsid w:val="007F7B28"/>
    <w:rsid w:val="00800DAC"/>
    <w:rsid w:val="008115F8"/>
    <w:rsid w:val="008266D1"/>
    <w:rsid w:val="00846302"/>
    <w:rsid w:val="008503BC"/>
    <w:rsid w:val="00862AED"/>
    <w:rsid w:val="00870B3A"/>
    <w:rsid w:val="00873ABA"/>
    <w:rsid w:val="00873E85"/>
    <w:rsid w:val="0088001F"/>
    <w:rsid w:val="00881F01"/>
    <w:rsid w:val="00886CFD"/>
    <w:rsid w:val="00897BE1"/>
    <w:rsid w:val="008A5FDC"/>
    <w:rsid w:val="008A6B98"/>
    <w:rsid w:val="008B5BD9"/>
    <w:rsid w:val="008B5E31"/>
    <w:rsid w:val="008B719D"/>
    <w:rsid w:val="008D496F"/>
    <w:rsid w:val="008E10B8"/>
    <w:rsid w:val="008E6336"/>
    <w:rsid w:val="008F11C3"/>
    <w:rsid w:val="008F494D"/>
    <w:rsid w:val="00901EE2"/>
    <w:rsid w:val="00902812"/>
    <w:rsid w:val="00911BB6"/>
    <w:rsid w:val="00917138"/>
    <w:rsid w:val="00921545"/>
    <w:rsid w:val="00950FAE"/>
    <w:rsid w:val="00963401"/>
    <w:rsid w:val="009719AE"/>
    <w:rsid w:val="0097333B"/>
    <w:rsid w:val="00980F6B"/>
    <w:rsid w:val="00987725"/>
    <w:rsid w:val="0099315C"/>
    <w:rsid w:val="009939D2"/>
    <w:rsid w:val="0099439F"/>
    <w:rsid w:val="009B1E1D"/>
    <w:rsid w:val="009C4EF0"/>
    <w:rsid w:val="009D1602"/>
    <w:rsid w:val="009D66D2"/>
    <w:rsid w:val="009E227A"/>
    <w:rsid w:val="009E6BF2"/>
    <w:rsid w:val="00A127CC"/>
    <w:rsid w:val="00A216BC"/>
    <w:rsid w:val="00A329A5"/>
    <w:rsid w:val="00A528E3"/>
    <w:rsid w:val="00A53A43"/>
    <w:rsid w:val="00A57A32"/>
    <w:rsid w:val="00A7246C"/>
    <w:rsid w:val="00A77A78"/>
    <w:rsid w:val="00A77C9D"/>
    <w:rsid w:val="00A81043"/>
    <w:rsid w:val="00A86993"/>
    <w:rsid w:val="00A86A5C"/>
    <w:rsid w:val="00A92423"/>
    <w:rsid w:val="00AA160B"/>
    <w:rsid w:val="00AC142E"/>
    <w:rsid w:val="00AD1B78"/>
    <w:rsid w:val="00AE4856"/>
    <w:rsid w:val="00AE6838"/>
    <w:rsid w:val="00AE7837"/>
    <w:rsid w:val="00AF69F0"/>
    <w:rsid w:val="00B0141C"/>
    <w:rsid w:val="00B06A17"/>
    <w:rsid w:val="00B201F7"/>
    <w:rsid w:val="00B20502"/>
    <w:rsid w:val="00B27641"/>
    <w:rsid w:val="00B30CC9"/>
    <w:rsid w:val="00B47EF7"/>
    <w:rsid w:val="00B609E0"/>
    <w:rsid w:val="00B60A5A"/>
    <w:rsid w:val="00B634D8"/>
    <w:rsid w:val="00B6794C"/>
    <w:rsid w:val="00B71B2C"/>
    <w:rsid w:val="00B956BB"/>
    <w:rsid w:val="00BA45C4"/>
    <w:rsid w:val="00BA4BFB"/>
    <w:rsid w:val="00BB41AD"/>
    <w:rsid w:val="00BC1EAB"/>
    <w:rsid w:val="00BD59D4"/>
    <w:rsid w:val="00BE3142"/>
    <w:rsid w:val="00BF631A"/>
    <w:rsid w:val="00C0542D"/>
    <w:rsid w:val="00C11755"/>
    <w:rsid w:val="00C13B4B"/>
    <w:rsid w:val="00C1521C"/>
    <w:rsid w:val="00C25B5D"/>
    <w:rsid w:val="00C33CF5"/>
    <w:rsid w:val="00C369AE"/>
    <w:rsid w:val="00C418BF"/>
    <w:rsid w:val="00C51A16"/>
    <w:rsid w:val="00C8291D"/>
    <w:rsid w:val="00C86954"/>
    <w:rsid w:val="00C90807"/>
    <w:rsid w:val="00C93021"/>
    <w:rsid w:val="00C965D5"/>
    <w:rsid w:val="00CB074A"/>
    <w:rsid w:val="00CB1C21"/>
    <w:rsid w:val="00CB3798"/>
    <w:rsid w:val="00CB6190"/>
    <w:rsid w:val="00CD3C94"/>
    <w:rsid w:val="00CE4780"/>
    <w:rsid w:val="00CE5417"/>
    <w:rsid w:val="00CE7F06"/>
    <w:rsid w:val="00D0695C"/>
    <w:rsid w:val="00D144A3"/>
    <w:rsid w:val="00D440C1"/>
    <w:rsid w:val="00D5120D"/>
    <w:rsid w:val="00D61FDB"/>
    <w:rsid w:val="00D63CF4"/>
    <w:rsid w:val="00D67343"/>
    <w:rsid w:val="00D7231E"/>
    <w:rsid w:val="00D91E6F"/>
    <w:rsid w:val="00D95A16"/>
    <w:rsid w:val="00DA07B7"/>
    <w:rsid w:val="00DA1840"/>
    <w:rsid w:val="00DA18B0"/>
    <w:rsid w:val="00DA2CC8"/>
    <w:rsid w:val="00DB0C48"/>
    <w:rsid w:val="00DC0F88"/>
    <w:rsid w:val="00DC33C5"/>
    <w:rsid w:val="00DC54A9"/>
    <w:rsid w:val="00DD1388"/>
    <w:rsid w:val="00DE6C76"/>
    <w:rsid w:val="00E02204"/>
    <w:rsid w:val="00E075C1"/>
    <w:rsid w:val="00E112E7"/>
    <w:rsid w:val="00E16878"/>
    <w:rsid w:val="00E27C85"/>
    <w:rsid w:val="00E35188"/>
    <w:rsid w:val="00E50DC2"/>
    <w:rsid w:val="00E51B01"/>
    <w:rsid w:val="00E578BA"/>
    <w:rsid w:val="00E73AE4"/>
    <w:rsid w:val="00E914A3"/>
    <w:rsid w:val="00EA0BF0"/>
    <w:rsid w:val="00EA1B1F"/>
    <w:rsid w:val="00EA59C9"/>
    <w:rsid w:val="00EA7ECE"/>
    <w:rsid w:val="00EB04BF"/>
    <w:rsid w:val="00EB7695"/>
    <w:rsid w:val="00EC23CA"/>
    <w:rsid w:val="00EC3718"/>
    <w:rsid w:val="00ED6582"/>
    <w:rsid w:val="00EE2C63"/>
    <w:rsid w:val="00EF0C33"/>
    <w:rsid w:val="00F10589"/>
    <w:rsid w:val="00F10845"/>
    <w:rsid w:val="00F1395B"/>
    <w:rsid w:val="00F474F5"/>
    <w:rsid w:val="00F51416"/>
    <w:rsid w:val="00F54420"/>
    <w:rsid w:val="00F651CA"/>
    <w:rsid w:val="00F80A56"/>
    <w:rsid w:val="00F90292"/>
    <w:rsid w:val="00F97C82"/>
    <w:rsid w:val="00FA74C2"/>
    <w:rsid w:val="00FB293C"/>
    <w:rsid w:val="00FB4703"/>
    <w:rsid w:val="00FC1245"/>
    <w:rsid w:val="00FC2509"/>
    <w:rsid w:val="00FC75FB"/>
    <w:rsid w:val="00FF15F1"/>
    <w:rsid w:val="00FF26E6"/>
    <w:rsid w:val="00FF3780"/>
    <w:rsid w:val="00FF5491"/>
    <w:rsid w:val="0337780F"/>
    <w:rsid w:val="0437E430"/>
    <w:rsid w:val="0446C1C0"/>
    <w:rsid w:val="06B02C6C"/>
    <w:rsid w:val="07574BE6"/>
    <w:rsid w:val="07C12AB6"/>
    <w:rsid w:val="07D5AB3E"/>
    <w:rsid w:val="0B6A8CFA"/>
    <w:rsid w:val="0F4F4BC7"/>
    <w:rsid w:val="1293AD8D"/>
    <w:rsid w:val="13782599"/>
    <w:rsid w:val="1ACE8447"/>
    <w:rsid w:val="1E0FAF4D"/>
    <w:rsid w:val="1E41B7A9"/>
    <w:rsid w:val="1FF45E15"/>
    <w:rsid w:val="23C8649D"/>
    <w:rsid w:val="26DEB98D"/>
    <w:rsid w:val="28FA4D15"/>
    <w:rsid w:val="296F4E84"/>
    <w:rsid w:val="2AEA593D"/>
    <w:rsid w:val="2B6C172A"/>
    <w:rsid w:val="2C62B285"/>
    <w:rsid w:val="2DA264E4"/>
    <w:rsid w:val="2F4176FE"/>
    <w:rsid w:val="30499C42"/>
    <w:rsid w:val="309221DD"/>
    <w:rsid w:val="331A28D6"/>
    <w:rsid w:val="3413EF5E"/>
    <w:rsid w:val="35B78863"/>
    <w:rsid w:val="35FBAED2"/>
    <w:rsid w:val="37D47A5B"/>
    <w:rsid w:val="3811F0F7"/>
    <w:rsid w:val="3BA8FB7C"/>
    <w:rsid w:val="3C0D8E54"/>
    <w:rsid w:val="3E17454A"/>
    <w:rsid w:val="3E7397E9"/>
    <w:rsid w:val="3F00AFD3"/>
    <w:rsid w:val="3FB06535"/>
    <w:rsid w:val="47D6470F"/>
    <w:rsid w:val="4B7670F3"/>
    <w:rsid w:val="4BC40144"/>
    <w:rsid w:val="4F61656C"/>
    <w:rsid w:val="55CDE1F3"/>
    <w:rsid w:val="5759EE20"/>
    <w:rsid w:val="57DC448C"/>
    <w:rsid w:val="57FCE62E"/>
    <w:rsid w:val="5892F2F8"/>
    <w:rsid w:val="5B16F971"/>
    <w:rsid w:val="619530B2"/>
    <w:rsid w:val="621C87DA"/>
    <w:rsid w:val="624652F5"/>
    <w:rsid w:val="65F92F3C"/>
    <w:rsid w:val="6F280F67"/>
    <w:rsid w:val="7495AC5B"/>
    <w:rsid w:val="74B5D039"/>
    <w:rsid w:val="78382E14"/>
    <w:rsid w:val="7C541B86"/>
    <w:rsid w:val="7CCCEBDA"/>
    <w:rsid w:val="7F4624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849FB"/>
  <w15:chartTrackingRefBased/>
  <w15:docId w15:val="{CD650D59-2791-48AD-BE33-7AB5C0EF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9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9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9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9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9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9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9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9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9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9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9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9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9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9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970"/>
    <w:rPr>
      <w:rFonts w:eastAsiaTheme="majorEastAsia" w:cstheme="majorBidi"/>
      <w:color w:val="272727" w:themeColor="text1" w:themeTint="D8"/>
    </w:rPr>
  </w:style>
  <w:style w:type="paragraph" w:styleId="Title">
    <w:name w:val="Title"/>
    <w:basedOn w:val="Normal"/>
    <w:next w:val="Normal"/>
    <w:link w:val="TitleChar"/>
    <w:uiPriority w:val="10"/>
    <w:qFormat/>
    <w:rsid w:val="004A3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9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9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9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970"/>
    <w:pPr>
      <w:spacing w:before="160"/>
      <w:jc w:val="center"/>
    </w:pPr>
    <w:rPr>
      <w:i/>
      <w:iCs/>
      <w:color w:val="404040" w:themeColor="text1" w:themeTint="BF"/>
    </w:rPr>
  </w:style>
  <w:style w:type="character" w:customStyle="1" w:styleId="QuoteChar">
    <w:name w:val="Quote Char"/>
    <w:basedOn w:val="DefaultParagraphFont"/>
    <w:link w:val="Quote"/>
    <w:uiPriority w:val="29"/>
    <w:rsid w:val="004A3970"/>
    <w:rPr>
      <w:i/>
      <w:iCs/>
      <w:color w:val="404040" w:themeColor="text1" w:themeTint="BF"/>
    </w:rPr>
  </w:style>
  <w:style w:type="paragraph" w:styleId="ListParagraph">
    <w:name w:val="List Paragraph"/>
    <w:basedOn w:val="Normal"/>
    <w:uiPriority w:val="34"/>
    <w:qFormat/>
    <w:rsid w:val="004A3970"/>
    <w:pPr>
      <w:ind w:left="720"/>
      <w:contextualSpacing/>
    </w:pPr>
  </w:style>
  <w:style w:type="character" w:styleId="IntenseEmphasis">
    <w:name w:val="Intense Emphasis"/>
    <w:basedOn w:val="DefaultParagraphFont"/>
    <w:uiPriority w:val="21"/>
    <w:qFormat/>
    <w:rsid w:val="004A3970"/>
    <w:rPr>
      <w:i/>
      <w:iCs/>
      <w:color w:val="2F5496" w:themeColor="accent1" w:themeShade="BF"/>
    </w:rPr>
  </w:style>
  <w:style w:type="paragraph" w:styleId="IntenseQuote">
    <w:name w:val="Intense Quote"/>
    <w:basedOn w:val="Normal"/>
    <w:next w:val="Normal"/>
    <w:link w:val="IntenseQuoteChar"/>
    <w:uiPriority w:val="30"/>
    <w:qFormat/>
    <w:rsid w:val="004A3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970"/>
    <w:rPr>
      <w:i/>
      <w:iCs/>
      <w:color w:val="2F5496" w:themeColor="accent1" w:themeShade="BF"/>
    </w:rPr>
  </w:style>
  <w:style w:type="character" w:styleId="IntenseReference">
    <w:name w:val="Intense Reference"/>
    <w:basedOn w:val="DefaultParagraphFont"/>
    <w:uiPriority w:val="32"/>
    <w:qFormat/>
    <w:rsid w:val="004A3970"/>
    <w:rPr>
      <w:b/>
      <w:bCs/>
      <w:smallCaps/>
      <w:color w:val="2F5496" w:themeColor="accent1" w:themeShade="BF"/>
      <w:spacing w:val="5"/>
    </w:rPr>
  </w:style>
  <w:style w:type="table" w:styleId="TableGrid">
    <w:name w:val="Table Grid"/>
    <w:basedOn w:val="TableNormal"/>
    <w:uiPriority w:val="39"/>
    <w:rsid w:val="00175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62A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2AED"/>
    <w:rPr>
      <w:sz w:val="20"/>
      <w:szCs w:val="20"/>
    </w:rPr>
  </w:style>
  <w:style w:type="character" w:styleId="FootnoteReference">
    <w:name w:val="footnote reference"/>
    <w:basedOn w:val="DefaultParagraphFont"/>
    <w:uiPriority w:val="99"/>
    <w:semiHidden/>
    <w:unhideWhenUsed/>
    <w:rsid w:val="00862AED"/>
    <w:rPr>
      <w:vertAlign w:val="superscript"/>
    </w:rPr>
  </w:style>
  <w:style w:type="paragraph" w:styleId="Header">
    <w:name w:val="header"/>
    <w:basedOn w:val="Normal"/>
    <w:link w:val="HeaderChar"/>
    <w:uiPriority w:val="99"/>
    <w:unhideWhenUsed/>
    <w:rsid w:val="009D6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66D2"/>
  </w:style>
  <w:style w:type="paragraph" w:styleId="Footer">
    <w:name w:val="footer"/>
    <w:basedOn w:val="Normal"/>
    <w:link w:val="FooterChar"/>
    <w:uiPriority w:val="99"/>
    <w:unhideWhenUsed/>
    <w:rsid w:val="009D6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66D2"/>
  </w:style>
  <w:style w:type="paragraph" w:styleId="Revision">
    <w:name w:val="Revision"/>
    <w:hidden/>
    <w:uiPriority w:val="99"/>
    <w:semiHidden/>
    <w:rsid w:val="00917138"/>
    <w:pPr>
      <w:spacing w:after="0" w:line="240" w:lineRule="auto"/>
    </w:pPr>
  </w:style>
  <w:style w:type="character" w:styleId="CommentReference">
    <w:name w:val="annotation reference"/>
    <w:basedOn w:val="DefaultParagraphFont"/>
    <w:uiPriority w:val="99"/>
    <w:semiHidden/>
    <w:unhideWhenUsed/>
    <w:rsid w:val="005E7DF7"/>
    <w:rPr>
      <w:sz w:val="16"/>
      <w:szCs w:val="16"/>
    </w:rPr>
  </w:style>
  <w:style w:type="paragraph" w:styleId="CommentText">
    <w:name w:val="annotation text"/>
    <w:basedOn w:val="Normal"/>
    <w:link w:val="CommentTextChar"/>
    <w:uiPriority w:val="99"/>
    <w:unhideWhenUsed/>
    <w:rsid w:val="005E7DF7"/>
    <w:pPr>
      <w:spacing w:line="240" w:lineRule="auto"/>
    </w:pPr>
    <w:rPr>
      <w:sz w:val="20"/>
      <w:szCs w:val="20"/>
    </w:rPr>
  </w:style>
  <w:style w:type="character" w:customStyle="1" w:styleId="CommentTextChar">
    <w:name w:val="Comment Text Char"/>
    <w:basedOn w:val="DefaultParagraphFont"/>
    <w:link w:val="CommentText"/>
    <w:uiPriority w:val="99"/>
    <w:rsid w:val="005E7DF7"/>
    <w:rPr>
      <w:sz w:val="20"/>
      <w:szCs w:val="20"/>
    </w:rPr>
  </w:style>
  <w:style w:type="paragraph" w:styleId="CommentSubject">
    <w:name w:val="annotation subject"/>
    <w:basedOn w:val="CommentText"/>
    <w:next w:val="CommentText"/>
    <w:link w:val="CommentSubjectChar"/>
    <w:uiPriority w:val="99"/>
    <w:semiHidden/>
    <w:unhideWhenUsed/>
    <w:rsid w:val="005E7DF7"/>
    <w:rPr>
      <w:b/>
      <w:bCs/>
    </w:rPr>
  </w:style>
  <w:style w:type="character" w:customStyle="1" w:styleId="CommentSubjectChar">
    <w:name w:val="Comment Subject Char"/>
    <w:basedOn w:val="CommentTextChar"/>
    <w:link w:val="CommentSubject"/>
    <w:uiPriority w:val="99"/>
    <w:semiHidden/>
    <w:rsid w:val="005E7DF7"/>
    <w:rPr>
      <w:b/>
      <w:bCs/>
      <w:sz w:val="20"/>
      <w:szCs w:val="20"/>
    </w:rPr>
  </w:style>
  <w:style w:type="character" w:styleId="Hyperlink">
    <w:name w:val="Hyperlink"/>
    <w:basedOn w:val="DefaultParagraphFont"/>
    <w:uiPriority w:val="99"/>
    <w:unhideWhenUsed/>
    <w:rsid w:val="007F4DC3"/>
    <w:rPr>
      <w:color w:val="0563C1" w:themeColor="hyperlink"/>
      <w:u w:val="single"/>
    </w:rPr>
  </w:style>
  <w:style w:type="character" w:styleId="UnresolvedMention">
    <w:name w:val="Unresolved Mention"/>
    <w:basedOn w:val="DefaultParagraphFont"/>
    <w:uiPriority w:val="99"/>
    <w:semiHidden/>
    <w:unhideWhenUsed/>
    <w:rsid w:val="007F4DC3"/>
    <w:rPr>
      <w:color w:val="605E5C"/>
      <w:shd w:val="clear" w:color="auto" w:fill="E1DFDD"/>
    </w:rPr>
  </w:style>
  <w:style w:type="character" w:styleId="FollowedHyperlink">
    <w:name w:val="FollowedHyperlink"/>
    <w:basedOn w:val="DefaultParagraphFont"/>
    <w:uiPriority w:val="99"/>
    <w:semiHidden/>
    <w:unhideWhenUsed/>
    <w:rsid w:val="004819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dn.ac.uk/media/site/staffnet/documents/policy-zone-information-policies/Information_Security_Polic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dn.ac.uk/it/student/help/index.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bdn.ac.uk/media/site/staffnet/documents/policy-zone-governance-and-compliance/Data-Protection-policy.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staffnet/governance/data-protection-6958.php" TargetMode="External"/><Relationship Id="rId5" Type="http://schemas.openxmlformats.org/officeDocument/2006/relationships/numbering" Target="numbering.xml"/><Relationship Id="rId15" Type="http://schemas.openxmlformats.org/officeDocument/2006/relationships/hyperlink" Target="https://www.abdn.ac.uk/media/site/staffnet/documents/policy-zone-information-policies/IT-Conditions-of-Us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dn.ac.uk/media/site/staffnet/documents/policy-zone-information-policies/Information_Security_Supporting_Polic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E83C5424814F4EA9C058F96D409730" ma:contentTypeVersion="8" ma:contentTypeDescription="Create a new document." ma:contentTypeScope="" ma:versionID="77c08a0a05d619bf0742e5a66ce6ad02">
  <xsd:schema xmlns:xsd="http://www.w3.org/2001/XMLSchema" xmlns:xs="http://www.w3.org/2001/XMLSchema" xmlns:p="http://schemas.microsoft.com/office/2006/metadata/properties" xmlns:ns2="ce57e12f-972d-4fb4-b542-2321dd7eae31" targetNamespace="http://schemas.microsoft.com/office/2006/metadata/properties" ma:root="true" ma:fieldsID="1a9c2de6a8eaba21c70a9f84450edf40" ns2:_="">
    <xsd:import namespace="ce57e12f-972d-4fb4-b542-2321dd7eae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57e12f-972d-4fb4-b542-2321dd7ea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8FF47-03FC-4CF0-950D-63B78C0B31CA}">
  <ds:schemaRefs>
    <ds:schemaRef ds:uri="http://schemas.openxmlformats.org/officeDocument/2006/bibliography"/>
  </ds:schemaRefs>
</ds:datastoreItem>
</file>

<file path=customXml/itemProps2.xml><?xml version="1.0" encoding="utf-8"?>
<ds:datastoreItem xmlns:ds="http://schemas.openxmlformats.org/officeDocument/2006/customXml" ds:itemID="{B2BD3554-CE45-4B9C-AD17-5AEDCBFDF067}">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ce57e12f-972d-4fb4-b542-2321dd7eae31"/>
    <ds:schemaRef ds:uri="http://www.w3.org/XML/1998/namespace"/>
  </ds:schemaRefs>
</ds:datastoreItem>
</file>

<file path=customXml/itemProps3.xml><?xml version="1.0" encoding="utf-8"?>
<ds:datastoreItem xmlns:ds="http://schemas.openxmlformats.org/officeDocument/2006/customXml" ds:itemID="{6422BAFB-2471-41A2-B7BA-55B4A33E0B77}">
  <ds:schemaRefs>
    <ds:schemaRef ds:uri="http://schemas.microsoft.com/sharepoint/v3/contenttype/forms"/>
  </ds:schemaRefs>
</ds:datastoreItem>
</file>

<file path=customXml/itemProps4.xml><?xml version="1.0" encoding="utf-8"?>
<ds:datastoreItem xmlns:ds="http://schemas.openxmlformats.org/officeDocument/2006/customXml" ds:itemID="{0F713D4E-0533-4265-BDD0-BA6C11300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57e12f-972d-4fb4-b542-2321dd7ea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1475</Words>
  <Characters>8414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Cruickshank, David</dc:creator>
  <cp:keywords/>
  <dc:description/>
  <cp:lastModifiedBy>Sabiston, Mary</cp:lastModifiedBy>
  <cp:revision>2</cp:revision>
  <dcterms:created xsi:type="dcterms:W3CDTF">2025-03-07T10:52:00Z</dcterms:created>
  <dcterms:modified xsi:type="dcterms:W3CDTF">2025-03-07T10:52:00Z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0x0101004CE83C5424814F4EA9C058F96D409730</vt:lpwstr>
  </property>
</Properties>
</file>