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DFFE" w14:textId="77777777" w:rsidR="00121BD2" w:rsidRDefault="00121BD2"/>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819"/>
      </w:tblGrid>
      <w:tr w:rsidR="00F910B8" w14:paraId="72F16A44" w14:textId="77777777" w:rsidTr="00EB7F5D">
        <w:tc>
          <w:tcPr>
            <w:tcW w:w="4962" w:type="dxa"/>
          </w:tcPr>
          <w:p w14:paraId="0B73ED4E" w14:textId="7D113278" w:rsidR="00F910B8" w:rsidRPr="00017016" w:rsidRDefault="00017016" w:rsidP="00017016">
            <w:pPr>
              <w:pStyle w:val="NoSpacing"/>
              <w:jc w:val="center"/>
              <w:rPr>
                <w:b/>
                <w:bCs/>
                <w:i/>
                <w:iCs/>
                <w:sz w:val="32"/>
                <w:szCs w:val="32"/>
              </w:rPr>
            </w:pPr>
            <w:r>
              <w:rPr>
                <w:b/>
                <w:bCs/>
                <w:i/>
                <w:iCs/>
                <w:sz w:val="32"/>
                <w:szCs w:val="32"/>
              </w:rPr>
              <w:t>SEMESTER 1</w:t>
            </w:r>
          </w:p>
        </w:tc>
        <w:tc>
          <w:tcPr>
            <w:tcW w:w="567" w:type="dxa"/>
          </w:tcPr>
          <w:p w14:paraId="79636F19" w14:textId="77777777" w:rsidR="00F910B8" w:rsidRPr="00017016" w:rsidRDefault="00F910B8" w:rsidP="00017016">
            <w:pPr>
              <w:pStyle w:val="NoSpacing"/>
              <w:jc w:val="center"/>
              <w:rPr>
                <w:b/>
                <w:bCs/>
                <w:i/>
                <w:iCs/>
                <w:sz w:val="32"/>
                <w:szCs w:val="32"/>
              </w:rPr>
            </w:pPr>
          </w:p>
        </w:tc>
        <w:tc>
          <w:tcPr>
            <w:tcW w:w="4819" w:type="dxa"/>
          </w:tcPr>
          <w:p w14:paraId="76AA00E6" w14:textId="7B097CB3" w:rsidR="00F910B8" w:rsidRPr="00017016" w:rsidRDefault="00017016" w:rsidP="00017016">
            <w:pPr>
              <w:pStyle w:val="NoSpacing"/>
              <w:jc w:val="center"/>
              <w:rPr>
                <w:b/>
                <w:bCs/>
                <w:i/>
                <w:iCs/>
                <w:sz w:val="32"/>
                <w:szCs w:val="32"/>
              </w:rPr>
            </w:pPr>
            <w:r>
              <w:rPr>
                <w:b/>
                <w:bCs/>
                <w:i/>
                <w:iCs/>
                <w:sz w:val="32"/>
                <w:szCs w:val="32"/>
              </w:rPr>
              <w:t>SEMESTER 2</w:t>
            </w:r>
          </w:p>
        </w:tc>
      </w:tr>
      <w:tr w:rsidR="00017016" w14:paraId="0A215A7B" w14:textId="77777777" w:rsidTr="00EB7F5D">
        <w:tc>
          <w:tcPr>
            <w:tcW w:w="4962" w:type="dxa"/>
          </w:tcPr>
          <w:p w14:paraId="774A91AA" w14:textId="3CCDCD5D" w:rsidR="00017016" w:rsidRPr="00017016" w:rsidRDefault="00017016" w:rsidP="00017016">
            <w:pPr>
              <w:pStyle w:val="NoSpacing"/>
              <w:rPr>
                <w:b/>
                <w:bCs/>
                <w:i/>
                <w:iCs/>
                <w:sz w:val="22"/>
                <w:szCs w:val="22"/>
              </w:rPr>
            </w:pPr>
            <w:r w:rsidRPr="00017016">
              <w:rPr>
                <w:b/>
                <w:bCs/>
                <w:i/>
                <w:iCs/>
                <w:sz w:val="22"/>
                <w:szCs w:val="22"/>
              </w:rPr>
              <w:t>ED101</w:t>
            </w:r>
            <w:r w:rsidR="00EB7F5D">
              <w:rPr>
                <w:b/>
                <w:bCs/>
                <w:i/>
                <w:iCs/>
                <w:sz w:val="22"/>
                <w:szCs w:val="22"/>
              </w:rPr>
              <w:t>L</w:t>
            </w:r>
            <w:r w:rsidRPr="00017016">
              <w:rPr>
                <w:b/>
                <w:bCs/>
                <w:i/>
                <w:iCs/>
                <w:sz w:val="22"/>
                <w:szCs w:val="22"/>
              </w:rPr>
              <w:t xml:space="preserve">: Introduction to Inclusive Teaching </w:t>
            </w:r>
          </w:p>
        </w:tc>
        <w:tc>
          <w:tcPr>
            <w:tcW w:w="567" w:type="dxa"/>
          </w:tcPr>
          <w:p w14:paraId="02C3228B" w14:textId="77777777" w:rsidR="00017016" w:rsidRPr="00017016" w:rsidRDefault="00017016" w:rsidP="00017016">
            <w:pPr>
              <w:pStyle w:val="NoSpacing"/>
              <w:rPr>
                <w:b/>
                <w:bCs/>
                <w:i/>
                <w:iCs/>
                <w:sz w:val="22"/>
                <w:szCs w:val="22"/>
              </w:rPr>
            </w:pPr>
          </w:p>
        </w:tc>
        <w:tc>
          <w:tcPr>
            <w:tcW w:w="4819" w:type="dxa"/>
          </w:tcPr>
          <w:p w14:paraId="1310E4AC" w14:textId="6F05891B" w:rsidR="00017016" w:rsidRPr="00017016" w:rsidRDefault="00017016" w:rsidP="00017016">
            <w:pPr>
              <w:pStyle w:val="NoSpacing"/>
              <w:rPr>
                <w:b/>
                <w:bCs/>
                <w:i/>
                <w:iCs/>
                <w:sz w:val="22"/>
                <w:szCs w:val="22"/>
              </w:rPr>
            </w:pPr>
            <w:r w:rsidRPr="00017016">
              <w:rPr>
                <w:b/>
                <w:bCs/>
                <w:i/>
                <w:iCs/>
                <w:sz w:val="22"/>
                <w:szCs w:val="22"/>
              </w:rPr>
              <w:t>ED151C: Literacies, Languages and Learning</w:t>
            </w:r>
          </w:p>
        </w:tc>
      </w:tr>
      <w:tr w:rsidR="00017016" w14:paraId="5F881517" w14:textId="77777777" w:rsidTr="00EB7F5D">
        <w:tc>
          <w:tcPr>
            <w:tcW w:w="4962" w:type="dxa"/>
          </w:tcPr>
          <w:p w14:paraId="673F3760" w14:textId="59A0EB2F" w:rsidR="00017016" w:rsidRPr="00121BD2" w:rsidRDefault="00121BD2" w:rsidP="00121BD2">
            <w:pPr>
              <w:pStyle w:val="NoSpacing"/>
              <w:spacing w:line="276" w:lineRule="auto"/>
              <w:rPr>
                <w:i/>
                <w:iCs/>
              </w:rPr>
            </w:pPr>
            <w:r w:rsidRPr="00121BD2">
              <w:rPr>
                <w:i/>
                <w:iCs/>
              </w:rPr>
              <w:t>This course aims to develop students’ appreciation of the qualities, dispositions and skills required of an inclusive teacher. Within this course, students will develop knowledge of key Scottish policies and an awareness of the socio-cultural contexts in which they will be teaching.  Students will also develop an awareness of themselves as learners and beginner teachers.</w:t>
            </w:r>
          </w:p>
        </w:tc>
        <w:tc>
          <w:tcPr>
            <w:tcW w:w="567" w:type="dxa"/>
          </w:tcPr>
          <w:p w14:paraId="7F3C3B75" w14:textId="77777777" w:rsidR="00017016" w:rsidRPr="00121BD2" w:rsidRDefault="00017016" w:rsidP="00121BD2">
            <w:pPr>
              <w:pStyle w:val="NoSpacing"/>
              <w:spacing w:line="276" w:lineRule="auto"/>
              <w:rPr>
                <w:b/>
                <w:bCs/>
                <w:i/>
                <w:iCs/>
                <w:sz w:val="22"/>
                <w:szCs w:val="22"/>
              </w:rPr>
            </w:pPr>
          </w:p>
        </w:tc>
        <w:tc>
          <w:tcPr>
            <w:tcW w:w="4819" w:type="dxa"/>
          </w:tcPr>
          <w:p w14:paraId="44C1F2B0" w14:textId="30E0D1F6" w:rsidR="00017016" w:rsidRPr="00121BD2" w:rsidRDefault="00121BD2" w:rsidP="00121BD2">
            <w:pPr>
              <w:pStyle w:val="NoSpacing"/>
              <w:spacing w:line="276" w:lineRule="auto"/>
              <w:rPr>
                <w:b/>
                <w:bCs/>
                <w:i/>
                <w:iCs/>
                <w:sz w:val="22"/>
                <w:szCs w:val="22"/>
              </w:rPr>
            </w:pPr>
            <w:r w:rsidRPr="00121BD2">
              <w:rPr>
                <w:i/>
                <w:iCs/>
              </w:rPr>
              <w:t xml:space="preserve">This course aims to provide students with opportunities to explore research informed approaches to teaching and learning in and through language and languages. This will provide opportunities to explore language use in and out of the classroom, second language learning and </w:t>
            </w:r>
            <w:proofErr w:type="spellStart"/>
            <w:r w:rsidRPr="00121BD2">
              <w:rPr>
                <w:i/>
                <w:iCs/>
              </w:rPr>
              <w:t>and</w:t>
            </w:r>
            <w:proofErr w:type="spellEnd"/>
            <w:r w:rsidRPr="00121BD2">
              <w:rPr>
                <w:i/>
                <w:iCs/>
              </w:rPr>
              <w:t xml:space="preserve"> bi- or pluri-</w:t>
            </w:r>
            <w:proofErr w:type="spellStart"/>
            <w:r w:rsidRPr="00121BD2">
              <w:rPr>
                <w:i/>
                <w:iCs/>
              </w:rPr>
              <w:t>lingualism</w:t>
            </w:r>
            <w:proofErr w:type="spellEnd"/>
            <w:r w:rsidRPr="00121BD2">
              <w:rPr>
                <w:i/>
                <w:iCs/>
              </w:rPr>
              <w:t xml:space="preserve">.  The course will also explore different forms of literacy.  </w:t>
            </w:r>
          </w:p>
        </w:tc>
      </w:tr>
      <w:tr w:rsidR="00EB7F5D" w14:paraId="1D58A36A" w14:textId="77777777" w:rsidTr="00EB7F5D">
        <w:tc>
          <w:tcPr>
            <w:tcW w:w="4962" w:type="dxa"/>
          </w:tcPr>
          <w:p w14:paraId="565D863C" w14:textId="77777777" w:rsidR="00EB7F5D" w:rsidRPr="00017016" w:rsidRDefault="00EB7F5D" w:rsidP="00017016">
            <w:pPr>
              <w:pStyle w:val="NoSpacing"/>
              <w:rPr>
                <w:b/>
                <w:bCs/>
                <w:i/>
                <w:iCs/>
                <w:sz w:val="22"/>
                <w:szCs w:val="22"/>
              </w:rPr>
            </w:pPr>
          </w:p>
        </w:tc>
        <w:tc>
          <w:tcPr>
            <w:tcW w:w="567" w:type="dxa"/>
          </w:tcPr>
          <w:p w14:paraId="5CF39871" w14:textId="77777777" w:rsidR="00EB7F5D" w:rsidRPr="00017016" w:rsidRDefault="00EB7F5D" w:rsidP="00017016">
            <w:pPr>
              <w:pStyle w:val="NoSpacing"/>
              <w:rPr>
                <w:b/>
                <w:bCs/>
                <w:i/>
                <w:iCs/>
                <w:sz w:val="22"/>
                <w:szCs w:val="22"/>
              </w:rPr>
            </w:pPr>
          </w:p>
        </w:tc>
        <w:tc>
          <w:tcPr>
            <w:tcW w:w="4819" w:type="dxa"/>
          </w:tcPr>
          <w:p w14:paraId="082C0F6E" w14:textId="77777777" w:rsidR="00EB7F5D" w:rsidRPr="00017016" w:rsidRDefault="00EB7F5D" w:rsidP="00017016">
            <w:pPr>
              <w:pStyle w:val="NoSpacing"/>
              <w:rPr>
                <w:b/>
                <w:bCs/>
                <w:i/>
                <w:iCs/>
                <w:sz w:val="22"/>
                <w:szCs w:val="22"/>
              </w:rPr>
            </w:pPr>
          </w:p>
        </w:tc>
      </w:tr>
      <w:tr w:rsidR="00A75457" w14:paraId="67934BE0" w14:textId="77777777" w:rsidTr="00EB7F5D">
        <w:tc>
          <w:tcPr>
            <w:tcW w:w="4962" w:type="dxa"/>
          </w:tcPr>
          <w:p w14:paraId="7CE3F55D" w14:textId="1DC11CF8" w:rsidR="00A75457" w:rsidRPr="00017016" w:rsidRDefault="00A75457" w:rsidP="00A75457">
            <w:pPr>
              <w:pStyle w:val="NoSpacing"/>
              <w:rPr>
                <w:b/>
                <w:bCs/>
                <w:i/>
                <w:iCs/>
                <w:sz w:val="22"/>
                <w:szCs w:val="22"/>
              </w:rPr>
            </w:pPr>
            <w:r w:rsidRPr="00017016">
              <w:rPr>
                <w:b/>
                <w:bCs/>
                <w:i/>
                <w:iCs/>
                <w:sz w:val="22"/>
                <w:szCs w:val="22"/>
              </w:rPr>
              <w:t xml:space="preserve"> ED101B: Global Perspectives</w:t>
            </w:r>
          </w:p>
        </w:tc>
        <w:tc>
          <w:tcPr>
            <w:tcW w:w="567" w:type="dxa"/>
          </w:tcPr>
          <w:p w14:paraId="5048DB68" w14:textId="77777777" w:rsidR="00A75457" w:rsidRPr="00017016" w:rsidRDefault="00A75457" w:rsidP="00A75457">
            <w:pPr>
              <w:pStyle w:val="NoSpacing"/>
              <w:rPr>
                <w:b/>
                <w:bCs/>
                <w:i/>
                <w:iCs/>
                <w:sz w:val="22"/>
                <w:szCs w:val="22"/>
              </w:rPr>
            </w:pPr>
          </w:p>
        </w:tc>
        <w:tc>
          <w:tcPr>
            <w:tcW w:w="4819" w:type="dxa"/>
          </w:tcPr>
          <w:p w14:paraId="161610E8" w14:textId="56962907" w:rsidR="00A75457" w:rsidRPr="00017016" w:rsidRDefault="00EB7F5D" w:rsidP="00A75457">
            <w:pPr>
              <w:pStyle w:val="NoSpacing"/>
              <w:rPr>
                <w:b/>
                <w:bCs/>
                <w:i/>
                <w:iCs/>
                <w:sz w:val="22"/>
                <w:szCs w:val="22"/>
              </w:rPr>
            </w:pPr>
            <w:r>
              <w:rPr>
                <w:b/>
                <w:bCs/>
                <w:i/>
                <w:iCs/>
                <w:sz w:val="22"/>
                <w:szCs w:val="22"/>
              </w:rPr>
              <w:t>ED151M: Developing Curricular Knowledge - Technologies</w:t>
            </w:r>
          </w:p>
        </w:tc>
      </w:tr>
      <w:tr w:rsidR="00A75457" w14:paraId="7E2F2597" w14:textId="77777777" w:rsidTr="00EB7F5D">
        <w:tc>
          <w:tcPr>
            <w:tcW w:w="4962" w:type="dxa"/>
          </w:tcPr>
          <w:p w14:paraId="10B49DFC" w14:textId="35463C01" w:rsidR="00A75457" w:rsidRPr="00121BD2" w:rsidRDefault="00121BD2" w:rsidP="00121BD2">
            <w:pPr>
              <w:pStyle w:val="NoSpacing"/>
              <w:spacing w:line="276" w:lineRule="auto"/>
              <w:rPr>
                <w:i/>
                <w:iCs/>
              </w:rPr>
            </w:pPr>
            <w:r w:rsidRPr="00121BD2">
              <w:rPr>
                <w:i/>
                <w:iCs/>
              </w:rPr>
              <w:t>This course will give students an opportunity to reflect on their understanding of education through an examination of the origins, purpose and nature of education, both as it currently exists in Scotland and elsewhere. This course will allow students, through the study of comparative education, to consider the historical and political context of Scottish Education and gain insight into current issues, policy drivers and practices.</w:t>
            </w:r>
          </w:p>
        </w:tc>
        <w:tc>
          <w:tcPr>
            <w:tcW w:w="567" w:type="dxa"/>
          </w:tcPr>
          <w:p w14:paraId="7C1D78AE" w14:textId="77777777" w:rsidR="00A75457" w:rsidRPr="00121BD2" w:rsidRDefault="00A75457" w:rsidP="00121BD2">
            <w:pPr>
              <w:pStyle w:val="NoSpacing"/>
              <w:spacing w:line="276" w:lineRule="auto"/>
              <w:rPr>
                <w:i/>
                <w:iCs/>
              </w:rPr>
            </w:pPr>
          </w:p>
        </w:tc>
        <w:tc>
          <w:tcPr>
            <w:tcW w:w="4819" w:type="dxa"/>
          </w:tcPr>
          <w:p w14:paraId="11AB92E5" w14:textId="2430FE71" w:rsidR="00A75457" w:rsidRPr="00121BD2" w:rsidRDefault="00121BD2" w:rsidP="00121BD2">
            <w:pPr>
              <w:pStyle w:val="NoSpacing"/>
              <w:spacing w:line="276" w:lineRule="auto"/>
              <w:rPr>
                <w:i/>
                <w:iCs/>
              </w:rPr>
            </w:pPr>
            <w:r w:rsidRPr="00121BD2">
              <w:rPr>
                <w:i/>
                <w:iCs/>
              </w:rPr>
              <w:t>This course aims to develop student teachers’ knowledge and understanding of Technologies within the Primary Classroom. Through course inputs, students will be provided with opportunities to develop an awareness of the impact this area of the curriculum has for enhancing pupil learning and understanding about the world in which they live. Students will gain a variety of practical experiences to extend their understanding of professional pedagogy to ensure teaching practices support the development of learner experiences.</w:t>
            </w:r>
          </w:p>
        </w:tc>
      </w:tr>
      <w:tr w:rsidR="00EB7F5D" w14:paraId="7DF05B1C" w14:textId="77777777" w:rsidTr="00EB7F5D">
        <w:tc>
          <w:tcPr>
            <w:tcW w:w="4962" w:type="dxa"/>
          </w:tcPr>
          <w:p w14:paraId="1B3CABAD" w14:textId="77777777" w:rsidR="00EB7F5D" w:rsidRPr="00017016" w:rsidRDefault="00EB7F5D" w:rsidP="00A75457">
            <w:pPr>
              <w:pStyle w:val="NoSpacing"/>
              <w:rPr>
                <w:b/>
                <w:bCs/>
                <w:i/>
                <w:iCs/>
                <w:sz w:val="22"/>
                <w:szCs w:val="22"/>
              </w:rPr>
            </w:pPr>
          </w:p>
        </w:tc>
        <w:tc>
          <w:tcPr>
            <w:tcW w:w="567" w:type="dxa"/>
          </w:tcPr>
          <w:p w14:paraId="0192D069" w14:textId="77777777" w:rsidR="00EB7F5D" w:rsidRPr="00017016" w:rsidRDefault="00EB7F5D" w:rsidP="00A75457">
            <w:pPr>
              <w:pStyle w:val="NoSpacing"/>
              <w:rPr>
                <w:b/>
                <w:bCs/>
                <w:i/>
                <w:iCs/>
                <w:sz w:val="22"/>
                <w:szCs w:val="22"/>
              </w:rPr>
            </w:pPr>
          </w:p>
        </w:tc>
        <w:tc>
          <w:tcPr>
            <w:tcW w:w="4819" w:type="dxa"/>
          </w:tcPr>
          <w:p w14:paraId="78520756" w14:textId="2436BD91" w:rsidR="00EB7F5D" w:rsidRPr="00017016" w:rsidRDefault="00EB7F5D" w:rsidP="00A75457">
            <w:pPr>
              <w:pStyle w:val="NoSpacing"/>
              <w:rPr>
                <w:b/>
                <w:bCs/>
                <w:i/>
                <w:iCs/>
                <w:sz w:val="22"/>
                <w:szCs w:val="22"/>
              </w:rPr>
            </w:pPr>
          </w:p>
        </w:tc>
      </w:tr>
      <w:tr w:rsidR="00EB7F5D" w14:paraId="11090514" w14:textId="77777777" w:rsidTr="00EB7F5D">
        <w:tc>
          <w:tcPr>
            <w:tcW w:w="4962" w:type="dxa"/>
          </w:tcPr>
          <w:p w14:paraId="7CEE75D9" w14:textId="1F40C50E" w:rsidR="00EB7F5D" w:rsidRPr="00017016" w:rsidRDefault="00EB7F5D" w:rsidP="00EB7F5D">
            <w:pPr>
              <w:pStyle w:val="NoSpacing"/>
              <w:rPr>
                <w:b/>
                <w:bCs/>
                <w:i/>
                <w:iCs/>
                <w:sz w:val="22"/>
                <w:szCs w:val="22"/>
              </w:rPr>
            </w:pPr>
            <w:r>
              <w:rPr>
                <w:b/>
                <w:bCs/>
                <w:i/>
                <w:iCs/>
                <w:sz w:val="22"/>
                <w:szCs w:val="22"/>
              </w:rPr>
              <w:t>ED201B: Understanding Literacy Development</w:t>
            </w:r>
          </w:p>
        </w:tc>
        <w:tc>
          <w:tcPr>
            <w:tcW w:w="567" w:type="dxa"/>
          </w:tcPr>
          <w:p w14:paraId="632BFDB7" w14:textId="77777777" w:rsidR="00EB7F5D" w:rsidRPr="00017016" w:rsidRDefault="00EB7F5D" w:rsidP="00EB7F5D">
            <w:pPr>
              <w:pStyle w:val="NoSpacing"/>
              <w:rPr>
                <w:b/>
                <w:bCs/>
                <w:i/>
                <w:iCs/>
                <w:sz w:val="22"/>
                <w:szCs w:val="22"/>
              </w:rPr>
            </w:pPr>
          </w:p>
        </w:tc>
        <w:tc>
          <w:tcPr>
            <w:tcW w:w="4819" w:type="dxa"/>
          </w:tcPr>
          <w:p w14:paraId="29B1474C" w14:textId="18DCFA86" w:rsidR="00EB7F5D" w:rsidRPr="00017016" w:rsidRDefault="00EB7F5D" w:rsidP="00EB7F5D">
            <w:pPr>
              <w:pStyle w:val="NoSpacing"/>
              <w:rPr>
                <w:b/>
                <w:bCs/>
                <w:i/>
                <w:iCs/>
                <w:sz w:val="22"/>
                <w:szCs w:val="22"/>
              </w:rPr>
            </w:pPr>
            <w:r w:rsidRPr="00017016">
              <w:rPr>
                <w:b/>
                <w:bCs/>
                <w:i/>
                <w:iCs/>
                <w:sz w:val="22"/>
                <w:szCs w:val="22"/>
              </w:rPr>
              <w:t>ED251D: Developing Curricular Knowledge - HWB</w:t>
            </w:r>
          </w:p>
        </w:tc>
      </w:tr>
      <w:tr w:rsidR="00EB7F5D" w14:paraId="0B8DB8DE" w14:textId="77777777" w:rsidTr="00EB7F5D">
        <w:tc>
          <w:tcPr>
            <w:tcW w:w="4962" w:type="dxa"/>
          </w:tcPr>
          <w:p w14:paraId="3E0C5F0E" w14:textId="09D4A999" w:rsidR="00EB7F5D" w:rsidRPr="00121BD2" w:rsidRDefault="00121BD2" w:rsidP="00121BD2">
            <w:pPr>
              <w:pStyle w:val="NoSpacing"/>
              <w:spacing w:line="276" w:lineRule="auto"/>
              <w:rPr>
                <w:i/>
                <w:iCs/>
              </w:rPr>
            </w:pPr>
            <w:r w:rsidRPr="00121BD2">
              <w:rPr>
                <w:i/>
                <w:iCs/>
              </w:rPr>
              <w:t xml:space="preserve">This course explores the central role of language and literacy in learning and the teacher’s role in overcoming barriers to literacy. Students will examine research-informed approaches to teaching reading and writing, including the five pillars of effective reading instruction: phonemic awareness, phonics, fluency, vocabulary, and comprehension (Hattie, 2007). They will consider the connection between reading and </w:t>
            </w:r>
            <w:proofErr w:type="gramStart"/>
            <w:r w:rsidRPr="00121BD2">
              <w:rPr>
                <w:i/>
                <w:iCs/>
              </w:rPr>
              <w:t>writing, and</w:t>
            </w:r>
            <w:proofErr w:type="gramEnd"/>
            <w:r w:rsidRPr="00121BD2">
              <w:rPr>
                <w:i/>
                <w:iCs/>
              </w:rPr>
              <w:t xml:space="preserve"> develop their understanding of pedagogical approaches to literacy across the primary years. The course also addresses strategies to close the attainment gap and improve outcomes for all learners.</w:t>
            </w:r>
          </w:p>
        </w:tc>
        <w:tc>
          <w:tcPr>
            <w:tcW w:w="567" w:type="dxa"/>
          </w:tcPr>
          <w:p w14:paraId="7BA77B77" w14:textId="77777777" w:rsidR="00EB7F5D" w:rsidRPr="00121BD2" w:rsidRDefault="00EB7F5D" w:rsidP="00121BD2">
            <w:pPr>
              <w:pStyle w:val="NoSpacing"/>
              <w:spacing w:line="276" w:lineRule="auto"/>
              <w:rPr>
                <w:b/>
                <w:bCs/>
                <w:i/>
                <w:iCs/>
                <w:sz w:val="22"/>
                <w:szCs w:val="22"/>
              </w:rPr>
            </w:pPr>
          </w:p>
        </w:tc>
        <w:tc>
          <w:tcPr>
            <w:tcW w:w="4819" w:type="dxa"/>
          </w:tcPr>
          <w:p w14:paraId="26BCD841" w14:textId="77777777" w:rsidR="00121BD2" w:rsidRPr="00121BD2" w:rsidRDefault="00121BD2" w:rsidP="00121BD2">
            <w:pPr>
              <w:pStyle w:val="NoSpacing"/>
              <w:spacing w:line="276" w:lineRule="auto"/>
              <w:rPr>
                <w:i/>
                <w:iCs/>
              </w:rPr>
            </w:pPr>
            <w:r w:rsidRPr="00121BD2">
              <w:rPr>
                <w:i/>
                <w:iCs/>
              </w:rPr>
              <w:t xml:space="preserve">This course aims to provide students with opportunities to develop a broad and integrated knowledge of the value of Health and Well-being to children's lives and learning. Students will explore a range of ways that health and well-being can be integrated into the primary school curriculum with a specific focus on current issues for Primary teaching and learning in Scotland. </w:t>
            </w:r>
          </w:p>
          <w:p w14:paraId="63388D33" w14:textId="7901B727" w:rsidR="00EB7F5D" w:rsidRPr="00121BD2" w:rsidRDefault="00EB7F5D" w:rsidP="00121BD2">
            <w:pPr>
              <w:pStyle w:val="NoSpacing"/>
              <w:spacing w:line="276" w:lineRule="auto"/>
              <w:rPr>
                <w:b/>
                <w:bCs/>
                <w:i/>
                <w:iCs/>
                <w:sz w:val="22"/>
                <w:szCs w:val="22"/>
              </w:rPr>
            </w:pPr>
          </w:p>
        </w:tc>
      </w:tr>
      <w:tr w:rsidR="00EB7F5D" w14:paraId="722F2955" w14:textId="77777777" w:rsidTr="00EB7F5D">
        <w:tc>
          <w:tcPr>
            <w:tcW w:w="4962" w:type="dxa"/>
          </w:tcPr>
          <w:p w14:paraId="24B043E4" w14:textId="77777777" w:rsidR="00EB7F5D" w:rsidRDefault="00EB7F5D" w:rsidP="00E52BDC">
            <w:pPr>
              <w:pStyle w:val="NoSpacing"/>
              <w:rPr>
                <w:b/>
                <w:bCs/>
                <w:i/>
                <w:iCs/>
                <w:sz w:val="22"/>
                <w:szCs w:val="22"/>
              </w:rPr>
            </w:pPr>
          </w:p>
        </w:tc>
        <w:tc>
          <w:tcPr>
            <w:tcW w:w="567" w:type="dxa"/>
          </w:tcPr>
          <w:p w14:paraId="19293528" w14:textId="77777777" w:rsidR="00EB7F5D" w:rsidRPr="00017016" w:rsidRDefault="00EB7F5D" w:rsidP="00E52BDC">
            <w:pPr>
              <w:pStyle w:val="NoSpacing"/>
              <w:rPr>
                <w:b/>
                <w:bCs/>
                <w:i/>
                <w:iCs/>
                <w:sz w:val="22"/>
                <w:szCs w:val="22"/>
              </w:rPr>
            </w:pPr>
          </w:p>
        </w:tc>
        <w:tc>
          <w:tcPr>
            <w:tcW w:w="4819" w:type="dxa"/>
          </w:tcPr>
          <w:p w14:paraId="5CE90344" w14:textId="77777777" w:rsidR="00EB7F5D" w:rsidRPr="00017016" w:rsidRDefault="00EB7F5D" w:rsidP="00E52BDC">
            <w:pPr>
              <w:pStyle w:val="NoSpacing"/>
              <w:rPr>
                <w:b/>
                <w:bCs/>
                <w:i/>
                <w:iCs/>
                <w:sz w:val="22"/>
                <w:szCs w:val="22"/>
              </w:rPr>
            </w:pPr>
          </w:p>
        </w:tc>
      </w:tr>
      <w:tr w:rsidR="00EB7F5D" w14:paraId="52FB9854" w14:textId="77777777" w:rsidTr="00EB7F5D">
        <w:tc>
          <w:tcPr>
            <w:tcW w:w="4962" w:type="dxa"/>
          </w:tcPr>
          <w:p w14:paraId="3ADABA6B" w14:textId="1D20178B" w:rsidR="00EB7F5D" w:rsidRDefault="00EB7F5D" w:rsidP="00EB7F5D">
            <w:pPr>
              <w:pStyle w:val="NoSpacing"/>
              <w:rPr>
                <w:b/>
                <w:bCs/>
                <w:i/>
                <w:iCs/>
                <w:sz w:val="22"/>
                <w:szCs w:val="22"/>
              </w:rPr>
            </w:pPr>
            <w:r>
              <w:rPr>
                <w:b/>
                <w:bCs/>
                <w:i/>
                <w:iCs/>
                <w:sz w:val="22"/>
                <w:szCs w:val="22"/>
              </w:rPr>
              <w:t>ED201C: Exploring Mathematical Conceptual Understanding</w:t>
            </w:r>
          </w:p>
        </w:tc>
        <w:tc>
          <w:tcPr>
            <w:tcW w:w="567" w:type="dxa"/>
          </w:tcPr>
          <w:p w14:paraId="742E71A3" w14:textId="77777777" w:rsidR="00EB7F5D" w:rsidRPr="00017016" w:rsidRDefault="00EB7F5D" w:rsidP="00EB7F5D">
            <w:pPr>
              <w:pStyle w:val="NoSpacing"/>
              <w:rPr>
                <w:b/>
                <w:bCs/>
                <w:i/>
                <w:iCs/>
                <w:sz w:val="22"/>
                <w:szCs w:val="22"/>
              </w:rPr>
            </w:pPr>
          </w:p>
        </w:tc>
        <w:tc>
          <w:tcPr>
            <w:tcW w:w="4819" w:type="dxa"/>
          </w:tcPr>
          <w:p w14:paraId="34CA6118" w14:textId="677B2C18" w:rsidR="00EB7F5D" w:rsidRPr="00017016" w:rsidRDefault="00EB7F5D" w:rsidP="00EB7F5D">
            <w:pPr>
              <w:pStyle w:val="NoSpacing"/>
              <w:rPr>
                <w:b/>
                <w:bCs/>
                <w:i/>
                <w:iCs/>
                <w:sz w:val="22"/>
                <w:szCs w:val="22"/>
              </w:rPr>
            </w:pPr>
            <w:r>
              <w:rPr>
                <w:b/>
                <w:bCs/>
                <w:i/>
                <w:iCs/>
                <w:sz w:val="22"/>
                <w:szCs w:val="22"/>
              </w:rPr>
              <w:t>ED351F: Exploring the Expressive Arts in the Primary Curriculum</w:t>
            </w:r>
          </w:p>
        </w:tc>
      </w:tr>
      <w:tr w:rsidR="00EB7F5D" w14:paraId="43C0055A" w14:textId="77777777" w:rsidTr="00EB7F5D">
        <w:tc>
          <w:tcPr>
            <w:tcW w:w="4962" w:type="dxa"/>
          </w:tcPr>
          <w:p w14:paraId="7DA43693" w14:textId="185B28B8" w:rsidR="00EB7F5D" w:rsidRPr="00121BD2" w:rsidRDefault="00121BD2" w:rsidP="00121BD2">
            <w:pPr>
              <w:pStyle w:val="NoSpacing"/>
              <w:spacing w:line="276" w:lineRule="auto"/>
              <w:rPr>
                <w:i/>
                <w:iCs/>
              </w:rPr>
            </w:pPr>
            <w:r w:rsidRPr="00121BD2">
              <w:rPr>
                <w:i/>
                <w:iCs/>
              </w:rPr>
              <w:t xml:space="preserve">This course </w:t>
            </w:r>
            <w:proofErr w:type="gramStart"/>
            <w:r w:rsidRPr="00121BD2">
              <w:rPr>
                <w:i/>
                <w:iCs/>
              </w:rPr>
              <w:t>provide</w:t>
            </w:r>
            <w:proofErr w:type="gramEnd"/>
            <w:r w:rsidRPr="00121BD2">
              <w:rPr>
                <w:i/>
                <w:iCs/>
              </w:rPr>
              <w:t xml:space="preserve"> students with opportunities to explore how pupils can develop their conceptual understanding of </w:t>
            </w:r>
            <w:proofErr w:type="spellStart"/>
            <w:r w:rsidRPr="00121BD2">
              <w:rPr>
                <w:i/>
                <w:iCs/>
              </w:rPr>
              <w:t>maths</w:t>
            </w:r>
            <w:proofErr w:type="spellEnd"/>
            <w:r w:rsidRPr="00121BD2">
              <w:rPr>
                <w:i/>
                <w:iCs/>
              </w:rPr>
              <w:t xml:space="preserve">. Key mathematical principles will be considered, alongside classroom pedagogies which are based around 3 main theoretical underpinnings.  Students will be given opportunities to engage with </w:t>
            </w:r>
            <w:proofErr w:type="gramStart"/>
            <w:r w:rsidRPr="00121BD2">
              <w:rPr>
                <w:i/>
                <w:iCs/>
              </w:rPr>
              <w:t>these research</w:t>
            </w:r>
            <w:proofErr w:type="gramEnd"/>
            <w:r w:rsidRPr="00121BD2">
              <w:rPr>
                <w:i/>
                <w:iCs/>
              </w:rPr>
              <w:t xml:space="preserve"> informed </w:t>
            </w:r>
            <w:proofErr w:type="gramStart"/>
            <w:r w:rsidRPr="00121BD2">
              <w:rPr>
                <w:i/>
                <w:iCs/>
              </w:rPr>
              <w:t>approaches, and</w:t>
            </w:r>
            <w:proofErr w:type="gramEnd"/>
            <w:r w:rsidRPr="00121BD2">
              <w:rPr>
                <w:i/>
                <w:iCs/>
              </w:rPr>
              <w:t xml:space="preserve"> will be encouraged to reflect on the impact this has on their developing classroom practice.  </w:t>
            </w:r>
          </w:p>
        </w:tc>
        <w:tc>
          <w:tcPr>
            <w:tcW w:w="567" w:type="dxa"/>
          </w:tcPr>
          <w:p w14:paraId="1FCEA65B" w14:textId="77777777" w:rsidR="00EB7F5D" w:rsidRPr="00121BD2" w:rsidRDefault="00EB7F5D" w:rsidP="00121BD2">
            <w:pPr>
              <w:pStyle w:val="NoSpacing"/>
              <w:spacing w:line="276" w:lineRule="auto"/>
              <w:rPr>
                <w:i/>
                <w:iCs/>
                <w:sz w:val="22"/>
                <w:szCs w:val="22"/>
              </w:rPr>
            </w:pPr>
          </w:p>
        </w:tc>
        <w:tc>
          <w:tcPr>
            <w:tcW w:w="4819" w:type="dxa"/>
          </w:tcPr>
          <w:p w14:paraId="55D0BBC3" w14:textId="0395CEE3" w:rsidR="00EB7F5D" w:rsidRPr="00121BD2" w:rsidRDefault="00121BD2" w:rsidP="00121BD2">
            <w:pPr>
              <w:pStyle w:val="NoSpacing"/>
              <w:spacing w:line="276" w:lineRule="auto"/>
              <w:rPr>
                <w:i/>
                <w:iCs/>
                <w:sz w:val="22"/>
                <w:szCs w:val="22"/>
              </w:rPr>
            </w:pPr>
            <w:r w:rsidRPr="00121BD2">
              <w:rPr>
                <w:i/>
                <w:iCs/>
              </w:rPr>
              <w:t xml:space="preserve">This course aims to provide students with opportunities to develop a broad and integrated knowledge of the expressive arts as a pathway to creative teaching across the curriculum.  Students will consider the </w:t>
            </w:r>
            <w:r w:rsidRPr="00121BD2">
              <w:rPr>
                <w:rFonts w:ascii="Calibri" w:eastAsia="Calibri" w:hAnsi="Calibri" w:cs="Calibri"/>
                <w:i/>
                <w:iCs/>
              </w:rPr>
              <w:t>value of expressive arts as a medium for teaching and learning in relation to the whole curriculum including what has been called the ‘hidden curriculum’.</w:t>
            </w:r>
          </w:p>
        </w:tc>
      </w:tr>
      <w:tr w:rsidR="00EB7F5D" w14:paraId="5AD2989F" w14:textId="77777777" w:rsidTr="00EB7F5D">
        <w:tc>
          <w:tcPr>
            <w:tcW w:w="4962" w:type="dxa"/>
          </w:tcPr>
          <w:p w14:paraId="5C11F055" w14:textId="77777777" w:rsidR="00EB7F5D" w:rsidRPr="00017016" w:rsidRDefault="00EB7F5D" w:rsidP="00EB7F5D">
            <w:pPr>
              <w:pStyle w:val="NoSpacing"/>
              <w:rPr>
                <w:i/>
                <w:iCs/>
                <w:sz w:val="22"/>
                <w:szCs w:val="22"/>
              </w:rPr>
            </w:pPr>
          </w:p>
        </w:tc>
        <w:tc>
          <w:tcPr>
            <w:tcW w:w="567" w:type="dxa"/>
          </w:tcPr>
          <w:p w14:paraId="373DE55D" w14:textId="77777777" w:rsidR="00EB7F5D" w:rsidRPr="00017016" w:rsidRDefault="00EB7F5D" w:rsidP="00EB7F5D">
            <w:pPr>
              <w:pStyle w:val="NoSpacing"/>
              <w:rPr>
                <w:i/>
                <w:iCs/>
                <w:sz w:val="22"/>
                <w:szCs w:val="22"/>
              </w:rPr>
            </w:pPr>
          </w:p>
        </w:tc>
        <w:tc>
          <w:tcPr>
            <w:tcW w:w="4819" w:type="dxa"/>
          </w:tcPr>
          <w:p w14:paraId="5C94FD9F" w14:textId="5E66103B" w:rsidR="00EB7F5D" w:rsidRPr="00017016" w:rsidRDefault="00EB7F5D" w:rsidP="00EB7F5D">
            <w:pPr>
              <w:pStyle w:val="NoSpacing"/>
              <w:rPr>
                <w:i/>
                <w:iCs/>
                <w:sz w:val="22"/>
                <w:szCs w:val="22"/>
              </w:rPr>
            </w:pPr>
          </w:p>
        </w:tc>
      </w:tr>
      <w:tr w:rsidR="00A75457" w14:paraId="3D976897" w14:textId="77777777" w:rsidTr="00EB7F5D">
        <w:tc>
          <w:tcPr>
            <w:tcW w:w="4962" w:type="dxa"/>
          </w:tcPr>
          <w:p w14:paraId="5AF408D1" w14:textId="53479C29" w:rsidR="00A75457" w:rsidRPr="00EB7A63" w:rsidRDefault="00A75457" w:rsidP="00A75457">
            <w:pPr>
              <w:pStyle w:val="NoSpacing"/>
              <w:rPr>
                <w:b/>
                <w:bCs/>
                <w:i/>
                <w:iCs/>
                <w:sz w:val="22"/>
                <w:szCs w:val="22"/>
              </w:rPr>
            </w:pPr>
            <w:r w:rsidRPr="00EB7A63">
              <w:rPr>
                <w:b/>
                <w:bCs/>
                <w:i/>
                <w:iCs/>
                <w:sz w:val="22"/>
                <w:szCs w:val="22"/>
              </w:rPr>
              <w:lastRenderedPageBreak/>
              <w:t>ED301M</w:t>
            </w:r>
            <w:r>
              <w:rPr>
                <w:b/>
                <w:bCs/>
                <w:i/>
                <w:iCs/>
                <w:sz w:val="22"/>
                <w:szCs w:val="22"/>
              </w:rPr>
              <w:t>: Understanding the individual needs of children</w:t>
            </w:r>
          </w:p>
        </w:tc>
        <w:tc>
          <w:tcPr>
            <w:tcW w:w="567" w:type="dxa"/>
          </w:tcPr>
          <w:p w14:paraId="5F032D3D" w14:textId="77777777" w:rsidR="00A75457" w:rsidRPr="00017016" w:rsidRDefault="00A75457" w:rsidP="00A75457">
            <w:pPr>
              <w:pStyle w:val="NoSpacing"/>
              <w:rPr>
                <w:i/>
                <w:iCs/>
                <w:sz w:val="22"/>
                <w:szCs w:val="22"/>
              </w:rPr>
            </w:pPr>
          </w:p>
        </w:tc>
        <w:tc>
          <w:tcPr>
            <w:tcW w:w="4819" w:type="dxa"/>
          </w:tcPr>
          <w:p w14:paraId="17EB6BE8" w14:textId="0C898433" w:rsidR="00A75457" w:rsidRPr="00017016" w:rsidRDefault="00EB7F5D" w:rsidP="00A75457">
            <w:pPr>
              <w:pStyle w:val="NoSpacing"/>
              <w:rPr>
                <w:i/>
                <w:iCs/>
                <w:sz w:val="22"/>
                <w:szCs w:val="22"/>
              </w:rPr>
            </w:pPr>
            <w:r w:rsidRPr="00576111">
              <w:rPr>
                <w:b/>
                <w:bCs/>
                <w:i/>
                <w:iCs/>
                <w:sz w:val="22"/>
                <w:szCs w:val="22"/>
              </w:rPr>
              <w:t>ED351G: Developing Curricular Knowledge – Social Studies</w:t>
            </w:r>
          </w:p>
        </w:tc>
      </w:tr>
      <w:tr w:rsidR="009867F6" w14:paraId="125A047F" w14:textId="77777777" w:rsidTr="00EB7F5D">
        <w:tc>
          <w:tcPr>
            <w:tcW w:w="4962" w:type="dxa"/>
          </w:tcPr>
          <w:p w14:paraId="714261C1" w14:textId="0B18CB39" w:rsidR="009867F6" w:rsidRPr="00121BD2" w:rsidRDefault="00121BD2" w:rsidP="00121BD2">
            <w:pPr>
              <w:pStyle w:val="NoSpacing"/>
              <w:spacing w:line="276" w:lineRule="auto"/>
              <w:rPr>
                <w:i/>
                <w:iCs/>
              </w:rPr>
            </w:pPr>
            <w:r w:rsidRPr="00121BD2">
              <w:rPr>
                <w:i/>
                <w:iCs/>
              </w:rPr>
              <w:t xml:space="preserve">This course aims to provide students with knowledge and understanding of the individual and additional needs of children from a Human Rights and Social Justice perspective.  Students will explore factors that give rise to the many different needs of children and different approaches to meeting them in a Primary classroom. </w:t>
            </w:r>
          </w:p>
        </w:tc>
        <w:tc>
          <w:tcPr>
            <w:tcW w:w="567" w:type="dxa"/>
          </w:tcPr>
          <w:p w14:paraId="1AAD0AF9" w14:textId="77777777" w:rsidR="009867F6" w:rsidRPr="00121BD2" w:rsidRDefault="009867F6" w:rsidP="00121BD2">
            <w:pPr>
              <w:pStyle w:val="NoSpacing"/>
              <w:spacing w:line="276" w:lineRule="auto"/>
              <w:rPr>
                <w:i/>
                <w:iCs/>
                <w:sz w:val="22"/>
                <w:szCs w:val="22"/>
              </w:rPr>
            </w:pPr>
          </w:p>
        </w:tc>
        <w:tc>
          <w:tcPr>
            <w:tcW w:w="4819" w:type="dxa"/>
          </w:tcPr>
          <w:p w14:paraId="3CF7DF85" w14:textId="77777777" w:rsidR="00121BD2" w:rsidRPr="00121BD2" w:rsidRDefault="00121BD2" w:rsidP="00121BD2">
            <w:pPr>
              <w:pStyle w:val="NoSpacing"/>
              <w:spacing w:line="276" w:lineRule="auto"/>
              <w:rPr>
                <w:i/>
                <w:iCs/>
              </w:rPr>
            </w:pPr>
            <w:r w:rsidRPr="00121BD2">
              <w:rPr>
                <w:i/>
                <w:iCs/>
              </w:rPr>
              <w:t xml:space="preserve">This course aims to provide students with opportunities to develop a broad and integrated knowledge of Social Studies in the primary school curriculum. Students will explore research informed approaches to teaching and learning Social Studies in </w:t>
            </w:r>
            <w:proofErr w:type="gramStart"/>
            <w:r w:rsidRPr="00121BD2">
              <w:rPr>
                <w:i/>
                <w:iCs/>
              </w:rPr>
              <w:t>the primary</w:t>
            </w:r>
            <w:proofErr w:type="gramEnd"/>
            <w:r w:rsidRPr="00121BD2">
              <w:rPr>
                <w:i/>
                <w:iCs/>
              </w:rPr>
              <w:t xml:space="preserve"> </w:t>
            </w:r>
            <w:proofErr w:type="gramStart"/>
            <w:r w:rsidRPr="00121BD2">
              <w:rPr>
                <w:i/>
                <w:iCs/>
              </w:rPr>
              <w:t>school, and</w:t>
            </w:r>
            <w:proofErr w:type="gramEnd"/>
            <w:r w:rsidRPr="00121BD2">
              <w:rPr>
                <w:i/>
                <w:iCs/>
              </w:rPr>
              <w:t xml:space="preserve"> consider the implications of these approaches for classroom practice.  Students will also develop a critical understanding of how the local environment and community can support children’s learning. </w:t>
            </w:r>
          </w:p>
          <w:p w14:paraId="7B8AAE9F" w14:textId="77777777" w:rsidR="009867F6" w:rsidRPr="00121BD2" w:rsidRDefault="009867F6" w:rsidP="00121BD2">
            <w:pPr>
              <w:pStyle w:val="NoSpacing"/>
              <w:spacing w:line="276" w:lineRule="auto"/>
              <w:rPr>
                <w:i/>
                <w:iCs/>
                <w:sz w:val="22"/>
                <w:szCs w:val="22"/>
              </w:rPr>
            </w:pPr>
          </w:p>
        </w:tc>
      </w:tr>
      <w:tr w:rsidR="00EB7F5D" w14:paraId="2B574AF7" w14:textId="77777777" w:rsidTr="00EB7F5D">
        <w:tc>
          <w:tcPr>
            <w:tcW w:w="4962" w:type="dxa"/>
          </w:tcPr>
          <w:p w14:paraId="440FEF63" w14:textId="77777777" w:rsidR="00EB7F5D" w:rsidRPr="00EB7A63" w:rsidRDefault="00EB7F5D" w:rsidP="009867F6">
            <w:pPr>
              <w:pStyle w:val="NoSpacing"/>
              <w:rPr>
                <w:b/>
                <w:bCs/>
                <w:i/>
                <w:iCs/>
                <w:sz w:val="22"/>
                <w:szCs w:val="22"/>
              </w:rPr>
            </w:pPr>
          </w:p>
        </w:tc>
        <w:tc>
          <w:tcPr>
            <w:tcW w:w="567" w:type="dxa"/>
          </w:tcPr>
          <w:p w14:paraId="325F880D" w14:textId="77777777" w:rsidR="00EB7F5D" w:rsidRPr="00017016" w:rsidRDefault="00EB7F5D" w:rsidP="009867F6">
            <w:pPr>
              <w:pStyle w:val="NoSpacing"/>
              <w:rPr>
                <w:i/>
                <w:iCs/>
                <w:sz w:val="22"/>
                <w:szCs w:val="22"/>
              </w:rPr>
            </w:pPr>
          </w:p>
        </w:tc>
        <w:tc>
          <w:tcPr>
            <w:tcW w:w="4819" w:type="dxa"/>
          </w:tcPr>
          <w:p w14:paraId="15F32175" w14:textId="77777777" w:rsidR="00EB7F5D" w:rsidRPr="00017016" w:rsidRDefault="00EB7F5D" w:rsidP="009867F6">
            <w:pPr>
              <w:pStyle w:val="NoSpacing"/>
              <w:rPr>
                <w:i/>
                <w:iCs/>
                <w:sz w:val="22"/>
                <w:szCs w:val="22"/>
              </w:rPr>
            </w:pPr>
          </w:p>
        </w:tc>
      </w:tr>
      <w:tr w:rsidR="00681D47" w14:paraId="5B56F7FB" w14:textId="77777777" w:rsidTr="00EB7F5D">
        <w:tc>
          <w:tcPr>
            <w:tcW w:w="4962" w:type="dxa"/>
          </w:tcPr>
          <w:p w14:paraId="093254A9" w14:textId="3409E3FA" w:rsidR="00681D47" w:rsidRPr="00EB7A63" w:rsidRDefault="00681D47" w:rsidP="00681D47">
            <w:pPr>
              <w:pStyle w:val="NoSpacing"/>
              <w:rPr>
                <w:b/>
                <w:bCs/>
                <w:i/>
                <w:iCs/>
                <w:sz w:val="22"/>
                <w:szCs w:val="22"/>
              </w:rPr>
            </w:pPr>
            <w:r>
              <w:rPr>
                <w:b/>
                <w:bCs/>
                <w:i/>
                <w:iCs/>
                <w:sz w:val="22"/>
                <w:szCs w:val="22"/>
              </w:rPr>
              <w:t>ED301P: Teaching Science in the Primary Classroom</w:t>
            </w:r>
          </w:p>
        </w:tc>
        <w:tc>
          <w:tcPr>
            <w:tcW w:w="567" w:type="dxa"/>
          </w:tcPr>
          <w:p w14:paraId="6AE680AD" w14:textId="77777777" w:rsidR="00681D47" w:rsidRPr="00017016" w:rsidRDefault="00681D47" w:rsidP="00681D47">
            <w:pPr>
              <w:pStyle w:val="NoSpacing"/>
              <w:rPr>
                <w:i/>
                <w:iCs/>
                <w:sz w:val="22"/>
                <w:szCs w:val="22"/>
              </w:rPr>
            </w:pPr>
          </w:p>
        </w:tc>
        <w:tc>
          <w:tcPr>
            <w:tcW w:w="4819" w:type="dxa"/>
          </w:tcPr>
          <w:p w14:paraId="27E37046" w14:textId="57EC9D2D" w:rsidR="00681D47" w:rsidRPr="00576111" w:rsidRDefault="00681D47" w:rsidP="00681D47">
            <w:pPr>
              <w:pStyle w:val="NoSpacing"/>
              <w:rPr>
                <w:b/>
                <w:bCs/>
                <w:i/>
                <w:iCs/>
                <w:sz w:val="22"/>
                <w:szCs w:val="22"/>
              </w:rPr>
            </w:pPr>
          </w:p>
        </w:tc>
      </w:tr>
      <w:tr w:rsidR="00681D47" w14:paraId="1EB2F122" w14:textId="77777777" w:rsidTr="00EB7F5D">
        <w:tc>
          <w:tcPr>
            <w:tcW w:w="4962" w:type="dxa"/>
          </w:tcPr>
          <w:p w14:paraId="57F1C15F" w14:textId="7A7BD059" w:rsidR="00681D47" w:rsidRPr="00121BD2" w:rsidRDefault="00681D47" w:rsidP="00681D47">
            <w:pPr>
              <w:pStyle w:val="NoSpacing"/>
              <w:spacing w:line="276" w:lineRule="auto"/>
              <w:rPr>
                <w:b/>
                <w:bCs/>
                <w:i/>
                <w:iCs/>
                <w:sz w:val="22"/>
                <w:szCs w:val="22"/>
              </w:rPr>
            </w:pPr>
            <w:r w:rsidRPr="00121BD2">
              <w:rPr>
                <w:i/>
                <w:iCs/>
              </w:rPr>
              <w:t>This course aims to provide students with creative and innovative opportunities to develop knowledge and understanding of science concepts through modelling of approaches which can be used in the Primary classroom.  Students will also develop an understanding of the challenges of learning science and the pedagogical approaches which will support learners.</w:t>
            </w:r>
          </w:p>
        </w:tc>
        <w:tc>
          <w:tcPr>
            <w:tcW w:w="567" w:type="dxa"/>
          </w:tcPr>
          <w:p w14:paraId="70943033" w14:textId="77777777" w:rsidR="00681D47" w:rsidRPr="00121BD2" w:rsidRDefault="00681D47" w:rsidP="00681D47">
            <w:pPr>
              <w:pStyle w:val="NoSpacing"/>
              <w:spacing w:line="276" w:lineRule="auto"/>
              <w:rPr>
                <w:i/>
                <w:iCs/>
                <w:sz w:val="22"/>
                <w:szCs w:val="22"/>
              </w:rPr>
            </w:pPr>
          </w:p>
        </w:tc>
        <w:tc>
          <w:tcPr>
            <w:tcW w:w="4819" w:type="dxa"/>
          </w:tcPr>
          <w:p w14:paraId="000A1ACE" w14:textId="77777777" w:rsidR="00681D47" w:rsidRPr="00121BD2" w:rsidRDefault="00681D47" w:rsidP="00681D47">
            <w:pPr>
              <w:pStyle w:val="NoSpacing"/>
              <w:spacing w:line="276" w:lineRule="auto"/>
              <w:rPr>
                <w:i/>
                <w:iCs/>
                <w:sz w:val="22"/>
                <w:szCs w:val="22"/>
              </w:rPr>
            </w:pPr>
          </w:p>
        </w:tc>
      </w:tr>
      <w:tr w:rsidR="00EB7F5D" w14:paraId="61E52C48" w14:textId="77777777" w:rsidTr="00EB7F5D">
        <w:tc>
          <w:tcPr>
            <w:tcW w:w="4962" w:type="dxa"/>
          </w:tcPr>
          <w:p w14:paraId="7620B92C" w14:textId="77777777" w:rsidR="00EB7F5D" w:rsidRPr="00EB7A63" w:rsidRDefault="00EB7F5D" w:rsidP="00C179DD">
            <w:pPr>
              <w:pStyle w:val="NoSpacing"/>
              <w:rPr>
                <w:b/>
                <w:bCs/>
                <w:i/>
                <w:iCs/>
                <w:sz w:val="22"/>
                <w:szCs w:val="22"/>
              </w:rPr>
            </w:pPr>
          </w:p>
        </w:tc>
        <w:tc>
          <w:tcPr>
            <w:tcW w:w="567" w:type="dxa"/>
          </w:tcPr>
          <w:p w14:paraId="606CC2EB" w14:textId="77777777" w:rsidR="00EB7F5D" w:rsidRPr="00017016" w:rsidRDefault="00EB7F5D" w:rsidP="00C179DD">
            <w:pPr>
              <w:pStyle w:val="NoSpacing"/>
              <w:rPr>
                <w:i/>
                <w:iCs/>
                <w:sz w:val="22"/>
                <w:szCs w:val="22"/>
              </w:rPr>
            </w:pPr>
          </w:p>
        </w:tc>
        <w:tc>
          <w:tcPr>
            <w:tcW w:w="4819" w:type="dxa"/>
          </w:tcPr>
          <w:p w14:paraId="477EADFA" w14:textId="77777777" w:rsidR="00EB7F5D" w:rsidRPr="00017016" w:rsidRDefault="00EB7F5D" w:rsidP="00C179DD">
            <w:pPr>
              <w:pStyle w:val="NoSpacing"/>
              <w:rPr>
                <w:i/>
                <w:iCs/>
                <w:sz w:val="22"/>
                <w:szCs w:val="22"/>
              </w:rPr>
            </w:pPr>
          </w:p>
        </w:tc>
      </w:tr>
      <w:tr w:rsidR="00E52BDC" w14:paraId="6CBD2F29" w14:textId="77777777" w:rsidTr="00EB7F5D">
        <w:tc>
          <w:tcPr>
            <w:tcW w:w="4962" w:type="dxa"/>
          </w:tcPr>
          <w:p w14:paraId="24461F77" w14:textId="70CC6FB8" w:rsidR="00E52BDC" w:rsidRPr="00EB7A63" w:rsidRDefault="00E52BDC" w:rsidP="00C179DD">
            <w:pPr>
              <w:pStyle w:val="NoSpacing"/>
              <w:rPr>
                <w:b/>
                <w:bCs/>
                <w:i/>
                <w:iCs/>
                <w:sz w:val="22"/>
                <w:szCs w:val="22"/>
              </w:rPr>
            </w:pPr>
          </w:p>
        </w:tc>
        <w:tc>
          <w:tcPr>
            <w:tcW w:w="567" w:type="dxa"/>
          </w:tcPr>
          <w:p w14:paraId="3131EF39" w14:textId="77777777" w:rsidR="00E52BDC" w:rsidRPr="00017016" w:rsidRDefault="00E52BDC" w:rsidP="00C179DD">
            <w:pPr>
              <w:pStyle w:val="NoSpacing"/>
              <w:rPr>
                <w:i/>
                <w:iCs/>
                <w:sz w:val="22"/>
                <w:szCs w:val="22"/>
              </w:rPr>
            </w:pPr>
          </w:p>
        </w:tc>
        <w:tc>
          <w:tcPr>
            <w:tcW w:w="4819" w:type="dxa"/>
          </w:tcPr>
          <w:p w14:paraId="63B33320" w14:textId="77777777" w:rsidR="00E52BDC" w:rsidRPr="00017016" w:rsidRDefault="00E52BDC" w:rsidP="00C179DD">
            <w:pPr>
              <w:pStyle w:val="NoSpacing"/>
              <w:rPr>
                <w:i/>
                <w:iCs/>
                <w:sz w:val="22"/>
                <w:szCs w:val="22"/>
              </w:rPr>
            </w:pPr>
          </w:p>
        </w:tc>
      </w:tr>
      <w:tr w:rsidR="00EB7F5D" w14:paraId="21531E72" w14:textId="77777777" w:rsidTr="00EB7F5D">
        <w:tc>
          <w:tcPr>
            <w:tcW w:w="4962" w:type="dxa"/>
          </w:tcPr>
          <w:p w14:paraId="4B0D3230" w14:textId="6DE6E9F1" w:rsidR="00EB7F5D" w:rsidRPr="00121BD2" w:rsidRDefault="00EB7F5D" w:rsidP="00121BD2">
            <w:pPr>
              <w:pStyle w:val="NoSpacing"/>
              <w:spacing w:line="276" w:lineRule="auto"/>
              <w:rPr>
                <w:b/>
                <w:bCs/>
                <w:i/>
                <w:iCs/>
                <w:sz w:val="22"/>
                <w:szCs w:val="22"/>
              </w:rPr>
            </w:pPr>
          </w:p>
        </w:tc>
        <w:tc>
          <w:tcPr>
            <w:tcW w:w="567" w:type="dxa"/>
          </w:tcPr>
          <w:p w14:paraId="544B4B88" w14:textId="77777777" w:rsidR="00EB7F5D" w:rsidRPr="00121BD2" w:rsidRDefault="00EB7F5D" w:rsidP="00121BD2">
            <w:pPr>
              <w:pStyle w:val="NoSpacing"/>
              <w:spacing w:line="276" w:lineRule="auto"/>
              <w:rPr>
                <w:i/>
                <w:iCs/>
                <w:sz w:val="22"/>
                <w:szCs w:val="22"/>
              </w:rPr>
            </w:pPr>
          </w:p>
        </w:tc>
        <w:tc>
          <w:tcPr>
            <w:tcW w:w="4819" w:type="dxa"/>
          </w:tcPr>
          <w:p w14:paraId="679D870E" w14:textId="77777777" w:rsidR="00EB7F5D" w:rsidRPr="00121BD2" w:rsidRDefault="00EB7F5D" w:rsidP="00121BD2">
            <w:pPr>
              <w:pStyle w:val="NoSpacing"/>
              <w:spacing w:line="276" w:lineRule="auto"/>
              <w:rPr>
                <w:i/>
                <w:iCs/>
                <w:sz w:val="22"/>
                <w:szCs w:val="22"/>
              </w:rPr>
            </w:pPr>
          </w:p>
        </w:tc>
      </w:tr>
      <w:tr w:rsidR="00EB7F5D" w14:paraId="1EC9375D" w14:textId="77777777" w:rsidTr="00EB7F5D">
        <w:tc>
          <w:tcPr>
            <w:tcW w:w="4962" w:type="dxa"/>
          </w:tcPr>
          <w:p w14:paraId="09CBC297" w14:textId="77777777" w:rsidR="00EB7F5D" w:rsidRDefault="00EB7F5D" w:rsidP="00C179DD">
            <w:pPr>
              <w:pStyle w:val="NoSpacing"/>
              <w:rPr>
                <w:b/>
                <w:bCs/>
                <w:i/>
                <w:iCs/>
                <w:sz w:val="22"/>
                <w:szCs w:val="22"/>
              </w:rPr>
            </w:pPr>
          </w:p>
        </w:tc>
        <w:tc>
          <w:tcPr>
            <w:tcW w:w="567" w:type="dxa"/>
          </w:tcPr>
          <w:p w14:paraId="68F4C856" w14:textId="77777777" w:rsidR="00EB7F5D" w:rsidRPr="00017016" w:rsidRDefault="00EB7F5D" w:rsidP="00C179DD">
            <w:pPr>
              <w:pStyle w:val="NoSpacing"/>
              <w:rPr>
                <w:i/>
                <w:iCs/>
                <w:sz w:val="22"/>
                <w:szCs w:val="22"/>
              </w:rPr>
            </w:pPr>
          </w:p>
        </w:tc>
        <w:tc>
          <w:tcPr>
            <w:tcW w:w="4819" w:type="dxa"/>
          </w:tcPr>
          <w:p w14:paraId="11B66EE6" w14:textId="77777777" w:rsidR="00EB7F5D" w:rsidRPr="00017016" w:rsidRDefault="00EB7F5D" w:rsidP="00C179DD">
            <w:pPr>
              <w:pStyle w:val="NoSpacing"/>
              <w:rPr>
                <w:i/>
                <w:iCs/>
                <w:sz w:val="22"/>
                <w:szCs w:val="22"/>
              </w:rPr>
            </w:pPr>
          </w:p>
        </w:tc>
      </w:tr>
    </w:tbl>
    <w:p w14:paraId="191EC618" w14:textId="77777777" w:rsidR="00944B01" w:rsidRDefault="00944B01" w:rsidP="002924BE">
      <w:pPr>
        <w:rPr>
          <w:b/>
          <w:bCs/>
          <w:i/>
          <w:iCs/>
          <w:sz w:val="28"/>
          <w:szCs w:val="28"/>
          <w:u w:val="single"/>
        </w:rPr>
      </w:pPr>
    </w:p>
    <w:sectPr w:rsidR="00944B01" w:rsidSect="006213EB">
      <w:headerReference w:type="even" r:id="rId6"/>
      <w:headerReference w:type="default" r:id="rId7"/>
      <w:footerReference w:type="even" r:id="rId8"/>
      <w:footerReference w:type="default" r:id="rId9"/>
      <w:headerReference w:type="first" r:id="rId10"/>
      <w:footerReference w:type="firs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591F" w14:textId="77777777" w:rsidR="00BF7E08" w:rsidRDefault="00BF7E08" w:rsidP="00476CEB">
      <w:pPr>
        <w:spacing w:before="0" w:after="0" w:line="240" w:lineRule="auto"/>
      </w:pPr>
      <w:r>
        <w:separator/>
      </w:r>
    </w:p>
  </w:endnote>
  <w:endnote w:type="continuationSeparator" w:id="0">
    <w:p w14:paraId="564F5BB5" w14:textId="77777777" w:rsidR="00BF7E08" w:rsidRDefault="00BF7E08" w:rsidP="00476C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112D" w14:textId="77777777" w:rsidR="0047556E" w:rsidRDefault="00475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1AC8" w14:textId="77777777" w:rsidR="0047556E" w:rsidRDefault="0047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D6B" w14:textId="77777777" w:rsidR="0047556E" w:rsidRDefault="00475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3B8C" w14:textId="77777777" w:rsidR="00BF7E08" w:rsidRDefault="00BF7E08" w:rsidP="00476CEB">
      <w:pPr>
        <w:spacing w:before="0" w:after="0" w:line="240" w:lineRule="auto"/>
      </w:pPr>
      <w:r>
        <w:separator/>
      </w:r>
    </w:p>
  </w:footnote>
  <w:footnote w:type="continuationSeparator" w:id="0">
    <w:p w14:paraId="0D1E03FB" w14:textId="77777777" w:rsidR="00BF7E08" w:rsidRDefault="00BF7E08" w:rsidP="00476C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F1E2" w14:textId="77777777" w:rsidR="0047556E" w:rsidRDefault="00475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4F15" w14:textId="77777777" w:rsidR="00F910B8" w:rsidRDefault="00476CEB">
    <w:pPr>
      <w:pStyle w:val="Header"/>
      <w:rPr>
        <w:b/>
        <w:bCs/>
        <w:i/>
        <w:iCs/>
        <w:color w:val="4472C4" w:themeColor="accent1"/>
        <w:sz w:val="32"/>
        <w:szCs w:val="32"/>
      </w:rPr>
    </w:pPr>
    <w:r>
      <w:rPr>
        <w:noProof/>
      </w:rPr>
      <w:drawing>
        <wp:anchor distT="0" distB="0" distL="114300" distR="114300" simplePos="0" relativeHeight="251659264" behindDoc="0" locked="0" layoutInCell="1" allowOverlap="1" wp14:anchorId="2CE22D3E" wp14:editId="0353FEFB">
          <wp:simplePos x="0" y="0"/>
          <wp:positionH relativeFrom="margin">
            <wp:posOffset>4653886</wp:posOffset>
          </wp:positionH>
          <wp:positionV relativeFrom="paragraph">
            <wp:posOffset>-279618</wp:posOffset>
          </wp:positionV>
          <wp:extent cx="1670149" cy="455371"/>
          <wp:effectExtent l="0" t="0" r="6350" b="1905"/>
          <wp:wrapNone/>
          <wp:docPr id="3" name="Picture 3" descr="University of Aberdeen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Aberdeen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918" cy="457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CEB">
      <w:rPr>
        <w:b/>
        <w:bCs/>
        <w:i/>
        <w:iCs/>
        <w:color w:val="4472C4" w:themeColor="accent1"/>
        <w:sz w:val="32"/>
        <w:szCs w:val="32"/>
      </w:rPr>
      <w:t xml:space="preserve">MA </w:t>
    </w:r>
    <w:r w:rsidR="00F910B8">
      <w:rPr>
        <w:b/>
        <w:bCs/>
        <w:i/>
        <w:iCs/>
        <w:color w:val="4472C4" w:themeColor="accent1"/>
        <w:sz w:val="32"/>
        <w:szCs w:val="32"/>
      </w:rPr>
      <w:t>Education</w:t>
    </w:r>
  </w:p>
  <w:p w14:paraId="7C03D3B5" w14:textId="6F4B1234" w:rsidR="00476CEB" w:rsidRDefault="00017016">
    <w:pPr>
      <w:pStyle w:val="Header"/>
    </w:pPr>
    <w:r>
      <w:rPr>
        <w:b/>
        <w:bCs/>
        <w:i/>
        <w:iCs/>
        <w:color w:val="4472C4" w:themeColor="accent1"/>
        <w:sz w:val="32"/>
        <w:szCs w:val="32"/>
      </w:rPr>
      <w:t>Eligible courses for Go Abroad</w:t>
    </w:r>
    <w:r w:rsidR="00476CEB" w:rsidRPr="00476CEB">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E8EA" w14:textId="77777777" w:rsidR="0047556E" w:rsidRDefault="00475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1F"/>
    <w:rsid w:val="00017016"/>
    <w:rsid w:val="000B1D2E"/>
    <w:rsid w:val="00121BD2"/>
    <w:rsid w:val="001229B0"/>
    <w:rsid w:val="001574C1"/>
    <w:rsid w:val="00164303"/>
    <w:rsid w:val="001F1A89"/>
    <w:rsid w:val="00215B9D"/>
    <w:rsid w:val="00270788"/>
    <w:rsid w:val="002924BE"/>
    <w:rsid w:val="002C685C"/>
    <w:rsid w:val="00303E1B"/>
    <w:rsid w:val="003A5B9C"/>
    <w:rsid w:val="003B4A0A"/>
    <w:rsid w:val="003C00DF"/>
    <w:rsid w:val="003E7A6F"/>
    <w:rsid w:val="003F3B58"/>
    <w:rsid w:val="0042676F"/>
    <w:rsid w:val="004408BE"/>
    <w:rsid w:val="0045717F"/>
    <w:rsid w:val="0047556E"/>
    <w:rsid w:val="00476CEB"/>
    <w:rsid w:val="00495AA6"/>
    <w:rsid w:val="004A7F16"/>
    <w:rsid w:val="004D7DB6"/>
    <w:rsid w:val="00517FB7"/>
    <w:rsid w:val="00576111"/>
    <w:rsid w:val="00577F81"/>
    <w:rsid w:val="005C36C4"/>
    <w:rsid w:val="005E3A40"/>
    <w:rsid w:val="00605081"/>
    <w:rsid w:val="006213EB"/>
    <w:rsid w:val="00667986"/>
    <w:rsid w:val="00681D47"/>
    <w:rsid w:val="00684ECF"/>
    <w:rsid w:val="006861FC"/>
    <w:rsid w:val="006B17FB"/>
    <w:rsid w:val="006E5353"/>
    <w:rsid w:val="00717FFA"/>
    <w:rsid w:val="007636DD"/>
    <w:rsid w:val="00764956"/>
    <w:rsid w:val="00780081"/>
    <w:rsid w:val="00825BCE"/>
    <w:rsid w:val="0084661F"/>
    <w:rsid w:val="00887143"/>
    <w:rsid w:val="008B499A"/>
    <w:rsid w:val="008C6B83"/>
    <w:rsid w:val="009124B6"/>
    <w:rsid w:val="00923BDF"/>
    <w:rsid w:val="00944B01"/>
    <w:rsid w:val="00973C05"/>
    <w:rsid w:val="009867F6"/>
    <w:rsid w:val="00996718"/>
    <w:rsid w:val="00A23397"/>
    <w:rsid w:val="00A27B26"/>
    <w:rsid w:val="00A32566"/>
    <w:rsid w:val="00A32AFF"/>
    <w:rsid w:val="00A75457"/>
    <w:rsid w:val="00AE098E"/>
    <w:rsid w:val="00AE5BC1"/>
    <w:rsid w:val="00B11F88"/>
    <w:rsid w:val="00B4708C"/>
    <w:rsid w:val="00B52BBF"/>
    <w:rsid w:val="00BB1CD3"/>
    <w:rsid w:val="00BD4E32"/>
    <w:rsid w:val="00BD5D37"/>
    <w:rsid w:val="00BF7E08"/>
    <w:rsid w:val="00C179DD"/>
    <w:rsid w:val="00C2745D"/>
    <w:rsid w:val="00C80DE4"/>
    <w:rsid w:val="00CE3B89"/>
    <w:rsid w:val="00D2244A"/>
    <w:rsid w:val="00D375B9"/>
    <w:rsid w:val="00D70983"/>
    <w:rsid w:val="00D75219"/>
    <w:rsid w:val="00D92F36"/>
    <w:rsid w:val="00DA1A6B"/>
    <w:rsid w:val="00E51499"/>
    <w:rsid w:val="00E52BDC"/>
    <w:rsid w:val="00EA4B80"/>
    <w:rsid w:val="00EB2CD5"/>
    <w:rsid w:val="00EB7A63"/>
    <w:rsid w:val="00EB7F5D"/>
    <w:rsid w:val="00EC75C5"/>
    <w:rsid w:val="00EC767F"/>
    <w:rsid w:val="00ED5B3A"/>
    <w:rsid w:val="00ED7826"/>
    <w:rsid w:val="00F910B8"/>
    <w:rsid w:val="00F956D0"/>
    <w:rsid w:val="00FA73AA"/>
    <w:rsid w:val="00FD16C2"/>
    <w:rsid w:val="00FD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62CA"/>
  <w15:chartTrackingRefBased/>
  <w15:docId w15:val="{9348DDBD-747D-41F1-8358-A4590C57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1F"/>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8466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eastAsia="Times New Roman"/>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4661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rFonts w:eastAsia="Times New Roman"/>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1F"/>
    <w:rPr>
      <w:rFonts w:eastAsia="Times New Roman"/>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84661F"/>
    <w:rPr>
      <w:rFonts w:eastAsia="Times New Roman"/>
      <w:caps/>
      <w:spacing w:val="15"/>
      <w:sz w:val="20"/>
      <w:szCs w:val="20"/>
      <w:shd w:val="clear" w:color="auto" w:fill="D9E2F3" w:themeFill="accent1" w:themeFillTint="33"/>
    </w:rPr>
  </w:style>
  <w:style w:type="table" w:styleId="TableGrid">
    <w:name w:val="Table Grid"/>
    <w:basedOn w:val="TableNormal"/>
    <w:uiPriority w:val="39"/>
    <w:rsid w:val="0084661F"/>
    <w:pPr>
      <w:spacing w:after="0" w:line="240" w:lineRule="auto"/>
    </w:pPr>
    <w:rPr>
      <w:rFonts w:cstheme="minorHAnsi"/>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6CE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76CEB"/>
    <w:rPr>
      <w:rFonts w:eastAsiaTheme="minorEastAsia"/>
      <w:sz w:val="20"/>
      <w:szCs w:val="20"/>
    </w:rPr>
  </w:style>
  <w:style w:type="paragraph" w:styleId="Footer">
    <w:name w:val="footer"/>
    <w:basedOn w:val="Normal"/>
    <w:link w:val="FooterChar"/>
    <w:uiPriority w:val="99"/>
    <w:unhideWhenUsed/>
    <w:rsid w:val="00476CE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76CEB"/>
    <w:rPr>
      <w:rFonts w:eastAsiaTheme="minorEastAsia"/>
      <w:sz w:val="20"/>
      <w:szCs w:val="20"/>
    </w:rPr>
  </w:style>
  <w:style w:type="paragraph" w:styleId="NoSpacing">
    <w:name w:val="No Spacing"/>
    <w:uiPriority w:val="1"/>
    <w:qFormat/>
    <w:rsid w:val="00F910B8"/>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Mcfarlane</dc:creator>
  <cp:keywords/>
  <dc:description/>
  <cp:lastModifiedBy>Stewart, Gordon</cp:lastModifiedBy>
  <cp:revision>4</cp:revision>
  <cp:lastPrinted>2023-06-08T13:57:00Z</cp:lastPrinted>
  <dcterms:created xsi:type="dcterms:W3CDTF">2025-05-28T13:01:00Z</dcterms:created>
  <dcterms:modified xsi:type="dcterms:W3CDTF">2025-09-02T14:56:00Z</dcterms:modified>
</cp:coreProperties>
</file>