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4402" w:rsidP="00F24402" w:rsidRDefault="00F24402" w14:paraId="1F19F58A" w14:textId="77777777">
      <w:pPr>
        <w:jc w:val="center"/>
      </w:pPr>
      <w:r>
        <w:t>UNIVERSITY OF ABERDEEN</w:t>
      </w:r>
    </w:p>
    <w:p w:rsidR="00F24402" w:rsidP="00F24402" w:rsidRDefault="00F24402" w14:paraId="41ED67B4" w14:textId="77777777">
      <w:pPr>
        <w:jc w:val="center"/>
      </w:pPr>
      <w:r>
        <w:t>QUALITY ASSURANCE COMMITTEE</w:t>
      </w:r>
    </w:p>
    <w:p w:rsidR="00F24402" w:rsidP="00F24402" w:rsidRDefault="00F24402" w14:paraId="4BB0438D" w14:textId="77777777">
      <w:pPr>
        <w:jc w:val="center"/>
      </w:pPr>
    </w:p>
    <w:p w:rsidR="00F24402" w:rsidP="00F24402" w:rsidRDefault="00F24402" w14:paraId="441C45EC" w14:textId="77777777">
      <w:pPr>
        <w:jc w:val="center"/>
      </w:pPr>
      <w:r>
        <w:rPr>
          <w:b/>
          <w:bCs/>
        </w:rPr>
        <w:t>SUMMARY OF UNDERGRADUATE ANNUAL PROGRAMME REVIEW REPORTS</w:t>
      </w:r>
      <w:r>
        <w:rPr>
          <w:rStyle w:val="FootnoteReference"/>
          <w:b/>
          <w:bCs/>
        </w:rPr>
        <w:footnoteReference w:id="1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24402" w:rsidTr="00F81499" w14:paraId="17BC9511" w14:textId="77777777">
        <w:trPr>
          <w:trHeight w:val="313"/>
        </w:trPr>
        <w:tc>
          <w:tcPr>
            <w:tcW w:w="3114" w:type="dxa"/>
          </w:tcPr>
          <w:p w:rsidR="00F24402" w:rsidP="00F81499" w:rsidRDefault="00F24402" w14:paraId="0BB35670" w14:textId="77777777">
            <w:r>
              <w:t>School Reviewed:</w:t>
            </w:r>
          </w:p>
        </w:tc>
        <w:tc>
          <w:tcPr>
            <w:tcW w:w="5902" w:type="dxa"/>
          </w:tcPr>
          <w:p w:rsidR="00F24402" w:rsidP="00F81499" w:rsidRDefault="00F24402" w14:paraId="7A07C925" w14:textId="708961FD">
            <w:r>
              <w:t>Education</w:t>
            </w:r>
          </w:p>
        </w:tc>
      </w:tr>
      <w:tr w:rsidR="00F24402" w:rsidTr="00F81499" w14:paraId="30FF4692" w14:textId="77777777">
        <w:tc>
          <w:tcPr>
            <w:tcW w:w="3114" w:type="dxa"/>
          </w:tcPr>
          <w:p w:rsidR="00F24402" w:rsidP="00F81499" w:rsidRDefault="00F24402" w14:paraId="38AF7422" w14:textId="77777777">
            <w:r>
              <w:t>Academic Year Reviewed:</w:t>
            </w:r>
          </w:p>
        </w:tc>
        <w:tc>
          <w:tcPr>
            <w:tcW w:w="5902" w:type="dxa"/>
          </w:tcPr>
          <w:p w:rsidR="00F24402" w:rsidP="00F81499" w:rsidRDefault="00F24402" w14:paraId="3E0716B7" w14:textId="77777777">
            <w:r>
              <w:t>2023-2024</w:t>
            </w:r>
          </w:p>
        </w:tc>
      </w:tr>
      <w:tr w:rsidR="00F24402" w:rsidTr="00F81499" w14:paraId="43110749" w14:textId="77777777">
        <w:tc>
          <w:tcPr>
            <w:tcW w:w="3114" w:type="dxa"/>
          </w:tcPr>
          <w:p w:rsidR="00F24402" w:rsidP="00F81499" w:rsidRDefault="00F24402" w14:paraId="4C430B95" w14:textId="77777777">
            <w:r>
              <w:t>QAC Member:</w:t>
            </w:r>
          </w:p>
        </w:tc>
        <w:tc>
          <w:tcPr>
            <w:tcW w:w="5902" w:type="dxa"/>
          </w:tcPr>
          <w:p w:rsidR="00F24402" w:rsidP="00F81499" w:rsidRDefault="00F24402" w14:paraId="432023FA" w14:textId="1CB4C9D1">
            <w:r>
              <w:t>Isla Callander</w:t>
            </w:r>
          </w:p>
        </w:tc>
      </w:tr>
      <w:tr w:rsidR="00F24402" w:rsidTr="00F81499" w14:paraId="1F4BD8E4" w14:textId="77777777">
        <w:tc>
          <w:tcPr>
            <w:tcW w:w="3114" w:type="dxa"/>
          </w:tcPr>
          <w:p w:rsidR="00F24402" w:rsidP="00F81499" w:rsidRDefault="00F24402" w14:paraId="7F5150B6" w14:textId="77777777">
            <w:r>
              <w:t>Academic Services Contact:</w:t>
            </w:r>
          </w:p>
        </w:tc>
        <w:tc>
          <w:tcPr>
            <w:tcW w:w="5902" w:type="dxa"/>
          </w:tcPr>
          <w:p w:rsidR="00F24402" w:rsidP="00F81499" w:rsidRDefault="00F24402" w14:paraId="6D92441C" w14:textId="77777777">
            <w:r>
              <w:t>Christopher Weir</w:t>
            </w:r>
          </w:p>
        </w:tc>
      </w:tr>
    </w:tbl>
    <w:p w:rsidR="00F24402" w:rsidP="00F24402" w:rsidRDefault="00F24402" w14:paraId="3BCC59E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4402" w:rsidTr="57502134" w14:paraId="3C61C0DE" w14:textId="77777777">
        <w:tc>
          <w:tcPr>
            <w:tcW w:w="9016" w:type="dxa"/>
            <w:tcMar/>
          </w:tcPr>
          <w:p w:rsidRPr="005C1C71" w:rsidR="00F24402" w:rsidP="00F81499" w:rsidRDefault="00F24402" w14:paraId="29A1B9C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QAC Comments &amp; Recommendations</w:t>
            </w:r>
          </w:p>
        </w:tc>
      </w:tr>
      <w:tr w:rsidR="00F24402" w:rsidTr="57502134" w14:paraId="5319AEB9" w14:textId="77777777">
        <w:tc>
          <w:tcPr>
            <w:tcW w:w="9016" w:type="dxa"/>
            <w:tcMar/>
          </w:tcPr>
          <w:p w:rsidR="00F24402" w:rsidP="00F81499" w:rsidRDefault="00F24402" w14:paraId="0D30E4DC" w14:textId="77777777">
            <w:r>
              <w:t>Overall, QAC thanks the School of Education for their Annual Programme Reviews and is pleased to see positive progress is being made in several areas.</w:t>
            </w:r>
          </w:p>
          <w:p w:rsidR="00F24402" w:rsidP="00F81499" w:rsidRDefault="00F24402" w14:paraId="4960535E" w14:textId="1FBEA85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  <w:rPr/>
            </w:pPr>
            <w:r w:rsidR="00F24402">
              <w:rPr/>
              <w:t xml:space="preserve">The Committee is pleased to note that pass rates </w:t>
            </w:r>
            <w:r w:rsidR="00F24402">
              <w:rPr/>
              <w:t>remain</w:t>
            </w:r>
            <w:r w:rsidR="00F24402">
              <w:rPr/>
              <w:t xml:space="preserve"> consistent</w:t>
            </w:r>
            <w:r w:rsidR="16D19A84">
              <w:rPr/>
              <w:t xml:space="preserve"> across all programmes</w:t>
            </w:r>
            <w:r w:rsidR="00F24402">
              <w:rPr/>
              <w:t xml:space="preserve">. </w:t>
            </w:r>
          </w:p>
          <w:p w:rsidR="00F24402" w:rsidP="00F81499" w:rsidRDefault="00F24402" w14:paraId="26137669" w14:textId="7777777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</w:pPr>
            <w:r>
              <w:t>QAC also commends the TQFE programme for a 100% pass rate after reassessment.</w:t>
            </w:r>
          </w:p>
          <w:p w:rsidR="00F24402" w:rsidP="00F81499" w:rsidRDefault="00504D60" w14:paraId="789EE370" w14:textId="7777777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</w:pPr>
            <w:r>
              <w:t>QAC is pleased to note that all programmes meet subject benchmarks statements.</w:t>
            </w:r>
          </w:p>
          <w:p w:rsidR="00504D60" w:rsidP="00F81499" w:rsidRDefault="00F703B9" w14:paraId="6CFF3436" w14:textId="7777777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</w:pPr>
            <w:r>
              <w:t>The Committee commends MA Education for achieving 1</w:t>
            </w:r>
            <w:r w:rsidRPr="00F703B9">
              <w:rPr>
                <w:vertAlign w:val="superscript"/>
              </w:rPr>
              <w:t>st</w:t>
            </w:r>
            <w:r>
              <w:t xml:space="preserve"> place in Scotland and 8</w:t>
            </w:r>
            <w:r w:rsidRPr="00F703B9">
              <w:rPr>
                <w:vertAlign w:val="superscript"/>
              </w:rPr>
              <w:t>th</w:t>
            </w:r>
            <w:r>
              <w:t xml:space="preserve"> in the UK for the 2024 NSS survey. The Committee also commends BA Childhood Practice for achieving a high NSS grade.</w:t>
            </w:r>
          </w:p>
          <w:p w:rsidR="006B456F" w:rsidP="00F81499" w:rsidRDefault="006B456F" w14:paraId="25C77258" w14:textId="33A18C0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</w:pPr>
            <w:r>
              <w:t>The Committee is also pleased to note that the TQFE programme has retained its 1</w:t>
            </w:r>
            <w:r w:rsidRPr="006B456F">
              <w:rPr>
                <w:vertAlign w:val="superscript"/>
              </w:rPr>
              <w:t>st</w:t>
            </w:r>
            <w:r>
              <w:t xml:space="preserve"> place rank in Scotland for the APUC tendering exercise.</w:t>
            </w:r>
          </w:p>
          <w:p w:rsidR="00F703B9" w:rsidP="00F81499" w:rsidRDefault="00F703B9" w14:paraId="3840DB88" w14:textId="54DC37B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</w:pPr>
            <w:r>
              <w:t xml:space="preserve">QAC notes that, across all </w:t>
            </w:r>
            <w:proofErr w:type="gramStart"/>
            <w:r>
              <w:t>programmes</w:t>
            </w:r>
            <w:proofErr w:type="gramEnd"/>
            <w:r>
              <w:t xml:space="preserve">, teaching provision is considered excellent according to CFF and EE reports. </w:t>
            </w:r>
          </w:p>
          <w:p w:rsidR="00F703B9" w:rsidP="00F81499" w:rsidRDefault="00F53A39" w14:paraId="3951165D" w14:textId="0A33FE1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  <w:rPr/>
            </w:pPr>
            <w:r w:rsidR="00F53A39">
              <w:rPr/>
              <w:t xml:space="preserve">QAC notes that the CFF </w:t>
            </w:r>
            <w:r w:rsidR="3A955DF6">
              <w:rPr/>
              <w:t>forms</w:t>
            </w:r>
            <w:r w:rsidR="00F53A39">
              <w:rPr/>
              <w:t xml:space="preserve"> </w:t>
            </w:r>
            <w:r w:rsidR="00F53A39">
              <w:rPr/>
              <w:t>for PGDE Seco</w:t>
            </w:r>
            <w:r w:rsidR="00F53A39">
              <w:rPr/>
              <w:t xml:space="preserve">ndary </w:t>
            </w:r>
            <w:r w:rsidR="00F53A39">
              <w:rPr/>
              <w:t>indicate</w:t>
            </w:r>
            <w:r w:rsidR="00F53A39">
              <w:rPr/>
              <w:t xml:space="preserve"> that the changes made to </w:t>
            </w:r>
            <w:r w:rsidR="00F53A39">
              <w:rPr/>
              <w:t>lecture</w:t>
            </w:r>
            <w:r w:rsidR="00F53A39">
              <w:rPr/>
              <w:t xml:space="preserve"> and tutorial structure were successful in their attempt to broaden the range of live taught content.</w:t>
            </w:r>
          </w:p>
          <w:p w:rsidR="00F53A39" w:rsidP="00F81499" w:rsidRDefault="00F53A39" w14:paraId="5B495AA3" w14:textId="0503E78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  <w:rPr/>
            </w:pPr>
            <w:r w:rsidR="00F53A39">
              <w:rPr/>
              <w:t>The Committee also notes that the</w:t>
            </w:r>
            <w:r w:rsidR="0B44CF3C">
              <w:rPr/>
              <w:t xml:space="preserve"> newly implemented</w:t>
            </w:r>
            <w:r w:rsidR="00F53A39">
              <w:rPr/>
              <w:t xml:space="preserve"> digital story assignment in the TQFE programme has been positively commented on by both students and External Examiners.</w:t>
            </w:r>
          </w:p>
          <w:p w:rsidR="00F53A39" w:rsidP="00F81499" w:rsidRDefault="00F53A39" w14:paraId="61E53127" w14:textId="7777777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</w:pPr>
            <w:r>
              <w:t>QAC notes that BA Childhood Practice reintroduced campus visits and events to allow more students opportunities to visit the University.</w:t>
            </w:r>
          </w:p>
          <w:p w:rsidR="00F53A39" w:rsidP="00F81499" w:rsidRDefault="00F53A39" w14:paraId="659CB15C" w14:textId="13F2366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</w:pPr>
            <w:r>
              <w:t xml:space="preserve">The Committee also notes that the MA Education programme went to great lengths </w:t>
            </w:r>
            <w:r w:rsidR="006B456F">
              <w:t>to</w:t>
            </w:r>
            <w:r>
              <w:t xml:space="preserve"> create a sense of community amongst their students with hoodies, pizza lunches, coffee and cake feedback sessions and more. </w:t>
            </w:r>
          </w:p>
          <w:p w:rsidR="00F53A39" w:rsidP="00F81499" w:rsidRDefault="00F53A39" w14:paraId="18088BD0" w14:textId="7777777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</w:pPr>
            <w:r>
              <w:t xml:space="preserve">QAC recognises the efforts made across all programmes regarding EDI and Decolonisation, including programme development as part of the Anti-Racism within Initial Teacher Education framework and MA Educations’ piloting of 3 courses that aim to diversify course reading. </w:t>
            </w:r>
          </w:p>
          <w:p w:rsidR="00F53A39" w:rsidP="00F81499" w:rsidRDefault="006819B7" w14:paraId="2F4F58E1" w14:textId="3941CDA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  <w:rPr/>
            </w:pPr>
            <w:r w:rsidR="006819B7">
              <w:rPr/>
              <w:t xml:space="preserve">QAC notes the </w:t>
            </w:r>
            <w:r w:rsidR="006819B7">
              <w:rPr/>
              <w:t>School</w:t>
            </w:r>
            <w:r w:rsidR="0A18A19A">
              <w:rPr/>
              <w:t>’</w:t>
            </w:r>
            <w:r w:rsidR="006819B7">
              <w:rPr/>
              <w:t>s</w:t>
            </w:r>
            <w:r w:rsidR="006819B7">
              <w:rPr/>
              <w:t xml:space="preserve"> concerns </w:t>
            </w:r>
            <w:r w:rsidR="006819B7">
              <w:rPr/>
              <w:t>regarding</w:t>
            </w:r>
            <w:r w:rsidR="006819B7">
              <w:rPr/>
              <w:t xml:space="preserve"> the continued increase in students reporting mental health issues, as well as the rise in students suspending studies for similar reasons. The Committee encourages the </w:t>
            </w:r>
            <w:r w:rsidR="006819B7">
              <w:rPr/>
              <w:t>School</w:t>
            </w:r>
            <w:r w:rsidR="006819B7">
              <w:rPr/>
              <w:t xml:space="preserve"> to continue to liaise with Student Support and continue the work they have already been undertaking </w:t>
            </w:r>
            <w:r w:rsidR="16A0F9AA">
              <w:rPr/>
              <w:t>to</w:t>
            </w:r>
            <w:r w:rsidR="006819B7">
              <w:rPr/>
              <w:t xml:space="preserve"> tackle this issue. </w:t>
            </w:r>
          </w:p>
          <w:p w:rsidR="006B456F" w:rsidP="006B456F" w:rsidRDefault="006819B7" w14:paraId="48624A25" w14:textId="09D03B8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</w:pPr>
            <w:r>
              <w:t xml:space="preserve">The Committee also notes that the expansion of Early Years provision has placed pressure on many students within BA Childhood Practice, also leading to an increase in extensions </w:t>
            </w:r>
            <w:r>
              <w:lastRenderedPageBreak/>
              <w:t xml:space="preserve">and breaks. </w:t>
            </w:r>
            <w:r w:rsidR="006B456F">
              <w:t>Again,</w:t>
            </w:r>
            <w:r>
              <w:t xml:space="preserve"> the Committee would encourage liaising with Student Support in this regard. </w:t>
            </w:r>
          </w:p>
          <w:p w:rsidR="006819B7" w:rsidP="00F81499" w:rsidRDefault="006819B7" w14:paraId="3CDD53C6" w14:textId="7777777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</w:pPr>
            <w:r>
              <w:t xml:space="preserve">The Committee notes that students in the MA Education programme experienced difficulties with assessment timelines after placements.  </w:t>
            </w:r>
          </w:p>
          <w:p w:rsidR="006B456F" w:rsidP="006B456F" w:rsidRDefault="006B456F" w14:paraId="63A37706" w14:textId="2A966A1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both"/>
              <w:rPr/>
            </w:pPr>
            <w:r w:rsidR="006B456F">
              <w:rPr/>
              <w:t xml:space="preserve">QAC notes the concerns raised by the PGDE Primary programme </w:t>
            </w:r>
            <w:r w:rsidR="006B456F">
              <w:rPr/>
              <w:t>regarding</w:t>
            </w:r>
            <w:r w:rsidR="006B456F">
              <w:rPr/>
              <w:t xml:space="preserve"> a</w:t>
            </w:r>
            <w:r w:rsidR="272AC621">
              <w:rPr/>
              <w:t xml:space="preserve"> nationally</w:t>
            </w:r>
            <w:r w:rsidR="006B456F">
              <w:rPr/>
              <w:t xml:space="preserve"> lowering </w:t>
            </w:r>
            <w:r w:rsidR="4E60924D">
              <w:rPr/>
              <w:t>student uptake rate</w:t>
            </w:r>
            <w:r w:rsidR="006B456F">
              <w:rPr/>
              <w:t xml:space="preserve">. The Committee agrees with the </w:t>
            </w:r>
            <w:r w:rsidR="006B456F">
              <w:rPr/>
              <w:t>School’s</w:t>
            </w:r>
            <w:r w:rsidR="006B456F">
              <w:rPr/>
              <w:t xml:space="preserve"> strategy to utilise social media and other media outlets.</w:t>
            </w:r>
          </w:p>
          <w:p w:rsidR="006B456F" w:rsidP="57502134" w:rsidRDefault="006B456F" w14:paraId="2E839B20" w14:textId="111F075F">
            <w:pPr>
              <w:pStyle w:val="Normal"/>
              <w:spacing w:line="240" w:lineRule="auto"/>
              <w:ind/>
              <w:jc w:val="both"/>
            </w:pPr>
          </w:p>
          <w:p w:rsidR="006B456F" w:rsidP="57502134" w:rsidRDefault="006B456F" w14:paraId="5B650FE1" w14:textId="0A1E298A">
            <w:pPr>
              <w:spacing w:line="240" w:lineRule="auto"/>
              <w:ind/>
              <w:jc w:val="both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57502134" w:rsidR="4144EFED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Committee is pleased to see progress being made on a number of fronts and looks forward to seeing further progress in next year’s submission. </w:t>
            </w:r>
          </w:p>
          <w:p w:rsidR="006B456F" w:rsidP="57502134" w:rsidRDefault="006B456F" w14:paraId="27C88817" w14:textId="13FBFAD9">
            <w:pPr>
              <w:pStyle w:val="Normal"/>
              <w:spacing w:line="240" w:lineRule="auto"/>
              <w:ind/>
              <w:jc w:val="both"/>
            </w:pPr>
          </w:p>
        </w:tc>
      </w:tr>
    </w:tbl>
    <w:p w:rsidR="00F24402" w:rsidP="00F24402" w:rsidRDefault="00F24402" w14:paraId="1B50DD47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2"/>
        <w:gridCol w:w="4951"/>
        <w:gridCol w:w="734"/>
        <w:gridCol w:w="1929"/>
      </w:tblGrid>
      <w:tr w:rsidR="00F24402" w:rsidTr="08B8C965" w14:paraId="08D33599" w14:textId="77777777">
        <w:tc>
          <w:tcPr>
            <w:tcW w:w="1413" w:type="dxa"/>
            <w:tcMar/>
          </w:tcPr>
          <w:p w:rsidR="00F24402" w:rsidP="00F81499" w:rsidRDefault="00F24402" w14:paraId="0845C01E" w14:textId="77777777">
            <w:r>
              <w:t>Signed:</w:t>
            </w:r>
          </w:p>
        </w:tc>
        <w:tc>
          <w:tcPr>
            <w:tcW w:w="4961" w:type="dxa"/>
            <w:tcMar/>
          </w:tcPr>
          <w:p w:rsidRPr="00A061B7" w:rsidR="00F24402" w:rsidP="08B8C965" w:rsidRDefault="00F24402" w14:paraId="76E7F1C6" w14:textId="5480CE89">
            <w:pPr>
              <w:rPr>
                <w:i w:val="1"/>
                <w:iCs w:val="1"/>
              </w:rPr>
            </w:pPr>
            <w:r w:rsidRPr="08B8C965" w:rsidR="61A304C5">
              <w:rPr>
                <w:i w:val="1"/>
                <w:iCs w:val="1"/>
              </w:rPr>
              <w:t>ISLA CALLANDER</w:t>
            </w:r>
          </w:p>
        </w:tc>
        <w:tc>
          <w:tcPr>
            <w:tcW w:w="709" w:type="dxa"/>
            <w:tcMar/>
          </w:tcPr>
          <w:p w:rsidR="00F24402" w:rsidP="00F81499" w:rsidRDefault="00F24402" w14:paraId="3B331F95" w14:textId="77777777">
            <w:r>
              <w:t>Date:</w:t>
            </w:r>
          </w:p>
        </w:tc>
        <w:tc>
          <w:tcPr>
            <w:tcW w:w="1933" w:type="dxa"/>
            <w:tcMar/>
          </w:tcPr>
          <w:p w:rsidR="00F24402" w:rsidP="00F81499" w:rsidRDefault="00F24402" w14:paraId="334F6B46" w14:textId="2CB988E8">
            <w:r w:rsidR="3CFC0776">
              <w:rPr/>
              <w:t>8 NOV</w:t>
            </w:r>
          </w:p>
        </w:tc>
      </w:tr>
      <w:tr w:rsidR="00F24402" w:rsidTr="08B8C965" w14:paraId="5DE3611F" w14:textId="77777777">
        <w:tc>
          <w:tcPr>
            <w:tcW w:w="1413" w:type="dxa"/>
            <w:tcMar/>
          </w:tcPr>
          <w:p w:rsidR="00F24402" w:rsidP="00F81499" w:rsidRDefault="00F24402" w14:paraId="29BBE7E7" w14:textId="77777777"/>
        </w:tc>
        <w:tc>
          <w:tcPr>
            <w:tcW w:w="7603" w:type="dxa"/>
            <w:gridSpan w:val="3"/>
            <w:tcMar/>
          </w:tcPr>
          <w:p w:rsidR="00F24402" w:rsidP="00F81499" w:rsidRDefault="00F24402" w14:paraId="28BC6109" w14:textId="0C5B004F">
            <w:r>
              <w:rPr>
                <w:i/>
                <w:iCs/>
              </w:rPr>
              <w:t xml:space="preserve">QAC Representative from the School of </w:t>
            </w:r>
            <w:r w:rsidR="00F703B9">
              <w:rPr>
                <w:i/>
                <w:iCs/>
              </w:rPr>
              <w:t>Law</w:t>
            </w:r>
          </w:p>
        </w:tc>
      </w:tr>
    </w:tbl>
    <w:p w:rsidR="00825B90" w:rsidRDefault="00825B90" w14:paraId="360ACB40" w14:textId="77777777"/>
    <w:sectPr w:rsidR="00825B9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30EE" w:rsidP="00F24402" w:rsidRDefault="004F30EE" w14:paraId="4C72CD77" w14:textId="77777777">
      <w:pPr>
        <w:spacing w:after="0" w:line="240" w:lineRule="auto"/>
      </w:pPr>
      <w:r>
        <w:separator/>
      </w:r>
    </w:p>
  </w:endnote>
  <w:endnote w:type="continuationSeparator" w:id="0">
    <w:p w:rsidR="004F30EE" w:rsidP="00F24402" w:rsidRDefault="004F30EE" w14:paraId="3E1B27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30EE" w:rsidP="00F24402" w:rsidRDefault="004F30EE" w14:paraId="48AFBB09" w14:textId="77777777">
      <w:pPr>
        <w:spacing w:after="0" w:line="240" w:lineRule="auto"/>
      </w:pPr>
      <w:r>
        <w:separator/>
      </w:r>
    </w:p>
  </w:footnote>
  <w:footnote w:type="continuationSeparator" w:id="0">
    <w:p w:rsidR="004F30EE" w:rsidP="00F24402" w:rsidRDefault="004F30EE" w14:paraId="601EEEF8" w14:textId="77777777">
      <w:pPr>
        <w:spacing w:after="0" w:line="240" w:lineRule="auto"/>
      </w:pPr>
      <w:r>
        <w:continuationSeparator/>
      </w:r>
    </w:p>
  </w:footnote>
  <w:footnote w:id="1">
    <w:p w:rsidR="00F24402" w:rsidP="00F24402" w:rsidRDefault="00F24402" w14:paraId="7711CDB5" w14:textId="77777777">
      <w:pPr>
        <w:pStyle w:val="FootnoteText"/>
      </w:pPr>
      <w:r w:rsidRPr="005C1C71">
        <w:rPr>
          <w:rStyle w:val="FootnoteReference"/>
          <w:sz w:val="16"/>
          <w:szCs w:val="16"/>
        </w:rPr>
        <w:footnoteRef/>
      </w:r>
      <w:r w:rsidRPr="005C1C71">
        <w:rPr>
          <w:sz w:val="16"/>
          <w:szCs w:val="16"/>
        </w:rPr>
        <w:t xml:space="preserve"> The comments and recommendations are based on the Annual Programme Review reports submitted by Schools, incorporating the Annual Course Reviews, Course Evaluation Forms, Student/Staff Liaison Committees and feedback from External Examiners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B23E1"/>
    <w:multiLevelType w:val="hybridMultilevel"/>
    <w:tmpl w:val="3336E50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336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02"/>
    <w:rsid w:val="001E1A84"/>
    <w:rsid w:val="004F30EE"/>
    <w:rsid w:val="00504D60"/>
    <w:rsid w:val="006819B7"/>
    <w:rsid w:val="006B456F"/>
    <w:rsid w:val="00825B90"/>
    <w:rsid w:val="0085609B"/>
    <w:rsid w:val="00F24402"/>
    <w:rsid w:val="00F53A39"/>
    <w:rsid w:val="00F703B9"/>
    <w:rsid w:val="08B8C965"/>
    <w:rsid w:val="0A18A19A"/>
    <w:rsid w:val="0B44CF3C"/>
    <w:rsid w:val="1498237A"/>
    <w:rsid w:val="16A0F9AA"/>
    <w:rsid w:val="16D19A84"/>
    <w:rsid w:val="24748500"/>
    <w:rsid w:val="272AC621"/>
    <w:rsid w:val="3A955DF6"/>
    <w:rsid w:val="3CFC0776"/>
    <w:rsid w:val="4144EFED"/>
    <w:rsid w:val="4E60924D"/>
    <w:rsid w:val="57502134"/>
    <w:rsid w:val="6120E997"/>
    <w:rsid w:val="61A304C5"/>
    <w:rsid w:val="67C13794"/>
    <w:rsid w:val="7F2C8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0300"/>
  <w15:chartTrackingRefBased/>
  <w15:docId w15:val="{4A60378C-087F-4940-97F6-BDDE7227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440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4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4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440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440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440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440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440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440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440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440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4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40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44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40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4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40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4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4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440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440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24402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24402"/>
    <w:rPr>
      <w:vertAlign w:val="superscript"/>
    </w:rPr>
  </w:style>
  <w:style w:type="character" w:styleId="normaltextrun" w:customStyle="true">
    <w:uiPriority w:val="1"/>
    <w:name w:val="normaltextrun"/>
    <w:basedOn w:val="DefaultParagraphFont"/>
    <w:rsid w:val="57502134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57502134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8EDE3C2C6BF4CB3CFEA438431921D" ma:contentTypeVersion="3" ma:contentTypeDescription="Create a new document." ma:contentTypeScope="" ma:versionID="3e58ee5dc3017651b557d0b880ac36c7">
  <xsd:schema xmlns:xsd="http://www.w3.org/2001/XMLSchema" xmlns:xs="http://www.w3.org/2001/XMLSchema" xmlns:p="http://schemas.microsoft.com/office/2006/metadata/properties" xmlns:ns2="5bf84ff0-c54a-4a18-aba4-04170d1c642a" targetNamespace="http://schemas.microsoft.com/office/2006/metadata/properties" ma:root="true" ma:fieldsID="d4ad48b687ab40fb32ea1fbae2db0c81" ns2:_="">
    <xsd:import namespace="5bf84ff0-c54a-4a18-aba4-04170d1c6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4ff0-c54a-4a18-aba4-04170d1c6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412218-94DC-4F2D-A487-11E47F2AD94E}"/>
</file>

<file path=customXml/itemProps2.xml><?xml version="1.0" encoding="utf-8"?>
<ds:datastoreItem xmlns:ds="http://schemas.openxmlformats.org/officeDocument/2006/customXml" ds:itemID="{ADC3704B-EB79-472E-B231-2CD6A49B0090}"/>
</file>

<file path=customXml/itemProps3.xml><?xml version="1.0" encoding="utf-8"?>
<ds:datastoreItem xmlns:ds="http://schemas.openxmlformats.org/officeDocument/2006/customXml" ds:itemID="{589656BD-94B4-4116-84DC-498568A4D2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Aberdeen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Weir, Christopher</dc:creator>
  <cp:keywords/>
  <dc:description/>
  <cp:lastModifiedBy>Callander, Isla</cp:lastModifiedBy>
  <cp:revision>3</cp:revision>
  <dcterms:created xsi:type="dcterms:W3CDTF">2024-11-05T13:52:00Z</dcterms:created>
  <dcterms:modified xsi:type="dcterms:W3CDTF">2024-11-08T13:16:48Z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0x010100B378EDE3C2C6BF4CB3CFEA438431921D</vt:lpwstr>
  </property>
</Properties>
</file>