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CDFC" w14:textId="49147612" w:rsidR="00A30AEE" w:rsidRPr="00A30AEE" w:rsidRDefault="00A30AEE" w:rsidP="00A30AEE">
      <w:pPr>
        <w:jc w:val="center"/>
        <w:rPr>
          <w:b/>
          <w:bCs/>
        </w:rPr>
      </w:pPr>
      <w:r w:rsidRPr="00A30AEE">
        <w:rPr>
          <w:b/>
          <w:bCs/>
        </w:rPr>
        <w:t>UNIVERSITY OF ABERDEEN</w:t>
      </w:r>
    </w:p>
    <w:p w14:paraId="6B25C784" w14:textId="5DE963EE" w:rsidR="00D010C4" w:rsidRPr="00A30AEE" w:rsidRDefault="00D010C4" w:rsidP="00D010C4">
      <w:pPr>
        <w:jc w:val="center"/>
        <w:rPr>
          <w:b/>
          <w:bCs/>
        </w:rPr>
      </w:pPr>
      <w:r w:rsidRPr="13220A77">
        <w:rPr>
          <w:b/>
          <w:bCs/>
        </w:rPr>
        <w:t xml:space="preserve">SPECIAL </w:t>
      </w:r>
      <w:r w:rsidR="00A30AEE" w:rsidRPr="13220A77">
        <w:rPr>
          <w:b/>
          <w:bCs/>
        </w:rPr>
        <w:t xml:space="preserve">LIGHTING </w:t>
      </w:r>
      <w:r w:rsidR="5FB28B8F" w:rsidRPr="13220A77">
        <w:rPr>
          <w:b/>
          <w:bCs/>
        </w:rPr>
        <w:t>GUIDANCE</w:t>
      </w:r>
    </w:p>
    <w:p w14:paraId="4D95E521" w14:textId="326AC35B" w:rsidR="00A30AEE" w:rsidRPr="00A30AEE" w:rsidRDefault="00A30AEE" w:rsidP="00A30AEE">
      <w:pPr>
        <w:pStyle w:val="ListParagraph"/>
        <w:numPr>
          <w:ilvl w:val="0"/>
          <w:numId w:val="3"/>
        </w:numPr>
        <w:ind w:left="567" w:hanging="567"/>
        <w:jc w:val="both"/>
        <w:rPr>
          <w:b/>
          <w:bCs/>
        </w:rPr>
      </w:pPr>
      <w:r w:rsidRPr="005F62D6">
        <w:rPr>
          <w:b/>
          <w:bCs/>
        </w:rPr>
        <w:t>INTRODUCTION</w:t>
      </w:r>
    </w:p>
    <w:p w14:paraId="645B07BD" w14:textId="3EDE144F" w:rsidR="00EB369C" w:rsidRDefault="00A30AEE">
      <w:r>
        <w:t xml:space="preserve">The </w:t>
      </w:r>
      <w:r w:rsidR="00D010C4">
        <w:t>University</w:t>
      </w:r>
      <w:r>
        <w:t xml:space="preserve"> of Aberdeen’s campus estate comprises some of the most iconic buildings in </w:t>
      </w:r>
      <w:r w:rsidR="00D010C4">
        <w:t>Scotland</w:t>
      </w:r>
      <w:r>
        <w:t xml:space="preserve">. Our </w:t>
      </w:r>
      <w:r w:rsidR="00EB369C">
        <w:t xml:space="preserve">King’s College and </w:t>
      </w:r>
      <w:proofErr w:type="spellStart"/>
      <w:r w:rsidR="00EB369C">
        <w:t>Foresterhill</w:t>
      </w:r>
      <w:proofErr w:type="spellEnd"/>
      <w:r>
        <w:t xml:space="preserve"> campuses </w:t>
      </w:r>
      <w:r w:rsidR="00EB369C">
        <w:t xml:space="preserve">contain a large and varied collection of buildings and from time to time the University receives requests for </w:t>
      </w:r>
      <w:r>
        <w:t xml:space="preserve">external lighting </w:t>
      </w:r>
      <w:r w:rsidR="00EB369C">
        <w:t xml:space="preserve">to be changed or adapted to </w:t>
      </w:r>
      <w:r>
        <w:t>li</w:t>
      </w:r>
      <w:r w:rsidR="00EB369C">
        <w:t>ght up</w:t>
      </w:r>
      <w:r>
        <w:t xml:space="preserve"> </w:t>
      </w:r>
      <w:r w:rsidR="00F240CD">
        <w:t xml:space="preserve">buildings </w:t>
      </w:r>
      <w:r>
        <w:t xml:space="preserve">in a single or multi-colour </w:t>
      </w:r>
      <w:r w:rsidR="00EB369C">
        <w:t>effect</w:t>
      </w:r>
      <w:r w:rsidR="006107AB">
        <w:t xml:space="preserve"> to mark special occasions or to participate in celebrations and commemorations</w:t>
      </w:r>
      <w:r w:rsidR="00F240CD">
        <w:t xml:space="preserve"> which are of significance to our wider community</w:t>
      </w:r>
      <w:r w:rsidR="006107AB">
        <w:t>.</w:t>
      </w:r>
    </w:p>
    <w:p w14:paraId="241FB313" w14:textId="7B7F1712" w:rsidR="00F240CD" w:rsidRPr="00A30AEE" w:rsidRDefault="00F240CD" w:rsidP="00F240CD">
      <w:pPr>
        <w:pStyle w:val="ListParagraph"/>
        <w:numPr>
          <w:ilvl w:val="0"/>
          <w:numId w:val="3"/>
        </w:numPr>
        <w:ind w:left="567" w:hanging="567"/>
        <w:jc w:val="both"/>
        <w:rPr>
          <w:b/>
          <w:bCs/>
        </w:rPr>
      </w:pPr>
      <w:r>
        <w:rPr>
          <w:b/>
          <w:bCs/>
        </w:rPr>
        <w:t>DEFINITIONS</w:t>
      </w:r>
    </w:p>
    <w:p w14:paraId="35221B3A" w14:textId="323F6528" w:rsidR="006107AB" w:rsidRPr="008F38E5" w:rsidRDefault="008F38E5" w:rsidP="006107AB">
      <w:r w:rsidRPr="006107AB">
        <w:t xml:space="preserve">Certain definitions are also </w:t>
      </w:r>
      <w:r>
        <w:t>referenced throughout</w:t>
      </w:r>
      <w:r w:rsidRPr="006107AB">
        <w:t xml:space="preserve"> this policy</w:t>
      </w:r>
      <w:r>
        <w:t>, including</w:t>
      </w:r>
      <w:r w:rsidR="006107AB" w:rsidRPr="006107AB">
        <w:t>:</w:t>
      </w:r>
    </w:p>
    <w:p w14:paraId="787B4FB7" w14:textId="555169F3" w:rsidR="006107AB" w:rsidRPr="006107AB" w:rsidRDefault="006107AB" w:rsidP="006107AB">
      <w:pPr>
        <w:numPr>
          <w:ilvl w:val="0"/>
          <w:numId w:val="4"/>
        </w:numPr>
      </w:pPr>
      <w:r w:rsidRPr="006107AB">
        <w:rPr>
          <w:b/>
          <w:bCs/>
        </w:rPr>
        <w:t>Special lighting</w:t>
      </w:r>
      <w:r w:rsidRPr="006107AB">
        <w:t xml:space="preserve"> means any form of lighting of </w:t>
      </w:r>
      <w:r w:rsidR="00607B75">
        <w:t>University</w:t>
      </w:r>
      <w:r>
        <w:t xml:space="preserve"> </w:t>
      </w:r>
      <w:r w:rsidR="00607B75">
        <w:t xml:space="preserve">of Aberdeen </w:t>
      </w:r>
      <w:r>
        <w:t>buildings</w:t>
      </w:r>
      <w:r w:rsidRPr="006107AB">
        <w:t xml:space="preserve"> other than essential operational lighting.</w:t>
      </w:r>
    </w:p>
    <w:p w14:paraId="2DAE22E8" w14:textId="602D0F99" w:rsidR="006107AB" w:rsidRPr="006107AB" w:rsidRDefault="006107AB" w:rsidP="006107AB">
      <w:pPr>
        <w:numPr>
          <w:ilvl w:val="0"/>
          <w:numId w:val="4"/>
        </w:numPr>
      </w:pPr>
      <w:r w:rsidRPr="006107AB">
        <w:rPr>
          <w:b/>
          <w:bCs/>
        </w:rPr>
        <w:t>Essential operational lighting</w:t>
      </w:r>
      <w:r w:rsidRPr="006107AB">
        <w:t xml:space="preserve"> means the normal white lighting of </w:t>
      </w:r>
      <w:r w:rsidR="00607B75">
        <w:t>a</w:t>
      </w:r>
      <w:r w:rsidRPr="006107AB">
        <w:t xml:space="preserve"> building for operational reasons.</w:t>
      </w:r>
    </w:p>
    <w:p w14:paraId="0C7DE8D7" w14:textId="6FB351A3" w:rsidR="006107AB" w:rsidRPr="006107AB" w:rsidRDefault="0061284B" w:rsidP="006107AB">
      <w:pPr>
        <w:numPr>
          <w:ilvl w:val="0"/>
          <w:numId w:val="4"/>
        </w:numPr>
      </w:pPr>
      <w:r>
        <w:rPr>
          <w:b/>
          <w:bCs/>
        </w:rPr>
        <w:t>Duration</w:t>
      </w:r>
      <w:r w:rsidR="006107AB" w:rsidRPr="006107AB">
        <w:t> may mean one single day or a period of unbroken days. On any day, the special lighting will normally be from sunset to midnight.</w:t>
      </w:r>
    </w:p>
    <w:p w14:paraId="4FFE2836" w14:textId="31362A9B" w:rsidR="006107AB" w:rsidRDefault="006107AB" w:rsidP="006107AB">
      <w:pPr>
        <w:numPr>
          <w:ilvl w:val="0"/>
          <w:numId w:val="4"/>
        </w:numPr>
      </w:pPr>
      <w:r w:rsidRPr="006107AB">
        <w:rPr>
          <w:b/>
          <w:bCs/>
        </w:rPr>
        <w:t>Year</w:t>
      </w:r>
      <w:r w:rsidRPr="006107AB">
        <w:t> means a calendar year (1 January to 31 December). Where an occasion overlaps two calendar years, it will be counted as having been held in only the earliest of the two years.</w:t>
      </w:r>
    </w:p>
    <w:p w14:paraId="56AFEEE0" w14:textId="1CAFCDDB" w:rsidR="003B7BE8" w:rsidRPr="00107E4E" w:rsidRDefault="00A65EFD" w:rsidP="003B7BE8">
      <w:pPr>
        <w:tabs>
          <w:tab w:val="left" w:pos="567"/>
        </w:tabs>
        <w:autoSpaceDE w:val="0"/>
        <w:autoSpaceDN w:val="0"/>
        <w:adjustRightInd w:val="0"/>
        <w:spacing w:line="240" w:lineRule="auto"/>
        <w:jc w:val="both"/>
        <w:rPr>
          <w:rFonts w:cs="Arial"/>
          <w:b/>
          <w:bCs/>
          <w:lang w:eastAsia="en-GB"/>
        </w:rPr>
      </w:pPr>
      <w:r>
        <w:rPr>
          <w:rFonts w:cs="Arial"/>
          <w:b/>
          <w:bCs/>
          <w:lang w:eastAsia="en-GB"/>
        </w:rPr>
        <w:t>3</w:t>
      </w:r>
      <w:r w:rsidR="003B7BE8" w:rsidRPr="00107E4E">
        <w:rPr>
          <w:rFonts w:cs="Arial"/>
          <w:b/>
          <w:bCs/>
          <w:lang w:eastAsia="en-GB"/>
        </w:rPr>
        <w:t>.</w:t>
      </w:r>
      <w:r w:rsidR="003B7BE8">
        <w:rPr>
          <w:rFonts w:cs="Arial"/>
          <w:b/>
          <w:bCs/>
          <w:lang w:eastAsia="en-GB"/>
        </w:rPr>
        <w:tab/>
      </w:r>
      <w:r w:rsidR="003B7BE8" w:rsidRPr="00107E4E">
        <w:rPr>
          <w:rFonts w:cs="Arial"/>
          <w:b/>
          <w:bCs/>
          <w:lang w:eastAsia="en-GB"/>
        </w:rPr>
        <w:t>PURPOSE</w:t>
      </w:r>
    </w:p>
    <w:p w14:paraId="280AEDD4" w14:textId="3FCA5658" w:rsidR="003B7BE8" w:rsidRPr="00D010C4" w:rsidRDefault="00A30AEE" w:rsidP="00D010C4">
      <w:r>
        <w:t>Th</w:t>
      </w:r>
      <w:r w:rsidR="003B7BE8">
        <w:t xml:space="preserve">e purpose of this </w:t>
      </w:r>
      <w:r w:rsidR="5D20A8C4">
        <w:t>guidance</w:t>
      </w:r>
      <w:r w:rsidR="003B7BE8">
        <w:t xml:space="preserve"> is to </w:t>
      </w:r>
      <w:r>
        <w:t xml:space="preserve">set out the criteria that must be met for special lighting to be </w:t>
      </w:r>
      <w:r w:rsidR="008F38E5">
        <w:t>agreed</w:t>
      </w:r>
      <w:r>
        <w:t xml:space="preserve"> and the process through which applications can be </w:t>
      </w:r>
      <w:r w:rsidR="00D010C4">
        <w:t>submitted</w:t>
      </w:r>
      <w:r>
        <w:t xml:space="preserve">, </w:t>
      </w:r>
      <w:r w:rsidR="00D010C4">
        <w:t>reviewed</w:t>
      </w:r>
      <w:r>
        <w:t xml:space="preserve"> and, if approved, put into effect.</w:t>
      </w:r>
    </w:p>
    <w:p w14:paraId="2D016389" w14:textId="029C0F94" w:rsidR="00D010C4" w:rsidRPr="00107E4E" w:rsidRDefault="00A65EFD" w:rsidP="00D010C4">
      <w:pPr>
        <w:tabs>
          <w:tab w:val="left" w:pos="567"/>
        </w:tabs>
        <w:autoSpaceDE w:val="0"/>
        <w:autoSpaceDN w:val="0"/>
        <w:adjustRightInd w:val="0"/>
        <w:spacing w:line="240" w:lineRule="auto"/>
        <w:jc w:val="both"/>
        <w:rPr>
          <w:rFonts w:cs="Arial"/>
          <w:b/>
          <w:bCs/>
          <w:lang w:eastAsia="en-GB"/>
        </w:rPr>
      </w:pPr>
      <w:r>
        <w:rPr>
          <w:rFonts w:cs="Arial"/>
          <w:b/>
          <w:bCs/>
          <w:lang w:eastAsia="en-GB"/>
        </w:rPr>
        <w:t>4</w:t>
      </w:r>
      <w:r w:rsidR="00D010C4" w:rsidRPr="00107E4E">
        <w:rPr>
          <w:rFonts w:cs="Arial"/>
          <w:b/>
          <w:bCs/>
          <w:lang w:eastAsia="en-GB"/>
        </w:rPr>
        <w:t>.</w:t>
      </w:r>
      <w:r w:rsidR="00D010C4">
        <w:rPr>
          <w:rFonts w:cs="Arial"/>
          <w:b/>
          <w:bCs/>
          <w:lang w:eastAsia="en-GB"/>
        </w:rPr>
        <w:tab/>
        <w:t>SCOPE</w:t>
      </w:r>
    </w:p>
    <w:p w14:paraId="050A2E7A" w14:textId="77777777" w:rsidR="008E669B" w:rsidRDefault="00A30AEE">
      <w:r w:rsidRPr="00A30AEE">
        <w:t xml:space="preserve">This policy </w:t>
      </w:r>
      <w:r w:rsidR="003B7BE8">
        <w:t>is limited to</w:t>
      </w:r>
      <w:r w:rsidRPr="00A30AEE">
        <w:t xml:space="preserve"> </w:t>
      </w:r>
      <w:r w:rsidR="008E669B">
        <w:t xml:space="preserve">the </w:t>
      </w:r>
      <w:r w:rsidRPr="00A30AEE">
        <w:t xml:space="preserve">special lighting </w:t>
      </w:r>
      <w:r w:rsidR="00607B75">
        <w:t>of buildings on the</w:t>
      </w:r>
      <w:r w:rsidRPr="00A30AEE">
        <w:t xml:space="preserve"> University </w:t>
      </w:r>
      <w:r w:rsidR="003B7BE8">
        <w:t xml:space="preserve">of Aberdeen </w:t>
      </w:r>
      <w:r w:rsidR="00607B75">
        <w:t>estate</w:t>
      </w:r>
      <w:r w:rsidRPr="00A30AEE">
        <w:t>.</w:t>
      </w:r>
      <w:r w:rsidR="008E669B">
        <w:t xml:space="preserve"> </w:t>
      </w:r>
    </w:p>
    <w:p w14:paraId="004734D4" w14:textId="70050701" w:rsidR="00F240CD" w:rsidRDefault="00CF4D4A">
      <w:r>
        <w:t xml:space="preserve">Please note, </w:t>
      </w:r>
      <w:r w:rsidR="00F240CD">
        <w:t>Marischal College is the responsibility of Aberdeen City Council and so any requests related to this building will be directed to them.</w:t>
      </w:r>
    </w:p>
    <w:p w14:paraId="3845E185" w14:textId="2DB07F92" w:rsidR="008F38E5" w:rsidRPr="00A65EFD" w:rsidRDefault="00A65EFD" w:rsidP="00A65EFD">
      <w:pPr>
        <w:ind w:left="567" w:hanging="567"/>
        <w:rPr>
          <w:b/>
          <w:bCs/>
        </w:rPr>
      </w:pPr>
      <w:r w:rsidRPr="13220A77">
        <w:rPr>
          <w:b/>
          <w:bCs/>
        </w:rPr>
        <w:t>5.</w:t>
      </w:r>
      <w:r>
        <w:tab/>
      </w:r>
      <w:r w:rsidR="4B46B1B2" w:rsidRPr="13220A77">
        <w:rPr>
          <w:b/>
          <w:bCs/>
        </w:rPr>
        <w:t>GUIDANCE</w:t>
      </w:r>
    </w:p>
    <w:p w14:paraId="2E63DFD8" w14:textId="77777777" w:rsidR="00F240CD" w:rsidRDefault="008E669B" w:rsidP="008E669B">
      <w:r>
        <w:t xml:space="preserve">The University will consider requests for external lighting for King’s College Chapel and Crown Tower on our historic King’s College campus, which is the only building which has been identified as suitable for this purpose. </w:t>
      </w:r>
    </w:p>
    <w:p w14:paraId="1200130E" w14:textId="77777777" w:rsidR="00CB43F6" w:rsidRDefault="008E669B" w:rsidP="00FB69EC">
      <w:r>
        <w:t xml:space="preserve">In the absence of further investment in external lighting infrastructure, it is not currently possible to consider requests for any other building. </w:t>
      </w:r>
      <w:r w:rsidR="00F240CD">
        <w:t>Requests</w:t>
      </w:r>
      <w:r>
        <w:t xml:space="preserve"> must meet </w:t>
      </w:r>
      <w:r w:rsidR="00F240CD">
        <w:t>the criteria laid out within this policy</w:t>
      </w:r>
      <w:r w:rsidR="00CB43F6">
        <w:t xml:space="preserve">, as well as be compliant with the University’s legal responsibilities.  </w:t>
      </w:r>
    </w:p>
    <w:p w14:paraId="2E25FAC7" w14:textId="27E7AC4C" w:rsidR="00FB69EC" w:rsidRDefault="00FB69EC" w:rsidP="00FB69EC">
      <w:r>
        <w:t xml:space="preserve">King’s College Chapel is a Category-A listed building located within a Conservation Area, as well as an active place of worship, so </w:t>
      </w:r>
      <w:r w:rsidR="002E5F10">
        <w:t xml:space="preserve">any </w:t>
      </w:r>
      <w:r>
        <w:t>request</w:t>
      </w:r>
      <w:r w:rsidR="002E5F10">
        <w:t xml:space="preserve"> will</w:t>
      </w:r>
      <w:r>
        <w:t xml:space="preserve"> need to be mindful of this wider context.</w:t>
      </w:r>
    </w:p>
    <w:p w14:paraId="4ECCB4AB" w14:textId="021277EB" w:rsidR="008E669B" w:rsidRDefault="008E669B" w:rsidP="008E669B"/>
    <w:p w14:paraId="4EACF778" w14:textId="00D88AB4" w:rsidR="00F240CD" w:rsidRDefault="00F240CD" w:rsidP="008E669B">
      <w:r>
        <w:lastRenderedPageBreak/>
        <w:t>Should</w:t>
      </w:r>
      <w:r w:rsidRPr="00A30AEE">
        <w:t xml:space="preserve"> any conflict </w:t>
      </w:r>
      <w:r>
        <w:t xml:space="preserve">arise </w:t>
      </w:r>
      <w:r w:rsidRPr="00A30AEE">
        <w:t>between the use of essential operational lighting and special lighting</w:t>
      </w:r>
      <w:r>
        <w:t xml:space="preserve"> requests</w:t>
      </w:r>
      <w:r w:rsidRPr="00A30AEE">
        <w:t xml:space="preserve">, the essential operational lighting </w:t>
      </w:r>
      <w:r>
        <w:t>requirements of</w:t>
      </w:r>
      <w:r w:rsidRPr="00A30AEE">
        <w:t xml:space="preserve"> </w:t>
      </w:r>
      <w:r>
        <w:t xml:space="preserve">King’s College Chapel and Crown Tower </w:t>
      </w:r>
      <w:r w:rsidRPr="00A30AEE">
        <w:t>will take precedence.</w:t>
      </w:r>
      <w:r w:rsidRPr="00F240CD">
        <w:t xml:space="preserve"> </w:t>
      </w:r>
    </w:p>
    <w:p w14:paraId="3FE77B3D" w14:textId="32106E1F" w:rsidR="008E669B" w:rsidRPr="00540162" w:rsidRDefault="00F240CD" w:rsidP="00540162">
      <w:pPr>
        <w:ind w:left="567" w:hanging="567"/>
        <w:rPr>
          <w:b/>
          <w:bCs/>
        </w:rPr>
      </w:pPr>
      <w:r>
        <w:rPr>
          <w:b/>
          <w:bCs/>
        </w:rPr>
        <w:t>6.</w:t>
      </w:r>
      <w:r w:rsidR="00CF4D4A">
        <w:rPr>
          <w:b/>
          <w:bCs/>
        </w:rPr>
        <w:tab/>
      </w:r>
      <w:r>
        <w:rPr>
          <w:b/>
          <w:bCs/>
        </w:rPr>
        <w:t>CRITERIA</w:t>
      </w:r>
    </w:p>
    <w:p w14:paraId="5442C6CA" w14:textId="57C19352" w:rsidR="00D517AF" w:rsidRDefault="00540162" w:rsidP="00CF4D4A">
      <w:r>
        <w:t>To</w:t>
      </w:r>
      <w:r w:rsidR="00A30AEE">
        <w:t xml:space="preserve"> ensure that the use of special lighting is appropriate, the University has identified the following parameters: </w:t>
      </w:r>
      <w:r w:rsidR="614CBA51">
        <w:t>t</w:t>
      </w:r>
      <w:r w:rsidR="00A30AEE">
        <w:t>he University may agree to light campus buildings for occasions/causes that are significant in the wider community. Lightings in honour of holidays, historical events, and extraordinary events will be considered.</w:t>
      </w:r>
      <w:r w:rsidR="25944813">
        <w:t xml:space="preserve"> </w:t>
      </w:r>
    </w:p>
    <w:p w14:paraId="0612AB0A" w14:textId="76397F1C" w:rsidR="5411053D" w:rsidRDefault="00CF4D4A">
      <w:r>
        <w:t>In addition, the Principal and Vice-Chancellor may authorise special lighting of a building in exceptional circumstances.</w:t>
      </w:r>
    </w:p>
    <w:p w14:paraId="5C31B688" w14:textId="7E2B4AA3" w:rsidR="5411053D" w:rsidRDefault="5411053D">
      <w:r>
        <w:t xml:space="preserve">However, </w:t>
      </w:r>
      <w:r w:rsidR="2C69688F">
        <w:t xml:space="preserve">lighting </w:t>
      </w:r>
      <w:r w:rsidR="4BD960B6">
        <w:t xml:space="preserve">requests must also </w:t>
      </w:r>
      <w:r w:rsidR="3858CB0B">
        <w:t>adhere to health &amp; safety</w:t>
      </w:r>
      <w:r w:rsidR="5F325419">
        <w:t xml:space="preserve"> standards</w:t>
      </w:r>
      <w:r w:rsidR="56D5C9DA">
        <w:t xml:space="preserve"> by ensuring any change in lighting </w:t>
      </w:r>
      <w:r w:rsidR="67DA422A">
        <w:t>does not impact on safety</w:t>
      </w:r>
      <w:r w:rsidR="56D5C9DA">
        <w:t>.</w:t>
      </w:r>
    </w:p>
    <w:p w14:paraId="630EACBA" w14:textId="0A2F1BF2" w:rsidR="009078FF" w:rsidRDefault="009078FF" w:rsidP="009078FF">
      <w:pPr>
        <w:ind w:left="567" w:hanging="567"/>
        <w:rPr>
          <w:b/>
          <w:bCs/>
        </w:rPr>
      </w:pPr>
      <w:r w:rsidRPr="14C7C126">
        <w:rPr>
          <w:b/>
          <w:bCs/>
        </w:rPr>
        <w:t>7.</w:t>
      </w:r>
      <w:r>
        <w:tab/>
      </w:r>
      <w:r w:rsidRPr="14C7C126">
        <w:rPr>
          <w:b/>
          <w:bCs/>
        </w:rPr>
        <w:t>LIGHTING SCHEDULE</w:t>
      </w:r>
    </w:p>
    <w:p w14:paraId="39D8C290" w14:textId="51031F95" w:rsidR="009078FF" w:rsidRPr="009078FF" w:rsidRDefault="009078FF" w:rsidP="009078FF">
      <w:pPr>
        <w:ind w:left="567" w:hanging="567"/>
      </w:pPr>
      <w:r>
        <w:t xml:space="preserve">The occasions on which the University will light </w:t>
      </w:r>
      <w:r w:rsidR="00225945">
        <w:t>King’s College Chapel</w:t>
      </w:r>
      <w:r w:rsidR="696E24C1">
        <w:t xml:space="preserve"> </w:t>
      </w:r>
      <w:r w:rsidR="560C07B5">
        <w:t>might</w:t>
      </w:r>
      <w:r>
        <w:t xml:space="preserve"> include:</w:t>
      </w:r>
    </w:p>
    <w:p w14:paraId="746B11C5" w14:textId="6745E670" w:rsidR="4BABADDF" w:rsidRDefault="4BABADDF" w:rsidP="14C7C126">
      <w:pPr>
        <w:pStyle w:val="ListParagraph"/>
        <w:numPr>
          <w:ilvl w:val="0"/>
          <w:numId w:val="1"/>
        </w:numPr>
        <w:spacing w:after="0" w:line="240" w:lineRule="auto"/>
      </w:pPr>
      <w:r>
        <w:t>Remembrance Weekend</w:t>
      </w:r>
      <w:r w:rsidR="47A1A26F">
        <w:t xml:space="preserve"> </w:t>
      </w:r>
      <w:r w:rsidR="68076428">
        <w:t>-</w:t>
      </w:r>
      <w:r w:rsidR="589B757C">
        <w:t xml:space="preserve"> </w:t>
      </w:r>
      <w:r w:rsidR="72908214">
        <w:t>2</w:t>
      </w:r>
      <w:r w:rsidR="72908214" w:rsidRPr="60653C70">
        <w:rPr>
          <w:vertAlign w:val="superscript"/>
        </w:rPr>
        <w:t>nd</w:t>
      </w:r>
      <w:r w:rsidR="72908214">
        <w:t xml:space="preserve"> Sunday in </w:t>
      </w:r>
      <w:r w:rsidR="589B757C">
        <w:t>November</w:t>
      </w:r>
      <w:r w:rsidR="52D0A16D">
        <w:t xml:space="preserve"> </w:t>
      </w:r>
      <w:r w:rsidR="47A1A26F">
        <w:t>(</w:t>
      </w:r>
      <w:r>
        <w:t>Red</w:t>
      </w:r>
      <w:r w:rsidR="47A1A26F">
        <w:t>)</w:t>
      </w:r>
    </w:p>
    <w:p w14:paraId="2E262FB3" w14:textId="77777777" w:rsidR="009078FF" w:rsidRDefault="009078FF" w:rsidP="009078FF">
      <w:pPr>
        <w:spacing w:after="0" w:line="240" w:lineRule="auto"/>
        <w:ind w:left="567" w:hanging="567"/>
      </w:pPr>
    </w:p>
    <w:p w14:paraId="4BDEB8D1" w14:textId="124E85F8" w:rsidR="00CF4D4A" w:rsidRPr="00540162" w:rsidRDefault="009078FF" w:rsidP="00CF4D4A">
      <w:pPr>
        <w:ind w:left="567" w:hanging="567"/>
        <w:rPr>
          <w:b/>
          <w:bCs/>
        </w:rPr>
      </w:pPr>
      <w:r>
        <w:rPr>
          <w:b/>
          <w:bCs/>
        </w:rPr>
        <w:t>8</w:t>
      </w:r>
      <w:r w:rsidR="00CF4D4A">
        <w:rPr>
          <w:b/>
          <w:bCs/>
        </w:rPr>
        <w:t>.</w:t>
      </w:r>
      <w:r w:rsidR="00CF4D4A">
        <w:rPr>
          <w:b/>
          <w:bCs/>
        </w:rPr>
        <w:tab/>
        <w:t>ELIGIBILITY</w:t>
      </w:r>
    </w:p>
    <w:p w14:paraId="6B0B578F" w14:textId="77777777" w:rsidR="00CF4D4A" w:rsidRDefault="00A30AEE">
      <w:r w:rsidRPr="00A30AEE">
        <w:t xml:space="preserve">The University may grant permission for special lighting in connection with other occasions, subject to receiving a request that fulfils the following criteria: </w:t>
      </w:r>
    </w:p>
    <w:p w14:paraId="62E63EB6" w14:textId="6966FABC" w:rsidR="00CF4D4A" w:rsidRDefault="00A30AEE" w:rsidP="004E557A">
      <w:pPr>
        <w:spacing w:after="0"/>
        <w:ind w:left="720"/>
      </w:pPr>
      <w:r>
        <w:t xml:space="preserve">• Requests may be made by a registered charity, a public-sector body, community or other non-profit making organisation and </w:t>
      </w:r>
      <w:r w:rsidR="5A1AD261">
        <w:t>m</w:t>
      </w:r>
      <w:r>
        <w:t xml:space="preserve">embers of the University staff and student community. </w:t>
      </w:r>
    </w:p>
    <w:p w14:paraId="509F0CE4" w14:textId="02B86999" w:rsidR="00A65EFD" w:rsidRDefault="00A30AEE" w:rsidP="004E557A">
      <w:pPr>
        <w:spacing w:after="0"/>
        <w:ind w:left="720"/>
      </w:pPr>
      <w:r>
        <w:t xml:space="preserve">• Individuals and commercial organisations </w:t>
      </w:r>
      <w:r w:rsidR="00CF4D4A">
        <w:t>are not able to</w:t>
      </w:r>
      <w:r>
        <w:t xml:space="preserve"> apply for special lighting. </w:t>
      </w:r>
    </w:p>
    <w:p w14:paraId="01D6BB6D" w14:textId="77777777" w:rsidR="00CF4D4A" w:rsidRDefault="00CF4D4A" w:rsidP="00CF4D4A">
      <w:pPr>
        <w:spacing w:after="0"/>
      </w:pPr>
    </w:p>
    <w:p w14:paraId="2CC4B164" w14:textId="29713CFA" w:rsidR="00A65EFD" w:rsidRDefault="00A30AEE">
      <w:r w:rsidRPr="00A30AEE">
        <w:t xml:space="preserve">Approval for special lighting will be </w:t>
      </w:r>
      <w:r w:rsidR="002E5F10">
        <w:t>considered</w:t>
      </w:r>
      <w:r w:rsidRPr="00A30AEE">
        <w:t xml:space="preserve"> only when such lighting is in connection with one or more of the following: </w:t>
      </w:r>
    </w:p>
    <w:p w14:paraId="4A231B94" w14:textId="10D78A9B" w:rsidR="00421C5A" w:rsidRDefault="00A30AEE" w:rsidP="00CB43F6">
      <w:pPr>
        <w:spacing w:after="0"/>
        <w:ind w:left="720"/>
      </w:pPr>
      <w:r w:rsidRPr="00A30AEE">
        <w:t>• A significant anniversary of a significant local, national or international event.</w:t>
      </w:r>
    </w:p>
    <w:p w14:paraId="1E6EED94" w14:textId="30B69524" w:rsidR="00CB43F6" w:rsidRDefault="00CB43F6" w:rsidP="00CB43F6">
      <w:pPr>
        <w:spacing w:after="0"/>
        <w:ind w:left="720"/>
      </w:pPr>
      <w:r w:rsidRPr="00A30AEE">
        <w:t>•</w:t>
      </w:r>
      <w:r>
        <w:t xml:space="preserve"> An event taking place at the University.</w:t>
      </w:r>
    </w:p>
    <w:p w14:paraId="040F4FED" w14:textId="6FBA7461" w:rsidR="0040324B" w:rsidRDefault="00A30AEE" w:rsidP="0040324B">
      <w:pPr>
        <w:spacing w:after="0"/>
        <w:ind w:left="720"/>
      </w:pPr>
      <w:r w:rsidRPr="00A30AEE">
        <w:t xml:space="preserve">• An event that is considered as being of significant benefit to </w:t>
      </w:r>
      <w:r w:rsidR="002E5F10">
        <w:t xml:space="preserve">the </w:t>
      </w:r>
      <w:r w:rsidRPr="00A30AEE">
        <w:t xml:space="preserve">University </w:t>
      </w:r>
      <w:r w:rsidR="002E5F10">
        <w:t xml:space="preserve">of Aberdeen </w:t>
      </w:r>
      <w:r w:rsidRPr="00A30AEE">
        <w:t>from a promotional, reputational or engagement perspective.</w:t>
      </w:r>
    </w:p>
    <w:p w14:paraId="6CD1988B" w14:textId="3FD60701" w:rsidR="00CB43F6" w:rsidRDefault="00A30AEE" w:rsidP="00CB43F6">
      <w:pPr>
        <w:spacing w:after="0"/>
        <w:ind w:left="720"/>
      </w:pPr>
      <w:r w:rsidRPr="00A30AEE">
        <w:t xml:space="preserve">• An event that is considered as being of significant benefit to </w:t>
      </w:r>
      <w:r w:rsidR="002E5F10">
        <w:t>Scotland</w:t>
      </w:r>
      <w:r w:rsidRPr="00A30AEE">
        <w:t xml:space="preserve"> from a promotional, reputational or engagement perspective</w:t>
      </w:r>
      <w:r w:rsidR="0040324B">
        <w:t>.</w:t>
      </w:r>
    </w:p>
    <w:p w14:paraId="55C8E6AC" w14:textId="77777777" w:rsidR="0040324B" w:rsidRDefault="0040324B" w:rsidP="002E5F10">
      <w:pPr>
        <w:spacing w:after="0"/>
        <w:ind w:left="720"/>
      </w:pPr>
    </w:p>
    <w:p w14:paraId="145B7508" w14:textId="59D6CF2C" w:rsidR="00A65EFD" w:rsidRDefault="00A30AEE" w:rsidP="0040324B">
      <w:pPr>
        <w:spacing w:after="0"/>
      </w:pPr>
      <w:r w:rsidRPr="00A30AEE">
        <w:t>Requests for special lighting will not be approved where such lighting is:</w:t>
      </w:r>
    </w:p>
    <w:p w14:paraId="68B41F56" w14:textId="77777777" w:rsidR="0040324B" w:rsidRDefault="0040324B" w:rsidP="00CB43F6">
      <w:pPr>
        <w:spacing w:after="0"/>
        <w:ind w:left="720"/>
      </w:pPr>
    </w:p>
    <w:p w14:paraId="4AA735D8" w14:textId="1D2A1B4C" w:rsidR="00A65EFD" w:rsidRDefault="00A30AEE" w:rsidP="00CB43F6">
      <w:pPr>
        <w:pStyle w:val="ListParagraph"/>
        <w:numPr>
          <w:ilvl w:val="0"/>
          <w:numId w:val="15"/>
        </w:numPr>
        <w:spacing w:after="0"/>
      </w:pPr>
      <w:r w:rsidRPr="00A30AEE">
        <w:t xml:space="preserve">Linked to an issue that is politically sensitive; and/or </w:t>
      </w:r>
    </w:p>
    <w:p w14:paraId="4AE3A182" w14:textId="29434400" w:rsidR="00A65EFD" w:rsidRDefault="00A30AEE" w:rsidP="00CB43F6">
      <w:pPr>
        <w:pStyle w:val="ListParagraph"/>
        <w:numPr>
          <w:ilvl w:val="0"/>
          <w:numId w:val="15"/>
        </w:numPr>
        <w:spacing w:after="0"/>
      </w:pPr>
      <w:r w:rsidRPr="00A30AEE">
        <w:t xml:space="preserve">Linked to a </w:t>
      </w:r>
      <w:r w:rsidR="00D517AF" w:rsidRPr="00A30AEE">
        <w:t>party-political</w:t>
      </w:r>
      <w:r w:rsidRPr="00A30AEE">
        <w:t xml:space="preserve"> issue, or a political campaigning issue </w:t>
      </w:r>
    </w:p>
    <w:p w14:paraId="3E754BA8" w14:textId="789248F1" w:rsidR="00A65EFD" w:rsidRDefault="00A30AEE" w:rsidP="00CB43F6">
      <w:pPr>
        <w:pStyle w:val="ListParagraph"/>
        <w:numPr>
          <w:ilvl w:val="0"/>
          <w:numId w:val="15"/>
        </w:numPr>
        <w:spacing w:after="0"/>
      </w:pPr>
      <w:r w:rsidRPr="00A30AEE">
        <w:t xml:space="preserve">Obviously contentious and risks reputational damage to the University; and/or </w:t>
      </w:r>
    </w:p>
    <w:p w14:paraId="31E0EA23" w14:textId="102DC168" w:rsidR="00A65EFD" w:rsidRDefault="00A30AEE" w:rsidP="00CB43F6">
      <w:pPr>
        <w:pStyle w:val="ListParagraph"/>
        <w:numPr>
          <w:ilvl w:val="0"/>
          <w:numId w:val="15"/>
        </w:numPr>
        <w:spacing w:after="0"/>
      </w:pPr>
      <w:r w:rsidRPr="00A30AEE">
        <w:t xml:space="preserve">Generates a commercial advantage; and/or </w:t>
      </w:r>
    </w:p>
    <w:p w14:paraId="106043F5" w14:textId="7676CCA9" w:rsidR="00CB43F6" w:rsidRDefault="00A30AEE" w:rsidP="00CB43F6">
      <w:pPr>
        <w:pStyle w:val="ListParagraph"/>
        <w:numPr>
          <w:ilvl w:val="0"/>
          <w:numId w:val="15"/>
        </w:numPr>
        <w:spacing w:after="0"/>
      </w:pPr>
      <w:r w:rsidRPr="00A30AEE">
        <w:t>Is not in keeping with the purpose and dignity of the building</w:t>
      </w:r>
      <w:r w:rsidR="00CB43F6">
        <w:t xml:space="preserve"> and/</w:t>
      </w:r>
      <w:proofErr w:type="gramStart"/>
      <w:r w:rsidR="00CB43F6">
        <w:t>or;</w:t>
      </w:r>
      <w:proofErr w:type="gramEnd"/>
    </w:p>
    <w:p w14:paraId="7CE44C2B" w14:textId="17A08521" w:rsidR="00CB43F6" w:rsidRDefault="00CB43F6" w:rsidP="00CB43F6">
      <w:pPr>
        <w:pStyle w:val="ListParagraph"/>
        <w:numPr>
          <w:ilvl w:val="0"/>
          <w:numId w:val="15"/>
        </w:numPr>
        <w:spacing w:after="0"/>
      </w:pPr>
      <w:r>
        <w:t xml:space="preserve">Likely to cause potential health and safety </w:t>
      </w:r>
      <w:r w:rsidR="009078FF">
        <w:t>risks</w:t>
      </w:r>
      <w:r>
        <w:t>, noting that certain colours can result in trip hazards, particularly in darker winter months.</w:t>
      </w:r>
    </w:p>
    <w:p w14:paraId="23DB9765" w14:textId="77777777" w:rsidR="00CB43F6" w:rsidRDefault="00CB43F6" w:rsidP="00CB43F6">
      <w:pPr>
        <w:spacing w:after="0"/>
      </w:pPr>
    </w:p>
    <w:p w14:paraId="35572EBF" w14:textId="0348AECC" w:rsidR="002E5F10" w:rsidRDefault="0040324B" w:rsidP="00CB43F6">
      <w:pPr>
        <w:spacing w:after="0"/>
      </w:pPr>
      <w:r>
        <w:lastRenderedPageBreak/>
        <w:t>Unfortunately,</w:t>
      </w:r>
      <w:r w:rsidR="002E5F10">
        <w:t xml:space="preserve"> due to the number of requests, it is not possible to agree to every request</w:t>
      </w:r>
      <w:r>
        <w:t xml:space="preserve"> received</w:t>
      </w:r>
      <w:r w:rsidR="002E5F10">
        <w:t xml:space="preserve"> even if </w:t>
      </w:r>
      <w:r>
        <w:t>meets the criteria laid out in this policy</w:t>
      </w:r>
      <w:r w:rsidR="002E5F10">
        <w:t>.</w:t>
      </w:r>
    </w:p>
    <w:p w14:paraId="19C607E0" w14:textId="77777777" w:rsidR="00CB43F6" w:rsidRPr="002E5F10" w:rsidRDefault="00CB43F6" w:rsidP="00CB43F6">
      <w:pPr>
        <w:spacing w:after="0"/>
      </w:pPr>
    </w:p>
    <w:p w14:paraId="75323881" w14:textId="2F396B4E" w:rsidR="00CF4D4A" w:rsidRDefault="009078FF" w:rsidP="003479C4">
      <w:pPr>
        <w:ind w:left="567" w:hanging="567"/>
        <w:rPr>
          <w:b/>
          <w:bCs/>
        </w:rPr>
      </w:pPr>
      <w:r>
        <w:rPr>
          <w:b/>
          <w:bCs/>
        </w:rPr>
        <w:t>9</w:t>
      </w:r>
      <w:r w:rsidR="00D010C4" w:rsidRPr="000B60AE">
        <w:rPr>
          <w:b/>
          <w:bCs/>
        </w:rPr>
        <w:t>.</w:t>
      </w:r>
      <w:r w:rsidR="00D010C4">
        <w:rPr>
          <w:b/>
          <w:bCs/>
        </w:rPr>
        <w:tab/>
      </w:r>
      <w:r w:rsidR="00300C81">
        <w:rPr>
          <w:b/>
          <w:bCs/>
        </w:rPr>
        <w:t>PROCESS</w:t>
      </w:r>
    </w:p>
    <w:p w14:paraId="75963A0B" w14:textId="02EFC504" w:rsidR="003479C4" w:rsidRDefault="003479C4" w:rsidP="003479C4">
      <w:pPr>
        <w:pStyle w:val="ListParagraph"/>
        <w:numPr>
          <w:ilvl w:val="0"/>
          <w:numId w:val="5"/>
        </w:numPr>
      </w:pPr>
      <w:r>
        <w:t xml:space="preserve">Requests for special lighting should be made in writing to </w:t>
      </w:r>
      <w:hyperlink r:id="rId8">
        <w:r w:rsidR="447CE376" w:rsidRPr="60653C70">
          <w:rPr>
            <w:rStyle w:val="Hyperlink"/>
          </w:rPr>
          <w:t>communications@abdn.ac.uk</w:t>
        </w:r>
      </w:hyperlink>
      <w:r w:rsidR="447CE376">
        <w:t xml:space="preserve"> </w:t>
      </w:r>
      <w:r>
        <w:t xml:space="preserve">no later than four weeks before the specified special lighting duration. </w:t>
      </w:r>
      <w:r w:rsidR="0040324B">
        <w:t>Requests should clearly outline the cause being highlighted, the date(s) and colour(s) required and provide a named contact should further information be required.</w:t>
      </w:r>
    </w:p>
    <w:p w14:paraId="39426206" w14:textId="2C41DC24" w:rsidR="00FB69EC" w:rsidRDefault="003479C4" w:rsidP="00FB69EC">
      <w:pPr>
        <w:pStyle w:val="ListParagraph"/>
        <w:numPr>
          <w:ilvl w:val="0"/>
          <w:numId w:val="5"/>
        </w:numPr>
      </w:pPr>
      <w:r>
        <w:t xml:space="preserve">Each request will be evaluated by </w:t>
      </w:r>
      <w:r w:rsidR="3DE762DE">
        <w:t xml:space="preserve">Communications and Estates against </w:t>
      </w:r>
      <w:r>
        <w:t>the criteria outlined in this policy</w:t>
      </w:r>
      <w:r w:rsidR="004E557A">
        <w:t>.</w:t>
      </w:r>
    </w:p>
    <w:p w14:paraId="1C68FE84" w14:textId="59D8CB5E" w:rsidR="003479C4" w:rsidRDefault="003479C4" w:rsidP="003479C4">
      <w:pPr>
        <w:pStyle w:val="ListParagraph"/>
        <w:numPr>
          <w:ilvl w:val="0"/>
          <w:numId w:val="5"/>
        </w:numPr>
      </w:pPr>
      <w:r w:rsidRPr="00A30AEE">
        <w:t xml:space="preserve">A decision will then be made on whether it meets the requirements of this policy and whether the request </w:t>
      </w:r>
      <w:r>
        <w:t>can</w:t>
      </w:r>
      <w:r w:rsidRPr="00A30AEE">
        <w:t xml:space="preserve"> be approved. </w:t>
      </w:r>
      <w:r>
        <w:t>A</w:t>
      </w:r>
      <w:r w:rsidRPr="00A30AEE">
        <w:t xml:space="preserve"> decision will be advised </w:t>
      </w:r>
      <w:r>
        <w:t xml:space="preserve">to the applicant </w:t>
      </w:r>
      <w:r w:rsidRPr="00A30AEE">
        <w:t>as soon as possible</w:t>
      </w:r>
      <w:r>
        <w:t>.</w:t>
      </w:r>
    </w:p>
    <w:p w14:paraId="7FFD6A27" w14:textId="56EEC403" w:rsidR="004E557A" w:rsidRDefault="004E557A" w:rsidP="004E557A">
      <w:pPr>
        <w:pStyle w:val="ListParagraph"/>
        <w:numPr>
          <w:ilvl w:val="0"/>
          <w:numId w:val="5"/>
        </w:numPr>
      </w:pPr>
      <w:r>
        <w:t>Where approval for special lighting has been given, the necessary arrangements will be put in place by the Estates</w:t>
      </w:r>
      <w:r w:rsidR="65D21286">
        <w:t xml:space="preserve"> d</w:t>
      </w:r>
      <w:r>
        <w:t>epartment for the agreed duration. There is no automatic renewal for requests. A new request must be submitted each year.</w:t>
      </w:r>
    </w:p>
    <w:p w14:paraId="37DE5341" w14:textId="77777777" w:rsidR="004E557A" w:rsidRDefault="004E557A" w:rsidP="004E557A">
      <w:pPr>
        <w:pStyle w:val="ListParagraph"/>
        <w:numPr>
          <w:ilvl w:val="0"/>
          <w:numId w:val="5"/>
        </w:numPr>
      </w:pPr>
      <w:r>
        <w:t xml:space="preserve">The University retains the right to refuse any request. If a request has not been approved, an explanation will be provided, but there will be no right of appeal. </w:t>
      </w:r>
    </w:p>
    <w:p w14:paraId="672CAC78" w14:textId="77777777" w:rsidR="004E557A" w:rsidRDefault="004E557A" w:rsidP="004E557A">
      <w:pPr>
        <w:pStyle w:val="ListParagraph"/>
        <w:numPr>
          <w:ilvl w:val="0"/>
          <w:numId w:val="5"/>
        </w:numPr>
      </w:pPr>
      <w:r w:rsidRPr="00A30AEE">
        <w:t>The University may, at its absolute discretion and with or without notice, cancel any approved requests for special lighting</w:t>
      </w:r>
      <w:r>
        <w:t>.</w:t>
      </w:r>
    </w:p>
    <w:p w14:paraId="30C53A17" w14:textId="434D685B" w:rsidR="004947CB" w:rsidRPr="00225945" w:rsidRDefault="004E557A" w:rsidP="004947CB">
      <w:pPr>
        <w:pStyle w:val="ListParagraph"/>
        <w:numPr>
          <w:ilvl w:val="0"/>
          <w:numId w:val="5"/>
        </w:numPr>
      </w:pPr>
      <w:r w:rsidRPr="00A30AEE">
        <w:t xml:space="preserve">Any costs incurred in providing special lighting over and above those costs that would normally be incurred through essential operational lighting </w:t>
      </w:r>
      <w:r>
        <w:t>may</w:t>
      </w:r>
      <w:r w:rsidRPr="00A30AEE">
        <w:t xml:space="preserve"> be charged to the </w:t>
      </w:r>
      <w:r>
        <w:t>applicant</w:t>
      </w:r>
      <w:r w:rsidRPr="00A30AEE">
        <w:t>.</w:t>
      </w:r>
      <w:r>
        <w:t xml:space="preserve"> If any costs are likely to be involved, these would be communicated to the applicant at the time of them being advised of a decision.</w:t>
      </w:r>
    </w:p>
    <w:p w14:paraId="4C604C2B" w14:textId="77777777" w:rsidR="00225945" w:rsidRPr="00225945" w:rsidRDefault="00225945" w:rsidP="00225945">
      <w:pPr>
        <w:rPr>
          <w:b/>
          <w:bCs/>
        </w:rPr>
      </w:pPr>
    </w:p>
    <w:p w14:paraId="22129846" w14:textId="77777777" w:rsidR="00CF4D4A" w:rsidRDefault="00CF4D4A" w:rsidP="003479C4">
      <w:pPr>
        <w:rPr>
          <w:b/>
          <w:bCs/>
        </w:rPr>
      </w:pPr>
    </w:p>
    <w:p w14:paraId="7001E9A5" w14:textId="482027C2" w:rsidR="0061284B" w:rsidRPr="0048683C" w:rsidRDefault="0048683C" w:rsidP="0048683C">
      <w:pPr>
        <w:spacing w:after="0" w:line="240" w:lineRule="auto"/>
      </w:pPr>
      <w:r w:rsidRPr="0048683C">
        <w:t>Public Affairs Team</w:t>
      </w:r>
    </w:p>
    <w:p w14:paraId="1912F9B6" w14:textId="559B4F12" w:rsidR="0048683C" w:rsidRPr="0048683C" w:rsidRDefault="0048683C" w:rsidP="0048683C">
      <w:pPr>
        <w:spacing w:after="0" w:line="240" w:lineRule="auto"/>
      </w:pPr>
      <w:r w:rsidRPr="0048683C">
        <w:t>February 2025</w:t>
      </w:r>
    </w:p>
    <w:sectPr w:rsidR="0048683C" w:rsidRPr="0048683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FAA9" w14:textId="77777777" w:rsidR="00A30AEE" w:rsidRDefault="00A30AEE" w:rsidP="00A30AEE">
      <w:pPr>
        <w:spacing w:after="0" w:line="240" w:lineRule="auto"/>
      </w:pPr>
      <w:r>
        <w:separator/>
      </w:r>
    </w:p>
  </w:endnote>
  <w:endnote w:type="continuationSeparator" w:id="0">
    <w:p w14:paraId="1A4B4C52" w14:textId="77777777" w:rsidR="00A30AEE" w:rsidRDefault="00A30AEE" w:rsidP="00A30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0653C70" w14:paraId="5D980724" w14:textId="77777777" w:rsidTr="60653C70">
      <w:trPr>
        <w:trHeight w:val="300"/>
      </w:trPr>
      <w:tc>
        <w:tcPr>
          <w:tcW w:w="3005" w:type="dxa"/>
        </w:tcPr>
        <w:p w14:paraId="661C0496" w14:textId="085F6E68" w:rsidR="60653C70" w:rsidRDefault="60653C70" w:rsidP="60653C70">
          <w:pPr>
            <w:pStyle w:val="Header"/>
            <w:ind w:left="-115"/>
          </w:pPr>
        </w:p>
      </w:tc>
      <w:tc>
        <w:tcPr>
          <w:tcW w:w="3005" w:type="dxa"/>
        </w:tcPr>
        <w:p w14:paraId="57EE7954" w14:textId="7F591066" w:rsidR="60653C70" w:rsidRDefault="60653C70" w:rsidP="60653C70">
          <w:pPr>
            <w:pStyle w:val="Header"/>
            <w:jc w:val="center"/>
          </w:pPr>
          <w:r>
            <w:fldChar w:fldCharType="begin"/>
          </w:r>
          <w:r>
            <w:instrText>PAGE</w:instrText>
          </w:r>
          <w:r>
            <w:fldChar w:fldCharType="separate"/>
          </w:r>
          <w:r w:rsidR="004B292B">
            <w:rPr>
              <w:noProof/>
            </w:rPr>
            <w:t>1</w:t>
          </w:r>
          <w:r>
            <w:fldChar w:fldCharType="end"/>
          </w:r>
        </w:p>
      </w:tc>
      <w:tc>
        <w:tcPr>
          <w:tcW w:w="3005" w:type="dxa"/>
        </w:tcPr>
        <w:p w14:paraId="69754392" w14:textId="24E62254" w:rsidR="60653C70" w:rsidRDefault="005C11BF" w:rsidP="60653C70">
          <w:pPr>
            <w:pStyle w:val="Header"/>
            <w:ind w:right="-115"/>
            <w:jc w:val="right"/>
          </w:pPr>
          <w:r>
            <w:t>v.01</w:t>
          </w:r>
        </w:p>
      </w:tc>
    </w:tr>
  </w:tbl>
  <w:p w14:paraId="76608601" w14:textId="53C36565" w:rsidR="60653C70" w:rsidRDefault="60653C70" w:rsidP="60653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DF9CE" w14:textId="77777777" w:rsidR="00A30AEE" w:rsidRDefault="00A30AEE" w:rsidP="00A30AEE">
      <w:pPr>
        <w:spacing w:after="0" w:line="240" w:lineRule="auto"/>
      </w:pPr>
      <w:r>
        <w:separator/>
      </w:r>
    </w:p>
  </w:footnote>
  <w:footnote w:type="continuationSeparator" w:id="0">
    <w:p w14:paraId="5BFEDB55" w14:textId="77777777" w:rsidR="00A30AEE" w:rsidRDefault="00A30AEE" w:rsidP="00A30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5F67"/>
    <w:multiLevelType w:val="hybridMultilevel"/>
    <w:tmpl w:val="9E827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935DA"/>
    <w:multiLevelType w:val="hybridMultilevel"/>
    <w:tmpl w:val="78388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10BA6A7C"/>
    <w:multiLevelType w:val="multilevel"/>
    <w:tmpl w:val="B40849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4134228"/>
    <w:multiLevelType w:val="hybridMultilevel"/>
    <w:tmpl w:val="8CAC3A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BFF82"/>
    <w:multiLevelType w:val="hybridMultilevel"/>
    <w:tmpl w:val="8E28161C"/>
    <w:lvl w:ilvl="0" w:tplc="82E4F17C">
      <w:start w:val="1"/>
      <w:numFmt w:val="bullet"/>
      <w:lvlText w:val=""/>
      <w:lvlJc w:val="left"/>
      <w:pPr>
        <w:ind w:left="720" w:hanging="360"/>
      </w:pPr>
      <w:rPr>
        <w:rFonts w:ascii="Symbol" w:hAnsi="Symbol" w:hint="default"/>
      </w:rPr>
    </w:lvl>
    <w:lvl w:ilvl="1" w:tplc="A28C755E">
      <w:start w:val="1"/>
      <w:numFmt w:val="bullet"/>
      <w:lvlText w:val="o"/>
      <w:lvlJc w:val="left"/>
      <w:pPr>
        <w:ind w:left="1440" w:hanging="360"/>
      </w:pPr>
      <w:rPr>
        <w:rFonts w:ascii="Courier New" w:hAnsi="Courier New" w:hint="default"/>
      </w:rPr>
    </w:lvl>
    <w:lvl w:ilvl="2" w:tplc="156C2790">
      <w:start w:val="1"/>
      <w:numFmt w:val="bullet"/>
      <w:lvlText w:val=""/>
      <w:lvlJc w:val="left"/>
      <w:pPr>
        <w:ind w:left="2160" w:hanging="360"/>
      </w:pPr>
      <w:rPr>
        <w:rFonts w:ascii="Wingdings" w:hAnsi="Wingdings" w:hint="default"/>
      </w:rPr>
    </w:lvl>
    <w:lvl w:ilvl="3" w:tplc="08423DFA">
      <w:start w:val="1"/>
      <w:numFmt w:val="bullet"/>
      <w:lvlText w:val=""/>
      <w:lvlJc w:val="left"/>
      <w:pPr>
        <w:ind w:left="2880" w:hanging="360"/>
      </w:pPr>
      <w:rPr>
        <w:rFonts w:ascii="Symbol" w:hAnsi="Symbol" w:hint="default"/>
      </w:rPr>
    </w:lvl>
    <w:lvl w:ilvl="4" w:tplc="25AEE94C">
      <w:start w:val="1"/>
      <w:numFmt w:val="bullet"/>
      <w:lvlText w:val="o"/>
      <w:lvlJc w:val="left"/>
      <w:pPr>
        <w:ind w:left="3600" w:hanging="360"/>
      </w:pPr>
      <w:rPr>
        <w:rFonts w:ascii="Courier New" w:hAnsi="Courier New" w:hint="default"/>
      </w:rPr>
    </w:lvl>
    <w:lvl w:ilvl="5" w:tplc="B15E17A8">
      <w:start w:val="1"/>
      <w:numFmt w:val="bullet"/>
      <w:lvlText w:val=""/>
      <w:lvlJc w:val="left"/>
      <w:pPr>
        <w:ind w:left="4320" w:hanging="360"/>
      </w:pPr>
      <w:rPr>
        <w:rFonts w:ascii="Wingdings" w:hAnsi="Wingdings" w:hint="default"/>
      </w:rPr>
    </w:lvl>
    <w:lvl w:ilvl="6" w:tplc="DFA6A002">
      <w:start w:val="1"/>
      <w:numFmt w:val="bullet"/>
      <w:lvlText w:val=""/>
      <w:lvlJc w:val="left"/>
      <w:pPr>
        <w:ind w:left="5040" w:hanging="360"/>
      </w:pPr>
      <w:rPr>
        <w:rFonts w:ascii="Symbol" w:hAnsi="Symbol" w:hint="default"/>
      </w:rPr>
    </w:lvl>
    <w:lvl w:ilvl="7" w:tplc="FE1C2BCE">
      <w:start w:val="1"/>
      <w:numFmt w:val="bullet"/>
      <w:lvlText w:val="o"/>
      <w:lvlJc w:val="left"/>
      <w:pPr>
        <w:ind w:left="5760" w:hanging="360"/>
      </w:pPr>
      <w:rPr>
        <w:rFonts w:ascii="Courier New" w:hAnsi="Courier New" w:hint="default"/>
      </w:rPr>
    </w:lvl>
    <w:lvl w:ilvl="8" w:tplc="0164D884">
      <w:start w:val="1"/>
      <w:numFmt w:val="bullet"/>
      <w:lvlText w:val=""/>
      <w:lvlJc w:val="left"/>
      <w:pPr>
        <w:ind w:left="6480" w:hanging="360"/>
      </w:pPr>
      <w:rPr>
        <w:rFonts w:ascii="Wingdings" w:hAnsi="Wingdings" w:hint="default"/>
      </w:rPr>
    </w:lvl>
  </w:abstractNum>
  <w:abstractNum w:abstractNumId="5" w15:restartNumberingAfterBreak="0">
    <w:nsid w:val="1E94429B"/>
    <w:multiLevelType w:val="hybridMultilevel"/>
    <w:tmpl w:val="CA269F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44B33"/>
    <w:multiLevelType w:val="hybridMultilevel"/>
    <w:tmpl w:val="5DE242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4A25679"/>
    <w:multiLevelType w:val="hybridMultilevel"/>
    <w:tmpl w:val="51C6925A"/>
    <w:lvl w:ilvl="0" w:tplc="D700B348">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3202C5B8">
      <w:numFmt w:val="bullet"/>
      <w:lvlText w:val="•"/>
      <w:lvlJc w:val="left"/>
      <w:pPr>
        <w:ind w:left="1980" w:hanging="360"/>
      </w:pPr>
      <w:rPr>
        <w:rFonts w:ascii="Calibri" w:eastAsiaTheme="minorHAnsi" w:hAnsi="Calibri" w:cs="Calibri"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A11F8C"/>
    <w:multiLevelType w:val="hybridMultilevel"/>
    <w:tmpl w:val="1124D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 w15:restartNumberingAfterBreak="0">
    <w:nsid w:val="4D9223BA"/>
    <w:multiLevelType w:val="hybridMultilevel"/>
    <w:tmpl w:val="875408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3C4162"/>
    <w:multiLevelType w:val="hybridMultilevel"/>
    <w:tmpl w:val="21C2818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26C1447"/>
    <w:multiLevelType w:val="hybridMultilevel"/>
    <w:tmpl w:val="5510B6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A22FC2"/>
    <w:multiLevelType w:val="hybridMultilevel"/>
    <w:tmpl w:val="CAC8D5D8"/>
    <w:lvl w:ilvl="0" w:tplc="6C2E7AB8">
      <w:start w:val="1"/>
      <w:numFmt w:val="bullet"/>
      <w:lvlText w:val=""/>
      <w:lvlJc w:val="left"/>
      <w:pPr>
        <w:ind w:left="720" w:hanging="360"/>
      </w:pPr>
      <w:rPr>
        <w:rFonts w:ascii="Symbol" w:hAnsi="Symbol" w:hint="default"/>
      </w:rPr>
    </w:lvl>
    <w:lvl w:ilvl="1" w:tplc="5DACE720">
      <w:start w:val="1"/>
      <w:numFmt w:val="bullet"/>
      <w:lvlText w:val="o"/>
      <w:lvlJc w:val="left"/>
      <w:pPr>
        <w:ind w:left="1440" w:hanging="360"/>
      </w:pPr>
      <w:rPr>
        <w:rFonts w:ascii="Courier New" w:hAnsi="Courier New" w:hint="default"/>
      </w:rPr>
    </w:lvl>
    <w:lvl w:ilvl="2" w:tplc="738ADBBC">
      <w:start w:val="1"/>
      <w:numFmt w:val="bullet"/>
      <w:lvlText w:val=""/>
      <w:lvlJc w:val="left"/>
      <w:pPr>
        <w:ind w:left="2160" w:hanging="360"/>
      </w:pPr>
      <w:rPr>
        <w:rFonts w:ascii="Wingdings" w:hAnsi="Wingdings" w:hint="default"/>
      </w:rPr>
    </w:lvl>
    <w:lvl w:ilvl="3" w:tplc="477025BA">
      <w:start w:val="1"/>
      <w:numFmt w:val="bullet"/>
      <w:lvlText w:val=""/>
      <w:lvlJc w:val="left"/>
      <w:pPr>
        <w:ind w:left="2880" w:hanging="360"/>
      </w:pPr>
      <w:rPr>
        <w:rFonts w:ascii="Symbol" w:hAnsi="Symbol" w:hint="default"/>
      </w:rPr>
    </w:lvl>
    <w:lvl w:ilvl="4" w:tplc="9C702652">
      <w:start w:val="1"/>
      <w:numFmt w:val="bullet"/>
      <w:lvlText w:val="o"/>
      <w:lvlJc w:val="left"/>
      <w:pPr>
        <w:ind w:left="3600" w:hanging="360"/>
      </w:pPr>
      <w:rPr>
        <w:rFonts w:ascii="Courier New" w:hAnsi="Courier New" w:hint="default"/>
      </w:rPr>
    </w:lvl>
    <w:lvl w:ilvl="5" w:tplc="8E04D744">
      <w:start w:val="1"/>
      <w:numFmt w:val="bullet"/>
      <w:lvlText w:val=""/>
      <w:lvlJc w:val="left"/>
      <w:pPr>
        <w:ind w:left="4320" w:hanging="360"/>
      </w:pPr>
      <w:rPr>
        <w:rFonts w:ascii="Wingdings" w:hAnsi="Wingdings" w:hint="default"/>
      </w:rPr>
    </w:lvl>
    <w:lvl w:ilvl="6" w:tplc="F1D2C030">
      <w:start w:val="1"/>
      <w:numFmt w:val="bullet"/>
      <w:lvlText w:val=""/>
      <w:lvlJc w:val="left"/>
      <w:pPr>
        <w:ind w:left="5040" w:hanging="360"/>
      </w:pPr>
      <w:rPr>
        <w:rFonts w:ascii="Symbol" w:hAnsi="Symbol" w:hint="default"/>
      </w:rPr>
    </w:lvl>
    <w:lvl w:ilvl="7" w:tplc="95426EFA">
      <w:start w:val="1"/>
      <w:numFmt w:val="bullet"/>
      <w:lvlText w:val="o"/>
      <w:lvlJc w:val="left"/>
      <w:pPr>
        <w:ind w:left="5760" w:hanging="360"/>
      </w:pPr>
      <w:rPr>
        <w:rFonts w:ascii="Courier New" w:hAnsi="Courier New" w:hint="default"/>
      </w:rPr>
    </w:lvl>
    <w:lvl w:ilvl="8" w:tplc="F4C827DE">
      <w:start w:val="1"/>
      <w:numFmt w:val="bullet"/>
      <w:lvlText w:val=""/>
      <w:lvlJc w:val="left"/>
      <w:pPr>
        <w:ind w:left="6480" w:hanging="360"/>
      </w:pPr>
      <w:rPr>
        <w:rFonts w:ascii="Wingdings" w:hAnsi="Wingdings" w:hint="default"/>
      </w:rPr>
    </w:lvl>
  </w:abstractNum>
  <w:abstractNum w:abstractNumId="13" w15:restartNumberingAfterBreak="0">
    <w:nsid w:val="640D16D9"/>
    <w:multiLevelType w:val="hybridMultilevel"/>
    <w:tmpl w:val="88B89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E437E3"/>
    <w:multiLevelType w:val="hybridMultilevel"/>
    <w:tmpl w:val="6ADABC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4B442B"/>
    <w:multiLevelType w:val="hybridMultilevel"/>
    <w:tmpl w:val="F13C3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6" w15:restartNumberingAfterBreak="0">
    <w:nsid w:val="7689246C"/>
    <w:multiLevelType w:val="hybridMultilevel"/>
    <w:tmpl w:val="D8E8B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914853">
    <w:abstractNumId w:val="12"/>
  </w:num>
  <w:num w:numId="2" w16cid:durableId="2039696448">
    <w:abstractNumId w:val="4"/>
  </w:num>
  <w:num w:numId="3" w16cid:durableId="511602883">
    <w:abstractNumId w:val="7"/>
  </w:num>
  <w:num w:numId="4" w16cid:durableId="1897818980">
    <w:abstractNumId w:val="2"/>
  </w:num>
  <w:num w:numId="5" w16cid:durableId="1997027891">
    <w:abstractNumId w:val="16"/>
  </w:num>
  <w:num w:numId="6" w16cid:durableId="604920780">
    <w:abstractNumId w:val="13"/>
  </w:num>
  <w:num w:numId="7" w16cid:durableId="947006580">
    <w:abstractNumId w:val="6"/>
  </w:num>
  <w:num w:numId="8" w16cid:durableId="1022589732">
    <w:abstractNumId w:val="11"/>
  </w:num>
  <w:num w:numId="9" w16cid:durableId="220407396">
    <w:abstractNumId w:val="15"/>
  </w:num>
  <w:num w:numId="10" w16cid:durableId="768963209">
    <w:abstractNumId w:val="8"/>
  </w:num>
  <w:num w:numId="11" w16cid:durableId="2141263349">
    <w:abstractNumId w:val="1"/>
  </w:num>
  <w:num w:numId="12" w16cid:durableId="1370642010">
    <w:abstractNumId w:val="14"/>
  </w:num>
  <w:num w:numId="13" w16cid:durableId="1763867364">
    <w:abstractNumId w:val="10"/>
  </w:num>
  <w:num w:numId="14" w16cid:durableId="1989742852">
    <w:abstractNumId w:val="0"/>
  </w:num>
  <w:num w:numId="15" w16cid:durableId="636031414">
    <w:abstractNumId w:val="5"/>
  </w:num>
  <w:num w:numId="16" w16cid:durableId="248348482">
    <w:abstractNumId w:val="9"/>
  </w:num>
  <w:num w:numId="17" w16cid:durableId="838232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EE"/>
    <w:rsid w:val="001E33B8"/>
    <w:rsid w:val="00225945"/>
    <w:rsid w:val="00274400"/>
    <w:rsid w:val="002E5F10"/>
    <w:rsid w:val="00300C81"/>
    <w:rsid w:val="003479C4"/>
    <w:rsid w:val="003B7BE8"/>
    <w:rsid w:val="0040324B"/>
    <w:rsid w:val="00421C5A"/>
    <w:rsid w:val="00447739"/>
    <w:rsid w:val="0048683C"/>
    <w:rsid w:val="004947CB"/>
    <w:rsid w:val="004B292B"/>
    <w:rsid w:val="004E557A"/>
    <w:rsid w:val="00540162"/>
    <w:rsid w:val="005C11BF"/>
    <w:rsid w:val="00607B75"/>
    <w:rsid w:val="006107AB"/>
    <w:rsid w:val="0061284B"/>
    <w:rsid w:val="006B3193"/>
    <w:rsid w:val="007019E8"/>
    <w:rsid w:val="00760989"/>
    <w:rsid w:val="008E669B"/>
    <w:rsid w:val="008F38E5"/>
    <w:rsid w:val="009078FF"/>
    <w:rsid w:val="009465E9"/>
    <w:rsid w:val="00A30AEE"/>
    <w:rsid w:val="00A65EFD"/>
    <w:rsid w:val="00B52508"/>
    <w:rsid w:val="00BE182A"/>
    <w:rsid w:val="00CB43F6"/>
    <w:rsid w:val="00CF4D4A"/>
    <w:rsid w:val="00D010C4"/>
    <w:rsid w:val="00D517AF"/>
    <w:rsid w:val="00E552DD"/>
    <w:rsid w:val="00EB369C"/>
    <w:rsid w:val="00EE2E0F"/>
    <w:rsid w:val="00F240CD"/>
    <w:rsid w:val="00FB69EC"/>
    <w:rsid w:val="01CEB440"/>
    <w:rsid w:val="022E24DA"/>
    <w:rsid w:val="0583444D"/>
    <w:rsid w:val="07D2E0D5"/>
    <w:rsid w:val="0C08B63D"/>
    <w:rsid w:val="1020441C"/>
    <w:rsid w:val="11DEF679"/>
    <w:rsid w:val="13220A77"/>
    <w:rsid w:val="14C7C126"/>
    <w:rsid w:val="15CE74FF"/>
    <w:rsid w:val="1CA4C029"/>
    <w:rsid w:val="1D518190"/>
    <w:rsid w:val="2135F287"/>
    <w:rsid w:val="21EF45FA"/>
    <w:rsid w:val="22C6AD30"/>
    <w:rsid w:val="23703606"/>
    <w:rsid w:val="24EBB843"/>
    <w:rsid w:val="25944813"/>
    <w:rsid w:val="259F250A"/>
    <w:rsid w:val="26E01118"/>
    <w:rsid w:val="272BC847"/>
    <w:rsid w:val="28B14D45"/>
    <w:rsid w:val="28DBB925"/>
    <w:rsid w:val="29D3E557"/>
    <w:rsid w:val="2BDA5BEE"/>
    <w:rsid w:val="2C69688F"/>
    <w:rsid w:val="2FB90C6B"/>
    <w:rsid w:val="34220DE7"/>
    <w:rsid w:val="35497612"/>
    <w:rsid w:val="35E42020"/>
    <w:rsid w:val="37520D56"/>
    <w:rsid w:val="3858CB0B"/>
    <w:rsid w:val="3C008031"/>
    <w:rsid w:val="3DE762DE"/>
    <w:rsid w:val="3E4CB083"/>
    <w:rsid w:val="3F1F7620"/>
    <w:rsid w:val="3F7DD64C"/>
    <w:rsid w:val="41F5297E"/>
    <w:rsid w:val="42E3F95D"/>
    <w:rsid w:val="447CE376"/>
    <w:rsid w:val="46AF8482"/>
    <w:rsid w:val="47A1A26F"/>
    <w:rsid w:val="47C0CEF7"/>
    <w:rsid w:val="47D90A6F"/>
    <w:rsid w:val="47FB9F20"/>
    <w:rsid w:val="4886258A"/>
    <w:rsid w:val="4B46B1B2"/>
    <w:rsid w:val="4BABADDF"/>
    <w:rsid w:val="4BD960B6"/>
    <w:rsid w:val="4CD9314E"/>
    <w:rsid w:val="4D52E726"/>
    <w:rsid w:val="4FDA04B0"/>
    <w:rsid w:val="51386AEA"/>
    <w:rsid w:val="52D0A16D"/>
    <w:rsid w:val="53AF30B5"/>
    <w:rsid w:val="5411053D"/>
    <w:rsid w:val="554E72C8"/>
    <w:rsid w:val="560C07B5"/>
    <w:rsid w:val="563BE318"/>
    <w:rsid w:val="56D5C9DA"/>
    <w:rsid w:val="56EC7103"/>
    <w:rsid w:val="589B757C"/>
    <w:rsid w:val="5A1AD261"/>
    <w:rsid w:val="5A2F68BD"/>
    <w:rsid w:val="5B10D14B"/>
    <w:rsid w:val="5D20A8C4"/>
    <w:rsid w:val="5F325419"/>
    <w:rsid w:val="5FB28B8F"/>
    <w:rsid w:val="60325155"/>
    <w:rsid w:val="60653C70"/>
    <w:rsid w:val="614CBA51"/>
    <w:rsid w:val="62868EB4"/>
    <w:rsid w:val="63C65971"/>
    <w:rsid w:val="64CA47E5"/>
    <w:rsid w:val="65D21286"/>
    <w:rsid w:val="662A1F64"/>
    <w:rsid w:val="67DA422A"/>
    <w:rsid w:val="68076428"/>
    <w:rsid w:val="696E24C1"/>
    <w:rsid w:val="6C608808"/>
    <w:rsid w:val="6E15D855"/>
    <w:rsid w:val="704DACD6"/>
    <w:rsid w:val="723C694A"/>
    <w:rsid w:val="72908214"/>
    <w:rsid w:val="72ADF92F"/>
    <w:rsid w:val="73CDFFDF"/>
    <w:rsid w:val="744316D1"/>
    <w:rsid w:val="74A59A6F"/>
    <w:rsid w:val="74ECA4C6"/>
    <w:rsid w:val="7659E230"/>
    <w:rsid w:val="773F2788"/>
    <w:rsid w:val="777BE078"/>
    <w:rsid w:val="7927B423"/>
    <w:rsid w:val="7A28EA6A"/>
    <w:rsid w:val="7B147EC7"/>
    <w:rsid w:val="7B56D070"/>
    <w:rsid w:val="7BA9FFF4"/>
    <w:rsid w:val="7BDF2051"/>
    <w:rsid w:val="7D8A7D34"/>
    <w:rsid w:val="7DBF9C0B"/>
    <w:rsid w:val="7F963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B4415"/>
  <w15:chartTrackingRefBased/>
  <w15:docId w15:val="{ED551B1C-AE43-42F7-815F-1028A3D5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A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0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0A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0A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0A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0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A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0A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0A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0A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0A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0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AEE"/>
    <w:rPr>
      <w:rFonts w:eastAsiaTheme="majorEastAsia" w:cstheme="majorBidi"/>
      <w:color w:val="272727" w:themeColor="text1" w:themeTint="D8"/>
    </w:rPr>
  </w:style>
  <w:style w:type="paragraph" w:styleId="Title">
    <w:name w:val="Title"/>
    <w:basedOn w:val="Normal"/>
    <w:next w:val="Normal"/>
    <w:link w:val="TitleChar"/>
    <w:uiPriority w:val="10"/>
    <w:qFormat/>
    <w:rsid w:val="00A30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AEE"/>
    <w:pPr>
      <w:spacing w:before="160"/>
      <w:jc w:val="center"/>
    </w:pPr>
    <w:rPr>
      <w:i/>
      <w:iCs/>
      <w:color w:val="404040" w:themeColor="text1" w:themeTint="BF"/>
    </w:rPr>
  </w:style>
  <w:style w:type="character" w:customStyle="1" w:styleId="QuoteChar">
    <w:name w:val="Quote Char"/>
    <w:basedOn w:val="DefaultParagraphFont"/>
    <w:link w:val="Quote"/>
    <w:uiPriority w:val="29"/>
    <w:rsid w:val="00A30AEE"/>
    <w:rPr>
      <w:i/>
      <w:iCs/>
      <w:color w:val="404040" w:themeColor="text1" w:themeTint="BF"/>
    </w:rPr>
  </w:style>
  <w:style w:type="paragraph" w:styleId="ListParagraph">
    <w:name w:val="List Paragraph"/>
    <w:basedOn w:val="Normal"/>
    <w:uiPriority w:val="34"/>
    <w:qFormat/>
    <w:rsid w:val="00A30AEE"/>
    <w:pPr>
      <w:ind w:left="720"/>
      <w:contextualSpacing/>
    </w:pPr>
  </w:style>
  <w:style w:type="character" w:styleId="IntenseEmphasis">
    <w:name w:val="Intense Emphasis"/>
    <w:basedOn w:val="DefaultParagraphFont"/>
    <w:uiPriority w:val="21"/>
    <w:qFormat/>
    <w:rsid w:val="00A30AEE"/>
    <w:rPr>
      <w:i/>
      <w:iCs/>
      <w:color w:val="2F5496" w:themeColor="accent1" w:themeShade="BF"/>
    </w:rPr>
  </w:style>
  <w:style w:type="paragraph" w:styleId="IntenseQuote">
    <w:name w:val="Intense Quote"/>
    <w:basedOn w:val="Normal"/>
    <w:next w:val="Normal"/>
    <w:link w:val="IntenseQuoteChar"/>
    <w:uiPriority w:val="30"/>
    <w:qFormat/>
    <w:rsid w:val="00A30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0AEE"/>
    <w:rPr>
      <w:i/>
      <w:iCs/>
      <w:color w:val="2F5496" w:themeColor="accent1" w:themeShade="BF"/>
    </w:rPr>
  </w:style>
  <w:style w:type="character" w:styleId="IntenseReference">
    <w:name w:val="Intense Reference"/>
    <w:basedOn w:val="DefaultParagraphFont"/>
    <w:uiPriority w:val="32"/>
    <w:qFormat/>
    <w:rsid w:val="00A30AEE"/>
    <w:rPr>
      <w:b/>
      <w:bCs/>
      <w:smallCaps/>
      <w:color w:val="2F5496" w:themeColor="accent1" w:themeShade="BF"/>
      <w:spacing w:val="5"/>
    </w:rPr>
  </w:style>
  <w:style w:type="paragraph" w:styleId="Header">
    <w:name w:val="header"/>
    <w:basedOn w:val="Normal"/>
    <w:link w:val="HeaderChar"/>
    <w:uiPriority w:val="99"/>
    <w:unhideWhenUsed/>
    <w:rsid w:val="00A30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AEE"/>
  </w:style>
  <w:style w:type="paragraph" w:styleId="Footer">
    <w:name w:val="footer"/>
    <w:basedOn w:val="Normal"/>
    <w:link w:val="FooterChar"/>
    <w:uiPriority w:val="99"/>
    <w:unhideWhenUsed/>
    <w:rsid w:val="00A30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AEE"/>
  </w:style>
  <w:style w:type="character" w:styleId="CommentReference">
    <w:name w:val="annotation reference"/>
    <w:basedOn w:val="DefaultParagraphFont"/>
    <w:uiPriority w:val="99"/>
    <w:semiHidden/>
    <w:unhideWhenUsed/>
    <w:rsid w:val="00607B75"/>
    <w:rPr>
      <w:sz w:val="16"/>
      <w:szCs w:val="16"/>
    </w:rPr>
  </w:style>
  <w:style w:type="paragraph" w:styleId="CommentText">
    <w:name w:val="annotation text"/>
    <w:basedOn w:val="Normal"/>
    <w:link w:val="CommentTextChar"/>
    <w:uiPriority w:val="99"/>
    <w:unhideWhenUsed/>
    <w:rsid w:val="00607B75"/>
    <w:pPr>
      <w:spacing w:line="240" w:lineRule="auto"/>
    </w:pPr>
    <w:rPr>
      <w:sz w:val="20"/>
      <w:szCs w:val="20"/>
    </w:rPr>
  </w:style>
  <w:style w:type="character" w:customStyle="1" w:styleId="CommentTextChar">
    <w:name w:val="Comment Text Char"/>
    <w:basedOn w:val="DefaultParagraphFont"/>
    <w:link w:val="CommentText"/>
    <w:uiPriority w:val="99"/>
    <w:rsid w:val="00607B75"/>
    <w:rPr>
      <w:sz w:val="20"/>
      <w:szCs w:val="20"/>
    </w:rPr>
  </w:style>
  <w:style w:type="paragraph" w:styleId="CommentSubject">
    <w:name w:val="annotation subject"/>
    <w:basedOn w:val="CommentText"/>
    <w:next w:val="CommentText"/>
    <w:link w:val="CommentSubjectChar"/>
    <w:uiPriority w:val="99"/>
    <w:semiHidden/>
    <w:unhideWhenUsed/>
    <w:rsid w:val="00607B75"/>
    <w:rPr>
      <w:b/>
      <w:bCs/>
    </w:rPr>
  </w:style>
  <w:style w:type="character" w:customStyle="1" w:styleId="CommentSubjectChar">
    <w:name w:val="Comment Subject Char"/>
    <w:basedOn w:val="CommentTextChar"/>
    <w:link w:val="CommentSubject"/>
    <w:uiPriority w:val="99"/>
    <w:semiHidden/>
    <w:rsid w:val="00607B75"/>
    <w:rPr>
      <w:b/>
      <w:bCs/>
      <w:sz w:val="20"/>
      <w:szCs w:val="20"/>
    </w:rPr>
  </w:style>
  <w:style w:type="character" w:styleId="Hyperlink">
    <w:name w:val="Hyperlink"/>
    <w:basedOn w:val="DefaultParagraphFont"/>
    <w:uiPriority w:val="99"/>
    <w:unhideWhenUsed/>
    <w:rsid w:val="60653C70"/>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50432">
      <w:bodyDiv w:val="1"/>
      <w:marLeft w:val="0"/>
      <w:marRight w:val="0"/>
      <w:marTop w:val="0"/>
      <w:marBottom w:val="0"/>
      <w:divBdr>
        <w:top w:val="none" w:sz="0" w:space="0" w:color="auto"/>
        <w:left w:val="none" w:sz="0" w:space="0" w:color="auto"/>
        <w:bottom w:val="none" w:sz="0" w:space="0" w:color="auto"/>
        <w:right w:val="none" w:sz="0" w:space="0" w:color="auto"/>
      </w:divBdr>
    </w:div>
    <w:div w:id="390537792">
      <w:bodyDiv w:val="1"/>
      <w:marLeft w:val="0"/>
      <w:marRight w:val="0"/>
      <w:marTop w:val="0"/>
      <w:marBottom w:val="0"/>
      <w:divBdr>
        <w:top w:val="none" w:sz="0" w:space="0" w:color="auto"/>
        <w:left w:val="none" w:sz="0" w:space="0" w:color="auto"/>
        <w:bottom w:val="none" w:sz="0" w:space="0" w:color="auto"/>
        <w:right w:val="none" w:sz="0" w:space="0" w:color="auto"/>
      </w:divBdr>
    </w:div>
    <w:div w:id="791022488">
      <w:bodyDiv w:val="1"/>
      <w:marLeft w:val="0"/>
      <w:marRight w:val="0"/>
      <w:marTop w:val="0"/>
      <w:marBottom w:val="0"/>
      <w:divBdr>
        <w:top w:val="none" w:sz="0" w:space="0" w:color="auto"/>
        <w:left w:val="none" w:sz="0" w:space="0" w:color="auto"/>
        <w:bottom w:val="none" w:sz="0" w:space="0" w:color="auto"/>
        <w:right w:val="none" w:sz="0" w:space="0" w:color="auto"/>
      </w:divBdr>
    </w:div>
    <w:div w:id="884676329">
      <w:bodyDiv w:val="1"/>
      <w:marLeft w:val="0"/>
      <w:marRight w:val="0"/>
      <w:marTop w:val="0"/>
      <w:marBottom w:val="0"/>
      <w:divBdr>
        <w:top w:val="none" w:sz="0" w:space="0" w:color="auto"/>
        <w:left w:val="none" w:sz="0" w:space="0" w:color="auto"/>
        <w:bottom w:val="none" w:sz="0" w:space="0" w:color="auto"/>
        <w:right w:val="none" w:sz="0" w:space="0" w:color="auto"/>
      </w:divBdr>
    </w:div>
    <w:div w:id="1113327076">
      <w:bodyDiv w:val="1"/>
      <w:marLeft w:val="0"/>
      <w:marRight w:val="0"/>
      <w:marTop w:val="0"/>
      <w:marBottom w:val="0"/>
      <w:divBdr>
        <w:top w:val="none" w:sz="0" w:space="0" w:color="auto"/>
        <w:left w:val="none" w:sz="0" w:space="0" w:color="auto"/>
        <w:bottom w:val="none" w:sz="0" w:space="0" w:color="auto"/>
        <w:right w:val="none" w:sz="0" w:space="0" w:color="auto"/>
      </w:divBdr>
    </w:div>
    <w:div w:id="1123964625">
      <w:bodyDiv w:val="1"/>
      <w:marLeft w:val="0"/>
      <w:marRight w:val="0"/>
      <w:marTop w:val="0"/>
      <w:marBottom w:val="0"/>
      <w:divBdr>
        <w:top w:val="none" w:sz="0" w:space="0" w:color="auto"/>
        <w:left w:val="none" w:sz="0" w:space="0" w:color="auto"/>
        <w:bottom w:val="none" w:sz="0" w:space="0" w:color="auto"/>
        <w:right w:val="none" w:sz="0" w:space="0" w:color="auto"/>
      </w:divBdr>
    </w:div>
    <w:div w:id="1799837131">
      <w:bodyDiv w:val="1"/>
      <w:marLeft w:val="0"/>
      <w:marRight w:val="0"/>
      <w:marTop w:val="0"/>
      <w:marBottom w:val="0"/>
      <w:divBdr>
        <w:top w:val="none" w:sz="0" w:space="0" w:color="auto"/>
        <w:left w:val="none" w:sz="0" w:space="0" w:color="auto"/>
        <w:bottom w:val="none" w:sz="0" w:space="0" w:color="auto"/>
        <w:right w:val="none" w:sz="0" w:space="0" w:color="auto"/>
      </w:divBdr>
    </w:div>
    <w:div w:id="196230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abd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16AEB-9B80-44AA-93AE-8AD77BF69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 Philip</dc:creator>
  <cp:keywords/>
  <dc:description/>
  <cp:lastModifiedBy>Bale, Philip</cp:lastModifiedBy>
  <cp:revision>4</cp:revision>
  <dcterms:created xsi:type="dcterms:W3CDTF">2025-02-20T13:06:00Z</dcterms:created>
  <dcterms:modified xsi:type="dcterms:W3CDTF">2025-02-20T13:15:00Z</dcterms:modified>
</cp:coreProperties>
</file>