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6DED33C3" w:rsidR="004875F8" w:rsidRDefault="004875F8" w:rsidP="00111191">
      <w:pPr>
        <w:spacing w:before="0"/>
        <w:ind w:left="567"/>
        <w:rPr>
          <w:rFonts w:cstheme="minorHAnsi"/>
          <w:sz w:val="20"/>
          <w:szCs w:val="20"/>
        </w:rPr>
      </w:pP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61BBC029" w14:textId="675DF62D" w:rsidR="00C006CC" w:rsidRPr="005C76A4" w:rsidRDefault="00485F7B" w:rsidP="45379828">
      <w:pPr>
        <w:autoSpaceDE w:val="0"/>
        <w:autoSpaceDN w:val="0"/>
        <w:adjustRightInd w:val="0"/>
        <w:spacing w:before="0"/>
        <w:ind w:left="0" w:firstLine="0"/>
        <w:jc w:val="center"/>
        <w:rPr>
          <w:rFonts w:eastAsia="Calibri"/>
          <w:b/>
          <w:bCs/>
          <w:color w:val="000000"/>
          <w:sz w:val="40"/>
          <w:szCs w:val="40"/>
        </w:rPr>
      </w:pPr>
      <w:r w:rsidRPr="45379828">
        <w:rPr>
          <w:rFonts w:eastAsia="Calibri"/>
          <w:b/>
          <w:bCs/>
          <w:color w:val="000000" w:themeColor="text1"/>
          <w:sz w:val="40"/>
          <w:szCs w:val="40"/>
        </w:rPr>
        <w:t>Resilience Policy</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3BD01CB8" w14:textId="77777777" w:rsidR="00C006CC" w:rsidRPr="005C76A4" w:rsidRDefault="00C006CC" w:rsidP="00C006CC">
      <w:pPr>
        <w:spacing w:before="0" w:after="160" w:line="259" w:lineRule="auto"/>
        <w:ind w:left="0" w:right="5198" w:firstLine="0"/>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4E49A6AC" w14:textId="7657D0CE" w:rsidR="006841F3" w:rsidRPr="00AC5D07" w:rsidRDefault="00485F7B" w:rsidP="006841F3">
      <w:pPr>
        <w:spacing w:before="0" w:after="160" w:line="259" w:lineRule="auto"/>
        <w:ind w:left="0" w:right="5198" w:firstLine="0"/>
        <w:rPr>
          <w:rFonts w:eastAsia="Calibri" w:cstheme="minorHAnsi"/>
          <w:color w:val="000000"/>
        </w:rPr>
      </w:pPr>
      <w:r>
        <w:rPr>
          <w:rFonts w:eastAsia="Calibri" w:cstheme="minorHAnsi"/>
          <w:color w:val="000000"/>
        </w:rPr>
        <w:t xml:space="preserve">The Resilience Policy details the University of Aberdeen’s governance and processes in place to manage ongoing business activities </w:t>
      </w:r>
      <w:proofErr w:type="gramStart"/>
      <w:r>
        <w:rPr>
          <w:rFonts w:eastAsia="Calibri" w:cstheme="minorHAnsi"/>
          <w:color w:val="000000"/>
        </w:rPr>
        <w:t>as a result of</w:t>
      </w:r>
      <w:proofErr w:type="gramEnd"/>
      <w:r>
        <w:rPr>
          <w:rFonts w:eastAsia="Calibri" w:cstheme="minorHAnsi"/>
          <w:color w:val="000000"/>
        </w:rPr>
        <w:t xml:space="preserve"> disruptive events.</w:t>
      </w:r>
    </w:p>
    <w:p w14:paraId="51256A28" w14:textId="77777777" w:rsidR="009F50EC" w:rsidRDefault="009F50EC" w:rsidP="009F50EC">
      <w:pPr>
        <w:spacing w:before="0" w:after="160" w:line="259" w:lineRule="auto"/>
        <w:ind w:left="0" w:right="5198" w:firstLine="0"/>
        <w:rPr>
          <w:rFonts w:eastAsia="Calibri" w:cstheme="minorHAnsi"/>
          <w:color w:val="000000"/>
        </w:rPr>
      </w:pPr>
    </w:p>
    <w:p w14:paraId="34C21FB3" w14:textId="1646F052" w:rsidR="009F50EC" w:rsidRDefault="009F50EC" w:rsidP="009F50EC">
      <w:pPr>
        <w:spacing w:before="0" w:after="160" w:line="259" w:lineRule="auto"/>
        <w:ind w:left="0" w:right="5198" w:firstLine="0"/>
        <w:rPr>
          <w:rFonts w:eastAsia="Calibri" w:cstheme="minorHAnsi"/>
          <w:color w:val="000000"/>
        </w:rPr>
      </w:pPr>
    </w:p>
    <w:p w14:paraId="3A7E288C" w14:textId="14E64387" w:rsidR="009F50EC" w:rsidRDefault="009F50EC" w:rsidP="009F50EC">
      <w:pPr>
        <w:spacing w:before="0" w:after="160" w:line="259" w:lineRule="auto"/>
        <w:ind w:left="0" w:right="5198" w:firstLine="0"/>
        <w:rPr>
          <w:rFonts w:eastAsia="Calibri" w:cstheme="minorHAnsi"/>
          <w:color w:val="000000"/>
        </w:rPr>
      </w:pPr>
    </w:p>
    <w:p w14:paraId="60B93C27" w14:textId="3D458128" w:rsidR="009F50EC" w:rsidRDefault="009F50EC" w:rsidP="009F50EC">
      <w:pPr>
        <w:spacing w:before="0" w:after="160" w:line="259" w:lineRule="auto"/>
        <w:ind w:left="0" w:right="5198" w:firstLine="0"/>
        <w:rPr>
          <w:rFonts w:eastAsia="Calibri" w:cstheme="minorHAnsi"/>
          <w:color w:val="000000"/>
        </w:rPr>
      </w:pPr>
    </w:p>
    <w:p w14:paraId="2E789EF8" w14:textId="77777777" w:rsidR="009F50EC" w:rsidRPr="005C76A4" w:rsidRDefault="009F50EC" w:rsidP="009F50EC">
      <w:pPr>
        <w:spacing w:before="0" w:after="160" w:line="259" w:lineRule="auto"/>
        <w:ind w:left="0" w:right="5198" w:firstLine="0"/>
        <w:rPr>
          <w:rFonts w:eastAsia="Calibri" w:cstheme="minorHAnsi"/>
          <w:color w:val="000000"/>
        </w:rPr>
      </w:pPr>
    </w:p>
    <w:p w14:paraId="0B92DF75" w14:textId="77777777" w:rsidR="00C006CC" w:rsidRPr="005C76A4" w:rsidRDefault="00C006CC" w:rsidP="00C006CC">
      <w:pPr>
        <w:spacing w:before="0" w:after="160" w:line="259" w:lineRule="auto"/>
        <w:ind w:left="5812" w:firstLine="0"/>
        <w:rPr>
          <w:rFonts w:eastAsia="Calibri" w:cstheme="minorHAnsi"/>
          <w:color w:val="000000"/>
          <w:sz w:val="24"/>
          <w:szCs w:val="24"/>
        </w:rPr>
      </w:pPr>
    </w:p>
    <w:p w14:paraId="1C933F6F" w14:textId="77777777" w:rsidR="00C006CC" w:rsidRPr="009F50EC" w:rsidRDefault="00C006CC" w:rsidP="00C006CC">
      <w:pPr>
        <w:spacing w:before="0" w:after="160" w:line="259" w:lineRule="auto"/>
        <w:ind w:left="0" w:firstLine="0"/>
        <w:rPr>
          <w:rFonts w:eastAsia="Calibri" w:cstheme="minorHAnsi"/>
          <w:b/>
          <w:bCs/>
          <w:color w:val="000000"/>
          <w:sz w:val="24"/>
          <w:szCs w:val="24"/>
          <w:u w:val="single"/>
        </w:rPr>
      </w:pPr>
      <w:r w:rsidRPr="009F50EC">
        <w:rPr>
          <w:rFonts w:eastAsia="Calibri" w:cstheme="minorHAnsi"/>
          <w:b/>
          <w:bCs/>
          <w:color w:val="000000"/>
          <w:sz w:val="24"/>
          <w:szCs w:val="24"/>
          <w:u w:val="single"/>
        </w:rPr>
        <w:t xml:space="preserve">Approval </w:t>
      </w:r>
    </w:p>
    <w:p w14:paraId="57F53414" w14:textId="23B2B825"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Approved by:</w:t>
      </w:r>
      <w:r w:rsidR="00284388" w:rsidRPr="005C76A4">
        <w:rPr>
          <w:rFonts w:eastAsia="Calibri" w:cstheme="minorHAnsi"/>
          <w:b/>
          <w:bCs/>
          <w:color w:val="000000"/>
          <w:sz w:val="24"/>
          <w:szCs w:val="24"/>
        </w:rPr>
        <w:t xml:space="preserve"> </w:t>
      </w:r>
      <w:r w:rsidR="00274C9A">
        <w:rPr>
          <w:rFonts w:eastAsia="Calibri" w:cstheme="minorHAnsi"/>
          <w:b/>
          <w:bCs/>
          <w:color w:val="000000"/>
          <w:sz w:val="24"/>
          <w:szCs w:val="24"/>
        </w:rPr>
        <w:t>SMT</w:t>
      </w:r>
    </w:p>
    <w:p w14:paraId="74DBCA4A" w14:textId="62BC64FD" w:rsidR="00C006CC"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 xml:space="preserve">Date:  </w:t>
      </w:r>
      <w:r w:rsidR="00274C9A">
        <w:rPr>
          <w:rFonts w:eastAsia="Calibri" w:cstheme="minorHAnsi"/>
          <w:b/>
          <w:bCs/>
          <w:color w:val="000000"/>
          <w:sz w:val="24"/>
          <w:szCs w:val="24"/>
        </w:rPr>
        <w:t>15/01/2026</w:t>
      </w:r>
    </w:p>
    <w:p w14:paraId="6BB8FA83" w14:textId="452AE2D4" w:rsidR="00485F7B" w:rsidRPr="005C76A4" w:rsidRDefault="00485F7B" w:rsidP="00C006CC">
      <w:pPr>
        <w:spacing w:before="0" w:after="160" w:line="259" w:lineRule="auto"/>
        <w:ind w:left="0" w:firstLine="0"/>
        <w:rPr>
          <w:rFonts w:eastAsia="Calibri" w:cstheme="minorHAnsi"/>
          <w:b/>
          <w:bCs/>
          <w:color w:val="000000"/>
          <w:sz w:val="24"/>
          <w:szCs w:val="24"/>
        </w:rPr>
      </w:pPr>
      <w:r>
        <w:rPr>
          <w:rFonts w:eastAsia="Calibri" w:cstheme="minorHAnsi"/>
          <w:b/>
          <w:bCs/>
          <w:color w:val="000000"/>
          <w:sz w:val="24"/>
          <w:szCs w:val="24"/>
        </w:rPr>
        <w:t>Review Date:</w:t>
      </w:r>
      <w:r w:rsidR="00274C9A">
        <w:rPr>
          <w:rFonts w:eastAsia="Calibri" w:cstheme="minorHAnsi"/>
          <w:b/>
          <w:bCs/>
          <w:color w:val="000000"/>
          <w:sz w:val="24"/>
          <w:szCs w:val="24"/>
        </w:rPr>
        <w:t xml:space="preserve"> 15/01/2027</w:t>
      </w:r>
    </w:p>
    <w:p w14:paraId="2EEC6FB8" w14:textId="77777777"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r w:rsidRPr="005C76A4">
        <w:rPr>
          <w:rFonts w:eastAsia="Calibri" w:cstheme="minorHAnsi"/>
          <w:b/>
          <w:bCs/>
          <w:color w:val="000000"/>
          <w:sz w:val="36"/>
          <w:szCs w:val="36"/>
        </w:rPr>
        <w:lastRenderedPageBreak/>
        <w:tab/>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45379828">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45379828">
        <w:trPr>
          <w:trHeight w:val="404"/>
        </w:trPr>
        <w:tc>
          <w:tcPr>
            <w:tcW w:w="2259" w:type="dxa"/>
            <w:vAlign w:val="center"/>
          </w:tcPr>
          <w:p w14:paraId="0D35F723" w14:textId="05884390" w:rsidR="00C006CC" w:rsidRPr="005C76A4" w:rsidRDefault="00C006CC" w:rsidP="00586D95">
            <w:pPr>
              <w:rPr>
                <w:rFonts w:eastAsia="Calibri" w:cstheme="minorHAnsi"/>
                <w:b/>
                <w:bCs/>
                <w:color w:val="000000"/>
              </w:rPr>
            </w:pPr>
            <w:r w:rsidRPr="005C76A4">
              <w:rPr>
                <w:rFonts w:eastAsia="Calibri" w:cstheme="minorHAnsi"/>
                <w:color w:val="000000"/>
              </w:rPr>
              <w:t>Draft 1</w:t>
            </w:r>
          </w:p>
        </w:tc>
        <w:tc>
          <w:tcPr>
            <w:tcW w:w="1557" w:type="dxa"/>
            <w:vAlign w:val="center"/>
          </w:tcPr>
          <w:p w14:paraId="6A56A060" w14:textId="532BBE4F" w:rsidR="00C006CC" w:rsidRPr="005C76A4" w:rsidRDefault="0036656B" w:rsidP="00586D95">
            <w:pPr>
              <w:rPr>
                <w:rFonts w:eastAsia="Calibri" w:cstheme="minorHAnsi"/>
                <w:color w:val="000000"/>
              </w:rPr>
            </w:pPr>
            <w:r>
              <w:rPr>
                <w:rFonts w:eastAsia="Calibri" w:cstheme="minorHAnsi"/>
                <w:color w:val="000000"/>
              </w:rPr>
              <w:t>Nov.</w:t>
            </w:r>
            <w:r w:rsidR="00485F7B">
              <w:rPr>
                <w:rFonts w:eastAsia="Calibri" w:cstheme="minorHAnsi"/>
                <w:color w:val="000000"/>
              </w:rPr>
              <w:t xml:space="preserve"> 2025</w:t>
            </w:r>
          </w:p>
        </w:tc>
        <w:tc>
          <w:tcPr>
            <w:tcW w:w="5661" w:type="dxa"/>
            <w:vAlign w:val="center"/>
          </w:tcPr>
          <w:p w14:paraId="2788D684" w14:textId="59AD3783" w:rsidR="000920AA" w:rsidRDefault="001C3051" w:rsidP="00586D95">
            <w:pPr>
              <w:rPr>
                <w:rFonts w:eastAsia="Calibri"/>
                <w:color w:val="000000"/>
              </w:rPr>
            </w:pPr>
            <w:r>
              <w:rPr>
                <w:rFonts w:eastAsia="Calibri"/>
                <w:color w:val="000000" w:themeColor="text1"/>
              </w:rPr>
              <w:t>Full revision</w:t>
            </w:r>
            <w:r w:rsidR="000920AA" w:rsidRPr="2B6B30F5">
              <w:rPr>
                <w:rFonts w:eastAsia="Calibri"/>
                <w:color w:val="000000" w:themeColor="text1"/>
              </w:rPr>
              <w:t xml:space="preserve"> </w:t>
            </w:r>
            <w:r w:rsidR="00504EBF">
              <w:rPr>
                <w:rFonts w:eastAsia="Calibri"/>
                <w:color w:val="000000" w:themeColor="text1"/>
              </w:rPr>
              <w:t xml:space="preserve">and rewrite </w:t>
            </w:r>
            <w:r w:rsidR="000920AA" w:rsidRPr="2B6B30F5">
              <w:rPr>
                <w:rFonts w:eastAsia="Calibri"/>
                <w:color w:val="000000" w:themeColor="text1"/>
              </w:rPr>
              <w:t>with new template.</w:t>
            </w:r>
          </w:p>
          <w:p w14:paraId="58F43C2B" w14:textId="77777777" w:rsidR="00F31837" w:rsidRDefault="008F67DA" w:rsidP="45379828">
            <w:pPr>
              <w:rPr>
                <w:rFonts w:eastAsia="Calibri"/>
                <w:color w:val="000000" w:themeColor="text1"/>
              </w:rPr>
            </w:pPr>
            <w:r>
              <w:rPr>
                <w:rFonts w:eastAsia="Calibri"/>
                <w:color w:val="000000" w:themeColor="text1"/>
              </w:rPr>
              <w:t xml:space="preserve">Addition of </w:t>
            </w:r>
            <w:r w:rsidR="00F31837">
              <w:rPr>
                <w:rFonts w:eastAsia="Calibri"/>
                <w:color w:val="000000" w:themeColor="text1"/>
              </w:rPr>
              <w:t>descriptors</w:t>
            </w:r>
            <w:r w:rsidR="004F4AAA">
              <w:rPr>
                <w:rFonts w:eastAsia="Calibri"/>
                <w:color w:val="000000" w:themeColor="text1"/>
              </w:rPr>
              <w:t xml:space="preserve"> on </w:t>
            </w:r>
            <w:r w:rsidR="00A234D0">
              <w:rPr>
                <w:rFonts w:eastAsia="Calibri"/>
                <w:color w:val="000000" w:themeColor="text1"/>
              </w:rPr>
              <w:t>programmes of work</w:t>
            </w:r>
            <w:r w:rsidR="004F4AAA">
              <w:rPr>
                <w:rFonts w:eastAsia="Calibri"/>
                <w:color w:val="000000" w:themeColor="text1"/>
              </w:rPr>
              <w:t xml:space="preserve"> in line with </w:t>
            </w:r>
            <w:r w:rsidR="00F31837">
              <w:rPr>
                <w:rFonts w:eastAsia="Calibri"/>
                <w:color w:val="000000" w:themeColor="text1"/>
              </w:rPr>
              <w:t xml:space="preserve">Resilience Overview, to align with </w:t>
            </w:r>
            <w:r w:rsidR="0014036D">
              <w:rPr>
                <w:rFonts w:eastAsia="Calibri"/>
                <w:color w:val="000000" w:themeColor="text1"/>
              </w:rPr>
              <w:t>Roles and Responsibilities</w:t>
            </w:r>
          </w:p>
          <w:p w14:paraId="18537897" w14:textId="29B30BFD" w:rsidR="00BC613C" w:rsidRPr="00F31837" w:rsidRDefault="00BC613C" w:rsidP="45379828">
            <w:pPr>
              <w:rPr>
                <w:rFonts w:eastAsia="Calibri"/>
                <w:color w:val="000000" w:themeColor="text1"/>
              </w:rPr>
            </w:pPr>
            <w:r w:rsidRPr="00BC613C">
              <w:rPr>
                <w:rFonts w:eastAsia="Calibri"/>
                <w:color w:val="000000" w:themeColor="text1"/>
              </w:rPr>
              <w:t>For</w:t>
            </w:r>
            <w:r w:rsidR="00504EBF">
              <w:rPr>
                <w:rFonts w:eastAsia="Calibri"/>
                <w:color w:val="000000" w:themeColor="text1"/>
              </w:rPr>
              <w:t xml:space="preserve"> information at H&amp;S Committee then for</w:t>
            </w:r>
            <w:r w:rsidRPr="00BC613C">
              <w:rPr>
                <w:rFonts w:eastAsia="Calibri"/>
                <w:color w:val="000000" w:themeColor="text1"/>
              </w:rPr>
              <w:t xml:space="preserve"> approval or review at SMT.</w:t>
            </w:r>
          </w:p>
        </w:tc>
      </w:tr>
      <w:tr w:rsidR="0068083F" w:rsidRPr="005C76A4" w14:paraId="43DFE5A8" w14:textId="77777777" w:rsidTr="45379828">
        <w:trPr>
          <w:trHeight w:val="404"/>
        </w:trPr>
        <w:tc>
          <w:tcPr>
            <w:tcW w:w="2259" w:type="dxa"/>
            <w:vAlign w:val="center"/>
          </w:tcPr>
          <w:p w14:paraId="031576EE" w14:textId="2989A7B6" w:rsidR="0068083F" w:rsidRPr="005C76A4" w:rsidRDefault="00274C9A" w:rsidP="00586D95">
            <w:pPr>
              <w:rPr>
                <w:rFonts w:eastAsia="Calibri" w:cstheme="minorHAnsi"/>
                <w:color w:val="000000"/>
              </w:rPr>
            </w:pPr>
            <w:r>
              <w:rPr>
                <w:rFonts w:eastAsia="Calibri" w:cstheme="minorHAnsi"/>
                <w:color w:val="000000"/>
              </w:rPr>
              <w:t>Draft 2</w:t>
            </w:r>
          </w:p>
        </w:tc>
        <w:tc>
          <w:tcPr>
            <w:tcW w:w="1557" w:type="dxa"/>
            <w:vAlign w:val="center"/>
          </w:tcPr>
          <w:p w14:paraId="69803797" w14:textId="5CF11494" w:rsidR="0068083F" w:rsidRPr="005C76A4" w:rsidRDefault="00274C9A" w:rsidP="00586D95">
            <w:pPr>
              <w:rPr>
                <w:rFonts w:eastAsia="Calibri" w:cstheme="minorHAnsi"/>
                <w:color w:val="000000"/>
              </w:rPr>
            </w:pPr>
            <w:r>
              <w:rPr>
                <w:rFonts w:eastAsia="Calibri" w:cstheme="minorHAnsi"/>
                <w:color w:val="000000"/>
              </w:rPr>
              <w:t>Jan. 2026</w:t>
            </w:r>
          </w:p>
        </w:tc>
        <w:tc>
          <w:tcPr>
            <w:tcW w:w="5661" w:type="dxa"/>
            <w:vAlign w:val="center"/>
          </w:tcPr>
          <w:p w14:paraId="76E17F5C" w14:textId="3F09C604" w:rsidR="0068083F" w:rsidRPr="005C76A4" w:rsidRDefault="00274C9A" w:rsidP="00586D95">
            <w:pPr>
              <w:rPr>
                <w:rFonts w:eastAsia="Calibri" w:cstheme="minorHAnsi"/>
                <w:color w:val="000000"/>
              </w:rPr>
            </w:pPr>
            <w:r>
              <w:rPr>
                <w:rFonts w:eastAsia="Calibri" w:cstheme="minorHAnsi"/>
                <w:color w:val="000000"/>
              </w:rPr>
              <w:t>Minor change to wording following review at RAG, before approval at SMT.</w:t>
            </w:r>
          </w:p>
        </w:tc>
      </w:tr>
      <w:tr w:rsidR="0068083F" w:rsidRPr="005C76A4" w14:paraId="72BDD246" w14:textId="77777777" w:rsidTr="45379828">
        <w:trPr>
          <w:trHeight w:val="404"/>
        </w:trPr>
        <w:tc>
          <w:tcPr>
            <w:tcW w:w="2259" w:type="dxa"/>
            <w:vAlign w:val="center"/>
          </w:tcPr>
          <w:p w14:paraId="0A3A3233" w14:textId="77777777" w:rsidR="0068083F" w:rsidRPr="005C76A4" w:rsidRDefault="0068083F" w:rsidP="00586D95">
            <w:pPr>
              <w:rPr>
                <w:rFonts w:eastAsia="Calibri" w:cstheme="minorHAnsi"/>
                <w:color w:val="000000"/>
              </w:rPr>
            </w:pPr>
          </w:p>
        </w:tc>
        <w:tc>
          <w:tcPr>
            <w:tcW w:w="1557" w:type="dxa"/>
            <w:vAlign w:val="center"/>
          </w:tcPr>
          <w:p w14:paraId="75A47CD5" w14:textId="77777777" w:rsidR="0068083F" w:rsidRPr="005C76A4" w:rsidRDefault="0068083F" w:rsidP="00586D95">
            <w:pPr>
              <w:rPr>
                <w:rFonts w:eastAsia="Calibri" w:cstheme="minorHAnsi"/>
                <w:color w:val="000000"/>
              </w:rPr>
            </w:pPr>
          </w:p>
        </w:tc>
        <w:tc>
          <w:tcPr>
            <w:tcW w:w="5661" w:type="dxa"/>
            <w:vAlign w:val="center"/>
          </w:tcPr>
          <w:p w14:paraId="4255DAF5" w14:textId="4C1D8BCC" w:rsidR="0068083F" w:rsidRPr="005C76A4" w:rsidRDefault="0068083F" w:rsidP="00586D95">
            <w:pPr>
              <w:rPr>
                <w:rFonts w:eastAsia="Calibri" w:cstheme="minorHAnsi"/>
                <w:color w:val="000000"/>
              </w:rPr>
            </w:pP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C006CC">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Theme="minorEastAsia"/>
        </w:rPr>
        <w:id w:val="-841242232"/>
        <w:docPartObj>
          <w:docPartGallery w:val="Table of Contents"/>
          <w:docPartUnique/>
        </w:docPartObj>
      </w:sdtPr>
      <w:sdtEndPr>
        <w:rPr>
          <w:b/>
        </w:rPr>
      </w:sdtEndPr>
      <w:sdtContent>
        <w:p w14:paraId="5DB735DB" w14:textId="6DCBE3F4" w:rsidR="00DA30D2" w:rsidRPr="00390A44" w:rsidRDefault="00C006CC" w:rsidP="00C006CC">
          <w:pPr>
            <w:keepNext/>
            <w:keepLines/>
            <w:spacing w:before="240" w:line="259" w:lineRule="auto"/>
            <w:ind w:left="0" w:firstLine="0"/>
            <w:jc w:val="left"/>
            <w:rPr>
              <w:rFonts w:eastAsia="Times New Roman" w:cstheme="minorHAnsi"/>
              <w:color w:val="2F5496"/>
              <w:sz w:val="32"/>
              <w:szCs w:val="32"/>
              <w:lang w:val="en-US"/>
            </w:rPr>
          </w:pPr>
          <w:r w:rsidRPr="449A5BC6">
            <w:rPr>
              <w:rFonts w:eastAsia="Times New Roman"/>
              <w:color w:val="2F5496"/>
              <w:sz w:val="32"/>
              <w:szCs w:val="32"/>
              <w:lang w:val="en-US"/>
            </w:rPr>
            <w:t>Contents</w:t>
          </w:r>
        </w:p>
        <w:p w14:paraId="3387AAFE" w14:textId="5D960EBA" w:rsidR="006E64FF" w:rsidRDefault="00C006CC">
          <w:pPr>
            <w:pStyle w:val="TOC1"/>
            <w:tabs>
              <w:tab w:val="right" w:leader="dot" w:pos="9016"/>
            </w:tabs>
            <w:rPr>
              <w:rFonts w:eastAsiaTheme="minorEastAsia"/>
              <w:noProof/>
              <w:kern w:val="2"/>
              <w:sz w:val="24"/>
              <w:szCs w:val="24"/>
              <w:lang w:eastAsia="en-GB"/>
              <w14:ligatures w14:val="standardContextual"/>
            </w:rPr>
          </w:pPr>
          <w:r w:rsidRPr="449A5BC6">
            <w:rPr>
              <w:rFonts w:eastAsia="Calibri"/>
            </w:rPr>
            <w:fldChar w:fldCharType="begin"/>
          </w:r>
          <w:r w:rsidRPr="449A5BC6">
            <w:rPr>
              <w:rFonts w:eastAsia="Calibri"/>
            </w:rPr>
            <w:instrText xml:space="preserve"> TOC \o "1-3" \h \z \u </w:instrText>
          </w:r>
          <w:r w:rsidRPr="449A5BC6">
            <w:rPr>
              <w:rFonts w:eastAsia="Calibri"/>
            </w:rPr>
            <w:fldChar w:fldCharType="separate"/>
          </w:r>
          <w:hyperlink w:anchor="_Toc210312693" w:history="1">
            <w:r w:rsidR="006E64FF" w:rsidRPr="00BE6FD4">
              <w:rPr>
                <w:rStyle w:val="Hyperlink"/>
                <w:rFonts w:asciiTheme="majorHAnsi" w:eastAsia="Times New Roman" w:hAnsiTheme="majorHAnsi" w:cstheme="majorHAnsi"/>
                <w:noProof/>
              </w:rPr>
              <w:t>1.0</w:t>
            </w:r>
            <w:r w:rsidR="006E64FF">
              <w:rPr>
                <w:rFonts w:eastAsiaTheme="minorEastAsia"/>
                <w:noProof/>
                <w:kern w:val="2"/>
                <w:sz w:val="24"/>
                <w:szCs w:val="24"/>
                <w:lang w:eastAsia="en-GB"/>
                <w14:ligatures w14:val="standardContextual"/>
              </w:rPr>
              <w:tab/>
            </w:r>
            <w:r w:rsidR="006E64FF" w:rsidRPr="00BE6FD4">
              <w:rPr>
                <w:rStyle w:val="Hyperlink"/>
                <w:rFonts w:eastAsia="Times New Roman" w:cstheme="minorHAnsi"/>
                <w:noProof/>
              </w:rPr>
              <w:t>Introduction</w:t>
            </w:r>
            <w:r w:rsidR="006E64FF">
              <w:rPr>
                <w:noProof/>
                <w:webHidden/>
              </w:rPr>
              <w:tab/>
            </w:r>
            <w:r w:rsidR="006E64FF">
              <w:rPr>
                <w:noProof/>
                <w:webHidden/>
              </w:rPr>
              <w:fldChar w:fldCharType="begin"/>
            </w:r>
            <w:r w:rsidR="006E64FF">
              <w:rPr>
                <w:noProof/>
                <w:webHidden/>
              </w:rPr>
              <w:instrText xml:space="preserve"> PAGEREF _Toc210312693 \h </w:instrText>
            </w:r>
            <w:r w:rsidR="006E64FF">
              <w:rPr>
                <w:noProof/>
                <w:webHidden/>
              </w:rPr>
            </w:r>
            <w:r w:rsidR="006E64FF">
              <w:rPr>
                <w:noProof/>
                <w:webHidden/>
              </w:rPr>
              <w:fldChar w:fldCharType="separate"/>
            </w:r>
            <w:r w:rsidR="006E64FF">
              <w:rPr>
                <w:noProof/>
                <w:webHidden/>
              </w:rPr>
              <w:t>4</w:t>
            </w:r>
            <w:r w:rsidR="006E64FF">
              <w:rPr>
                <w:noProof/>
                <w:webHidden/>
              </w:rPr>
              <w:fldChar w:fldCharType="end"/>
            </w:r>
          </w:hyperlink>
        </w:p>
        <w:p w14:paraId="76B7A4B1" w14:textId="3C2282AF"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694" w:history="1">
            <w:r w:rsidRPr="00BE6FD4">
              <w:rPr>
                <w:rStyle w:val="Hyperlink"/>
                <w:rFonts w:asciiTheme="majorHAnsi" w:eastAsia="Times New Roman" w:hAnsiTheme="majorHAnsi" w:cstheme="majorHAnsi"/>
                <w:noProof/>
              </w:rPr>
              <w:t>2.0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Purpose of the Policy</w:t>
            </w:r>
            <w:r>
              <w:rPr>
                <w:noProof/>
                <w:webHidden/>
              </w:rPr>
              <w:tab/>
            </w:r>
            <w:r>
              <w:rPr>
                <w:noProof/>
                <w:webHidden/>
              </w:rPr>
              <w:fldChar w:fldCharType="begin"/>
            </w:r>
            <w:r>
              <w:rPr>
                <w:noProof/>
                <w:webHidden/>
              </w:rPr>
              <w:instrText xml:space="preserve"> PAGEREF _Toc210312694 \h </w:instrText>
            </w:r>
            <w:r>
              <w:rPr>
                <w:noProof/>
                <w:webHidden/>
              </w:rPr>
            </w:r>
            <w:r>
              <w:rPr>
                <w:noProof/>
                <w:webHidden/>
              </w:rPr>
              <w:fldChar w:fldCharType="separate"/>
            </w:r>
            <w:r>
              <w:rPr>
                <w:noProof/>
                <w:webHidden/>
              </w:rPr>
              <w:t>4</w:t>
            </w:r>
            <w:r>
              <w:rPr>
                <w:noProof/>
                <w:webHidden/>
              </w:rPr>
              <w:fldChar w:fldCharType="end"/>
            </w:r>
          </w:hyperlink>
        </w:p>
        <w:p w14:paraId="7E361302" w14:textId="73F64FE5"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695" w:history="1">
            <w:r w:rsidRPr="00BE6FD4">
              <w:rPr>
                <w:rStyle w:val="Hyperlink"/>
                <w:rFonts w:asciiTheme="majorHAnsi" w:eastAsia="Times New Roman" w:hAnsiTheme="majorHAnsi" w:cstheme="majorHAnsi"/>
                <w:noProof/>
              </w:rPr>
              <w:t>3.0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Scope of Policy</w:t>
            </w:r>
            <w:r>
              <w:rPr>
                <w:noProof/>
                <w:webHidden/>
              </w:rPr>
              <w:tab/>
            </w:r>
            <w:r>
              <w:rPr>
                <w:noProof/>
                <w:webHidden/>
              </w:rPr>
              <w:fldChar w:fldCharType="begin"/>
            </w:r>
            <w:r>
              <w:rPr>
                <w:noProof/>
                <w:webHidden/>
              </w:rPr>
              <w:instrText xml:space="preserve"> PAGEREF _Toc210312695 \h </w:instrText>
            </w:r>
            <w:r>
              <w:rPr>
                <w:noProof/>
                <w:webHidden/>
              </w:rPr>
            </w:r>
            <w:r>
              <w:rPr>
                <w:noProof/>
                <w:webHidden/>
              </w:rPr>
              <w:fldChar w:fldCharType="separate"/>
            </w:r>
            <w:r>
              <w:rPr>
                <w:noProof/>
                <w:webHidden/>
              </w:rPr>
              <w:t>4</w:t>
            </w:r>
            <w:r>
              <w:rPr>
                <w:noProof/>
                <w:webHidden/>
              </w:rPr>
              <w:fldChar w:fldCharType="end"/>
            </w:r>
          </w:hyperlink>
        </w:p>
        <w:p w14:paraId="7B84258A" w14:textId="52B0FA69"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696" w:history="1">
            <w:r w:rsidRPr="00BE6FD4">
              <w:rPr>
                <w:rStyle w:val="Hyperlink"/>
                <w:rFonts w:asciiTheme="majorHAnsi" w:eastAsia="Times New Roman" w:hAnsiTheme="majorHAnsi" w:cstheme="majorHAnsi"/>
                <w:noProof/>
              </w:rPr>
              <w:t>4.0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Legislative Requirements</w:t>
            </w:r>
            <w:r>
              <w:rPr>
                <w:noProof/>
                <w:webHidden/>
              </w:rPr>
              <w:tab/>
            </w:r>
            <w:r>
              <w:rPr>
                <w:noProof/>
                <w:webHidden/>
              </w:rPr>
              <w:fldChar w:fldCharType="begin"/>
            </w:r>
            <w:r>
              <w:rPr>
                <w:noProof/>
                <w:webHidden/>
              </w:rPr>
              <w:instrText xml:space="preserve"> PAGEREF _Toc210312696 \h </w:instrText>
            </w:r>
            <w:r>
              <w:rPr>
                <w:noProof/>
                <w:webHidden/>
              </w:rPr>
            </w:r>
            <w:r>
              <w:rPr>
                <w:noProof/>
                <w:webHidden/>
              </w:rPr>
              <w:fldChar w:fldCharType="separate"/>
            </w:r>
            <w:r>
              <w:rPr>
                <w:noProof/>
                <w:webHidden/>
              </w:rPr>
              <w:t>4</w:t>
            </w:r>
            <w:r>
              <w:rPr>
                <w:noProof/>
                <w:webHidden/>
              </w:rPr>
              <w:fldChar w:fldCharType="end"/>
            </w:r>
          </w:hyperlink>
        </w:p>
        <w:p w14:paraId="43E1C9F3" w14:textId="28E6D122" w:rsidR="006E64FF" w:rsidRDefault="006E64FF" w:rsidP="006E64FF">
          <w:pPr>
            <w:pStyle w:val="TOC1"/>
            <w:tabs>
              <w:tab w:val="right" w:leader="dot" w:pos="9016"/>
            </w:tabs>
            <w:rPr>
              <w:rFonts w:eastAsiaTheme="minorEastAsia"/>
              <w:noProof/>
              <w:kern w:val="2"/>
              <w:sz w:val="24"/>
              <w:szCs w:val="24"/>
              <w:lang w:eastAsia="en-GB"/>
              <w14:ligatures w14:val="standardContextual"/>
            </w:rPr>
          </w:pPr>
          <w:hyperlink w:anchor="_Toc210312697" w:history="1">
            <w:r w:rsidRPr="00BE6FD4">
              <w:rPr>
                <w:rStyle w:val="Hyperlink"/>
                <w:rFonts w:asciiTheme="majorHAnsi" w:eastAsia="Times New Roman" w:hAnsiTheme="majorHAnsi" w:cstheme="majorHAnsi"/>
                <w:noProof/>
              </w:rPr>
              <w:t>5.0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Resilience Overview</w:t>
            </w:r>
            <w:r>
              <w:rPr>
                <w:noProof/>
                <w:webHidden/>
              </w:rPr>
              <w:tab/>
            </w:r>
            <w:r>
              <w:rPr>
                <w:noProof/>
                <w:webHidden/>
              </w:rPr>
              <w:fldChar w:fldCharType="begin"/>
            </w:r>
            <w:r>
              <w:rPr>
                <w:noProof/>
                <w:webHidden/>
              </w:rPr>
              <w:instrText xml:space="preserve"> PAGEREF _Toc210312697 \h </w:instrText>
            </w:r>
            <w:r>
              <w:rPr>
                <w:noProof/>
                <w:webHidden/>
              </w:rPr>
            </w:r>
            <w:r>
              <w:rPr>
                <w:noProof/>
                <w:webHidden/>
              </w:rPr>
              <w:fldChar w:fldCharType="separate"/>
            </w:r>
            <w:r>
              <w:rPr>
                <w:noProof/>
                <w:webHidden/>
              </w:rPr>
              <w:t>5</w:t>
            </w:r>
            <w:r>
              <w:rPr>
                <w:noProof/>
                <w:webHidden/>
              </w:rPr>
              <w:fldChar w:fldCharType="end"/>
            </w:r>
          </w:hyperlink>
        </w:p>
        <w:p w14:paraId="480D56FA" w14:textId="38F03FAD"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2" w:history="1">
            <w:r w:rsidRPr="00BE6FD4">
              <w:rPr>
                <w:rStyle w:val="Hyperlink"/>
                <w:rFonts w:asciiTheme="majorHAnsi" w:eastAsia="Times New Roman" w:hAnsiTheme="majorHAnsi" w:cstheme="majorHAnsi"/>
                <w:noProof/>
              </w:rPr>
              <w:t>6.0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Responsibilities</w:t>
            </w:r>
            <w:r>
              <w:rPr>
                <w:noProof/>
                <w:webHidden/>
              </w:rPr>
              <w:tab/>
            </w:r>
            <w:r>
              <w:rPr>
                <w:noProof/>
                <w:webHidden/>
              </w:rPr>
              <w:fldChar w:fldCharType="begin"/>
            </w:r>
            <w:r>
              <w:rPr>
                <w:noProof/>
                <w:webHidden/>
              </w:rPr>
              <w:instrText xml:space="preserve"> PAGEREF _Toc210312702 \h </w:instrText>
            </w:r>
            <w:r>
              <w:rPr>
                <w:noProof/>
                <w:webHidden/>
              </w:rPr>
            </w:r>
            <w:r>
              <w:rPr>
                <w:noProof/>
                <w:webHidden/>
              </w:rPr>
              <w:fldChar w:fldCharType="separate"/>
            </w:r>
            <w:r>
              <w:rPr>
                <w:noProof/>
                <w:webHidden/>
              </w:rPr>
              <w:t>6</w:t>
            </w:r>
            <w:r>
              <w:rPr>
                <w:noProof/>
                <w:webHidden/>
              </w:rPr>
              <w:fldChar w:fldCharType="end"/>
            </w:r>
          </w:hyperlink>
        </w:p>
        <w:p w14:paraId="42CE9DA5" w14:textId="4DB73741"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3" w:history="1">
            <w:r w:rsidRPr="00BE6FD4">
              <w:rPr>
                <w:rStyle w:val="Hyperlink"/>
                <w:rFonts w:asciiTheme="majorHAnsi" w:eastAsiaTheme="majorEastAsia" w:hAnsiTheme="majorHAnsi" w:cstheme="majorBidi"/>
                <w:noProof/>
              </w:rPr>
              <w:t>6.1</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University Court</w:t>
            </w:r>
            <w:r>
              <w:rPr>
                <w:noProof/>
                <w:webHidden/>
              </w:rPr>
              <w:tab/>
            </w:r>
            <w:r>
              <w:rPr>
                <w:noProof/>
                <w:webHidden/>
              </w:rPr>
              <w:fldChar w:fldCharType="begin"/>
            </w:r>
            <w:r>
              <w:rPr>
                <w:noProof/>
                <w:webHidden/>
              </w:rPr>
              <w:instrText xml:space="preserve"> PAGEREF _Toc210312703 \h </w:instrText>
            </w:r>
            <w:r>
              <w:rPr>
                <w:noProof/>
                <w:webHidden/>
              </w:rPr>
            </w:r>
            <w:r>
              <w:rPr>
                <w:noProof/>
                <w:webHidden/>
              </w:rPr>
              <w:fldChar w:fldCharType="separate"/>
            </w:r>
            <w:r>
              <w:rPr>
                <w:noProof/>
                <w:webHidden/>
              </w:rPr>
              <w:t>6</w:t>
            </w:r>
            <w:r>
              <w:rPr>
                <w:noProof/>
                <w:webHidden/>
              </w:rPr>
              <w:fldChar w:fldCharType="end"/>
            </w:r>
          </w:hyperlink>
        </w:p>
        <w:p w14:paraId="0B82A134" w14:textId="213A5AE6"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4" w:history="1">
            <w:r w:rsidRPr="00BE6FD4">
              <w:rPr>
                <w:rStyle w:val="Hyperlink"/>
                <w:rFonts w:asciiTheme="majorHAnsi" w:eastAsiaTheme="majorEastAsia" w:hAnsiTheme="majorHAnsi" w:cstheme="majorBidi"/>
                <w:noProof/>
              </w:rPr>
              <w:t>6.2</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Senior Management Team</w:t>
            </w:r>
            <w:r>
              <w:rPr>
                <w:noProof/>
                <w:webHidden/>
              </w:rPr>
              <w:tab/>
            </w:r>
            <w:r>
              <w:rPr>
                <w:noProof/>
                <w:webHidden/>
              </w:rPr>
              <w:fldChar w:fldCharType="begin"/>
            </w:r>
            <w:r>
              <w:rPr>
                <w:noProof/>
                <w:webHidden/>
              </w:rPr>
              <w:instrText xml:space="preserve"> PAGEREF _Toc210312704 \h </w:instrText>
            </w:r>
            <w:r>
              <w:rPr>
                <w:noProof/>
                <w:webHidden/>
              </w:rPr>
            </w:r>
            <w:r>
              <w:rPr>
                <w:noProof/>
                <w:webHidden/>
              </w:rPr>
              <w:fldChar w:fldCharType="separate"/>
            </w:r>
            <w:r>
              <w:rPr>
                <w:noProof/>
                <w:webHidden/>
              </w:rPr>
              <w:t>6</w:t>
            </w:r>
            <w:r>
              <w:rPr>
                <w:noProof/>
                <w:webHidden/>
              </w:rPr>
              <w:fldChar w:fldCharType="end"/>
            </w:r>
          </w:hyperlink>
        </w:p>
        <w:p w14:paraId="2D6F0EB3" w14:textId="4CBE4E9D"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5" w:history="1">
            <w:r w:rsidRPr="00BE6FD4">
              <w:rPr>
                <w:rStyle w:val="Hyperlink"/>
                <w:rFonts w:asciiTheme="majorHAnsi" w:eastAsiaTheme="majorEastAsia" w:hAnsiTheme="majorHAnsi" w:cstheme="majorBidi"/>
                <w:noProof/>
              </w:rPr>
              <w:t>6.3</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Heads of Schools/Departments</w:t>
            </w:r>
            <w:r>
              <w:rPr>
                <w:noProof/>
                <w:webHidden/>
              </w:rPr>
              <w:tab/>
            </w:r>
            <w:r>
              <w:rPr>
                <w:noProof/>
                <w:webHidden/>
              </w:rPr>
              <w:fldChar w:fldCharType="begin"/>
            </w:r>
            <w:r>
              <w:rPr>
                <w:noProof/>
                <w:webHidden/>
              </w:rPr>
              <w:instrText xml:space="preserve"> PAGEREF _Toc210312705 \h </w:instrText>
            </w:r>
            <w:r>
              <w:rPr>
                <w:noProof/>
                <w:webHidden/>
              </w:rPr>
            </w:r>
            <w:r>
              <w:rPr>
                <w:noProof/>
                <w:webHidden/>
              </w:rPr>
              <w:fldChar w:fldCharType="separate"/>
            </w:r>
            <w:r>
              <w:rPr>
                <w:noProof/>
                <w:webHidden/>
              </w:rPr>
              <w:t>6</w:t>
            </w:r>
            <w:r>
              <w:rPr>
                <w:noProof/>
                <w:webHidden/>
              </w:rPr>
              <w:fldChar w:fldCharType="end"/>
            </w:r>
          </w:hyperlink>
        </w:p>
        <w:p w14:paraId="1893B575" w14:textId="4FC64B22"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6" w:history="1">
            <w:r w:rsidRPr="00BE6FD4">
              <w:rPr>
                <w:rStyle w:val="Hyperlink"/>
                <w:rFonts w:asciiTheme="majorHAnsi" w:eastAsiaTheme="majorEastAsia" w:hAnsiTheme="majorHAnsi" w:cstheme="majorBidi"/>
                <w:noProof/>
              </w:rPr>
              <w:t>6.4</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Leadership &amp; Assurance</w:t>
            </w:r>
            <w:r>
              <w:rPr>
                <w:noProof/>
                <w:webHidden/>
              </w:rPr>
              <w:tab/>
            </w:r>
            <w:r>
              <w:rPr>
                <w:noProof/>
                <w:webHidden/>
              </w:rPr>
              <w:fldChar w:fldCharType="begin"/>
            </w:r>
            <w:r>
              <w:rPr>
                <w:noProof/>
                <w:webHidden/>
              </w:rPr>
              <w:instrText xml:space="preserve"> PAGEREF _Toc210312706 \h </w:instrText>
            </w:r>
            <w:r>
              <w:rPr>
                <w:noProof/>
                <w:webHidden/>
              </w:rPr>
            </w:r>
            <w:r>
              <w:rPr>
                <w:noProof/>
                <w:webHidden/>
              </w:rPr>
              <w:fldChar w:fldCharType="separate"/>
            </w:r>
            <w:r>
              <w:rPr>
                <w:noProof/>
                <w:webHidden/>
              </w:rPr>
              <w:t>6</w:t>
            </w:r>
            <w:r>
              <w:rPr>
                <w:noProof/>
                <w:webHidden/>
              </w:rPr>
              <w:fldChar w:fldCharType="end"/>
            </w:r>
          </w:hyperlink>
        </w:p>
        <w:p w14:paraId="75A50777" w14:textId="19B15E29"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7" w:history="1">
            <w:r w:rsidRPr="00BE6FD4">
              <w:rPr>
                <w:rStyle w:val="Hyperlink"/>
                <w:rFonts w:asciiTheme="majorHAnsi" w:eastAsiaTheme="majorEastAsia" w:hAnsiTheme="majorHAnsi" w:cstheme="majorBidi"/>
                <w:noProof/>
              </w:rPr>
              <w:t>6.5</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Resilience Advisory Group</w:t>
            </w:r>
            <w:r>
              <w:rPr>
                <w:noProof/>
                <w:webHidden/>
              </w:rPr>
              <w:tab/>
            </w:r>
            <w:r>
              <w:rPr>
                <w:noProof/>
                <w:webHidden/>
              </w:rPr>
              <w:fldChar w:fldCharType="begin"/>
            </w:r>
            <w:r>
              <w:rPr>
                <w:noProof/>
                <w:webHidden/>
              </w:rPr>
              <w:instrText xml:space="preserve"> PAGEREF _Toc210312707 \h </w:instrText>
            </w:r>
            <w:r>
              <w:rPr>
                <w:noProof/>
                <w:webHidden/>
              </w:rPr>
            </w:r>
            <w:r>
              <w:rPr>
                <w:noProof/>
                <w:webHidden/>
              </w:rPr>
              <w:fldChar w:fldCharType="separate"/>
            </w:r>
            <w:r>
              <w:rPr>
                <w:noProof/>
                <w:webHidden/>
              </w:rPr>
              <w:t>6</w:t>
            </w:r>
            <w:r>
              <w:rPr>
                <w:noProof/>
                <w:webHidden/>
              </w:rPr>
              <w:fldChar w:fldCharType="end"/>
            </w:r>
          </w:hyperlink>
        </w:p>
        <w:p w14:paraId="571C68C0" w14:textId="023B5FAE"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8" w:history="1">
            <w:r w:rsidRPr="00BE6FD4">
              <w:rPr>
                <w:rStyle w:val="Hyperlink"/>
                <w:rFonts w:asciiTheme="majorHAnsi" w:eastAsia="Times New Roman" w:hAnsiTheme="majorHAnsi" w:cstheme="majorHAnsi"/>
                <w:noProof/>
              </w:rPr>
              <w:t>7.0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Specialist BC Roles</w:t>
            </w:r>
            <w:r>
              <w:rPr>
                <w:noProof/>
                <w:webHidden/>
              </w:rPr>
              <w:tab/>
            </w:r>
            <w:r>
              <w:rPr>
                <w:noProof/>
                <w:webHidden/>
              </w:rPr>
              <w:fldChar w:fldCharType="begin"/>
            </w:r>
            <w:r>
              <w:rPr>
                <w:noProof/>
                <w:webHidden/>
              </w:rPr>
              <w:instrText xml:space="preserve"> PAGEREF _Toc210312708 \h </w:instrText>
            </w:r>
            <w:r>
              <w:rPr>
                <w:noProof/>
                <w:webHidden/>
              </w:rPr>
            </w:r>
            <w:r>
              <w:rPr>
                <w:noProof/>
                <w:webHidden/>
              </w:rPr>
              <w:fldChar w:fldCharType="separate"/>
            </w:r>
            <w:r>
              <w:rPr>
                <w:noProof/>
                <w:webHidden/>
              </w:rPr>
              <w:t>7</w:t>
            </w:r>
            <w:r>
              <w:rPr>
                <w:noProof/>
                <w:webHidden/>
              </w:rPr>
              <w:fldChar w:fldCharType="end"/>
            </w:r>
          </w:hyperlink>
        </w:p>
        <w:p w14:paraId="77EB65CA" w14:textId="32899DC8"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09" w:history="1">
            <w:r w:rsidRPr="00BE6FD4">
              <w:rPr>
                <w:rStyle w:val="Hyperlink"/>
                <w:rFonts w:asciiTheme="majorHAnsi" w:eastAsiaTheme="majorEastAsia" w:hAnsiTheme="majorHAnsi" w:cstheme="majorBidi"/>
                <w:noProof/>
              </w:rPr>
              <w:t>7.1</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Resilience Team</w:t>
            </w:r>
            <w:r>
              <w:rPr>
                <w:noProof/>
                <w:webHidden/>
              </w:rPr>
              <w:tab/>
            </w:r>
            <w:r>
              <w:rPr>
                <w:noProof/>
                <w:webHidden/>
              </w:rPr>
              <w:fldChar w:fldCharType="begin"/>
            </w:r>
            <w:r>
              <w:rPr>
                <w:noProof/>
                <w:webHidden/>
              </w:rPr>
              <w:instrText xml:space="preserve"> PAGEREF _Toc210312709 \h </w:instrText>
            </w:r>
            <w:r>
              <w:rPr>
                <w:noProof/>
                <w:webHidden/>
              </w:rPr>
            </w:r>
            <w:r>
              <w:rPr>
                <w:noProof/>
                <w:webHidden/>
              </w:rPr>
              <w:fldChar w:fldCharType="separate"/>
            </w:r>
            <w:r>
              <w:rPr>
                <w:noProof/>
                <w:webHidden/>
              </w:rPr>
              <w:t>7</w:t>
            </w:r>
            <w:r>
              <w:rPr>
                <w:noProof/>
                <w:webHidden/>
              </w:rPr>
              <w:fldChar w:fldCharType="end"/>
            </w:r>
          </w:hyperlink>
        </w:p>
        <w:p w14:paraId="1CACE0A2" w14:textId="3E98CB44"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10" w:history="1">
            <w:r w:rsidRPr="00BE6FD4">
              <w:rPr>
                <w:rStyle w:val="Hyperlink"/>
                <w:rFonts w:asciiTheme="majorHAnsi" w:eastAsiaTheme="majorEastAsia" w:hAnsiTheme="majorHAnsi" w:cstheme="majorBidi"/>
                <w:noProof/>
              </w:rPr>
              <w:t>7.2</w:t>
            </w:r>
            <w:r>
              <w:rPr>
                <w:rFonts w:eastAsiaTheme="minorEastAsia"/>
                <w:noProof/>
                <w:kern w:val="2"/>
                <w:sz w:val="24"/>
                <w:szCs w:val="24"/>
                <w:lang w:eastAsia="en-GB"/>
                <w14:ligatures w14:val="standardContextual"/>
              </w:rPr>
              <w:tab/>
            </w:r>
            <w:r w:rsidRPr="00BE6FD4">
              <w:rPr>
                <w:rStyle w:val="Hyperlink"/>
                <w:rFonts w:asciiTheme="majorHAnsi" w:eastAsiaTheme="majorEastAsia" w:hAnsiTheme="majorHAnsi" w:cstheme="majorBidi"/>
                <w:noProof/>
              </w:rPr>
              <w:t>Local Business Continuity Coordinators</w:t>
            </w:r>
            <w:r>
              <w:rPr>
                <w:noProof/>
                <w:webHidden/>
              </w:rPr>
              <w:tab/>
            </w:r>
            <w:r>
              <w:rPr>
                <w:noProof/>
                <w:webHidden/>
              </w:rPr>
              <w:fldChar w:fldCharType="begin"/>
            </w:r>
            <w:r>
              <w:rPr>
                <w:noProof/>
                <w:webHidden/>
              </w:rPr>
              <w:instrText xml:space="preserve"> PAGEREF _Toc210312710 \h </w:instrText>
            </w:r>
            <w:r>
              <w:rPr>
                <w:noProof/>
                <w:webHidden/>
              </w:rPr>
            </w:r>
            <w:r>
              <w:rPr>
                <w:noProof/>
                <w:webHidden/>
              </w:rPr>
              <w:fldChar w:fldCharType="separate"/>
            </w:r>
            <w:r>
              <w:rPr>
                <w:noProof/>
                <w:webHidden/>
              </w:rPr>
              <w:t>7</w:t>
            </w:r>
            <w:r>
              <w:rPr>
                <w:noProof/>
                <w:webHidden/>
              </w:rPr>
              <w:fldChar w:fldCharType="end"/>
            </w:r>
          </w:hyperlink>
        </w:p>
        <w:p w14:paraId="2F327035" w14:textId="46FDC93A" w:rsidR="006E64FF" w:rsidRDefault="006E64FF">
          <w:pPr>
            <w:pStyle w:val="TOC1"/>
            <w:tabs>
              <w:tab w:val="right" w:leader="dot" w:pos="9016"/>
            </w:tabs>
            <w:rPr>
              <w:rFonts w:eastAsiaTheme="minorEastAsia"/>
              <w:noProof/>
              <w:kern w:val="2"/>
              <w:sz w:val="24"/>
              <w:szCs w:val="24"/>
              <w:lang w:eastAsia="en-GB"/>
              <w14:ligatures w14:val="standardContextual"/>
            </w:rPr>
          </w:pPr>
          <w:hyperlink w:anchor="_Toc210312711" w:history="1">
            <w:r w:rsidRPr="00BE6FD4">
              <w:rPr>
                <w:rStyle w:val="Hyperlink"/>
                <w:rFonts w:asciiTheme="majorHAnsi" w:eastAsia="Times New Roman" w:hAnsiTheme="majorHAnsi" w:cstheme="majorHAnsi"/>
                <w:noProof/>
              </w:rPr>
              <w:t>8.0</w:t>
            </w:r>
            <w:r>
              <w:rPr>
                <w:rFonts w:eastAsiaTheme="minorEastAsia"/>
                <w:noProof/>
                <w:kern w:val="2"/>
                <w:sz w:val="24"/>
                <w:szCs w:val="24"/>
                <w:lang w:eastAsia="en-GB"/>
                <w14:ligatures w14:val="standardContextual"/>
              </w:rPr>
              <w:tab/>
            </w:r>
            <w:r w:rsidRPr="00BE6FD4">
              <w:rPr>
                <w:rStyle w:val="Hyperlink"/>
                <w:rFonts w:eastAsia="Times New Roman" w:cstheme="minorHAnsi"/>
                <w:noProof/>
              </w:rPr>
              <w:t>References</w:t>
            </w:r>
            <w:r>
              <w:rPr>
                <w:noProof/>
                <w:webHidden/>
              </w:rPr>
              <w:tab/>
            </w:r>
            <w:r>
              <w:rPr>
                <w:noProof/>
                <w:webHidden/>
              </w:rPr>
              <w:fldChar w:fldCharType="begin"/>
            </w:r>
            <w:r>
              <w:rPr>
                <w:noProof/>
                <w:webHidden/>
              </w:rPr>
              <w:instrText xml:space="preserve"> PAGEREF _Toc210312711 \h </w:instrText>
            </w:r>
            <w:r>
              <w:rPr>
                <w:noProof/>
                <w:webHidden/>
              </w:rPr>
            </w:r>
            <w:r>
              <w:rPr>
                <w:noProof/>
                <w:webHidden/>
              </w:rPr>
              <w:fldChar w:fldCharType="separate"/>
            </w:r>
            <w:r>
              <w:rPr>
                <w:noProof/>
                <w:webHidden/>
              </w:rPr>
              <w:t>8</w:t>
            </w:r>
            <w:r>
              <w:rPr>
                <w:noProof/>
                <w:webHidden/>
              </w:rPr>
              <w:fldChar w:fldCharType="end"/>
            </w:r>
          </w:hyperlink>
        </w:p>
        <w:p w14:paraId="00BC604B" w14:textId="3D07746D" w:rsidR="00C006CC" w:rsidRPr="005C76A4" w:rsidRDefault="00C006CC" w:rsidP="00C006CC">
          <w:pPr>
            <w:spacing w:before="0" w:after="160" w:line="259" w:lineRule="auto"/>
            <w:ind w:left="0" w:firstLine="0"/>
            <w:jc w:val="left"/>
            <w:rPr>
              <w:rFonts w:eastAsiaTheme="minorEastAsia"/>
            </w:rPr>
          </w:pPr>
          <w:r w:rsidRPr="449A5BC6">
            <w:rPr>
              <w:rFonts w:eastAsia="Calibri"/>
              <w:b/>
            </w:rPr>
            <w:fldChar w:fldCharType="end"/>
          </w:r>
        </w:p>
      </w:sdtContent>
    </w:sdt>
    <w:p w14:paraId="1DA39BFE" w14:textId="77777777" w:rsidR="00C006CC" w:rsidRPr="005C76A4" w:rsidRDefault="00C006CC" w:rsidP="00C006CC">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35BF7F41" w14:textId="5A4DE48A" w:rsidR="00D10BF1" w:rsidRDefault="00D10BF1"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210312693"/>
      <w:r>
        <w:rPr>
          <w:rFonts w:eastAsia="Times New Roman" w:cstheme="minorHAnsi"/>
          <w:color w:val="2F5496"/>
          <w:sz w:val="32"/>
          <w:szCs w:val="32"/>
        </w:rPr>
        <w:lastRenderedPageBreak/>
        <w:t>Introduction</w:t>
      </w:r>
      <w:bookmarkEnd w:id="0"/>
    </w:p>
    <w:p w14:paraId="773EF619" w14:textId="4D044A22" w:rsidR="00D10BF1" w:rsidRPr="00A259A8" w:rsidRDefault="00D10BF1" w:rsidP="00D10BF1">
      <w:pPr>
        <w:ind w:left="0" w:firstLine="0"/>
      </w:pPr>
      <w:r w:rsidRPr="00D10BF1">
        <w:t xml:space="preserve">The University of Aberdeen </w:t>
      </w:r>
      <w:r w:rsidR="003804F5">
        <w:t xml:space="preserve">(UoA) </w:t>
      </w:r>
      <w:r w:rsidRPr="00D10BF1">
        <w:t xml:space="preserve">has a responsibility to ensure the health and welfare of its staff and </w:t>
      </w:r>
      <w:r w:rsidRPr="00A259A8">
        <w:t xml:space="preserve">students, and to minimise the disruption to </w:t>
      </w:r>
      <w:r w:rsidR="00141FA3" w:rsidRPr="00A259A8">
        <w:t>business-critical</w:t>
      </w:r>
      <w:r w:rsidRPr="00A259A8">
        <w:t xml:space="preserve"> operations in the event of an incident or </w:t>
      </w:r>
      <w:r w:rsidR="000E6BA1" w:rsidRPr="00A259A8">
        <w:t xml:space="preserve">disruptive </w:t>
      </w:r>
      <w:r w:rsidR="00141FA3" w:rsidRPr="00A259A8">
        <w:t>event</w:t>
      </w:r>
      <w:r w:rsidRPr="00A259A8">
        <w:t xml:space="preserve">. </w:t>
      </w:r>
    </w:p>
    <w:p w14:paraId="1CEE15B7" w14:textId="7AED66C3" w:rsidR="004A2F83" w:rsidRDefault="004A2F83" w:rsidP="00D10BF1">
      <w:pPr>
        <w:ind w:left="0" w:firstLine="0"/>
      </w:pPr>
      <w:r w:rsidRPr="00A259A8">
        <w:t>Resilience is</w:t>
      </w:r>
      <w:r w:rsidRPr="004A2F83">
        <w:t xml:space="preserve"> a core function across any large organisation, where it is accepted best practice and, in many cases, required towards legislative compliance, to embed necessary steps to ensure effective business continuity, emergency management strategies and disaster recovery processes.</w:t>
      </w:r>
    </w:p>
    <w:p w14:paraId="6D1069BE" w14:textId="44522FDE" w:rsidR="000E0F3B" w:rsidRDefault="00D10BF1" w:rsidP="00D10BF1">
      <w:pPr>
        <w:ind w:left="0" w:firstLine="0"/>
      </w:pPr>
      <w:r>
        <w:t>Resilience encompasses all actions taken to ensure that the University is prepared to withstand, adapt to and recover from any disruptive event.</w:t>
      </w:r>
    </w:p>
    <w:p w14:paraId="36157401" w14:textId="23009C16" w:rsidR="00FE6B5F" w:rsidRDefault="00A447D6" w:rsidP="00D10BF1">
      <w:pPr>
        <w:ind w:left="0" w:firstLine="0"/>
      </w:pPr>
      <w:r>
        <w:t xml:space="preserve">This </w:t>
      </w:r>
      <w:r w:rsidR="005656BE">
        <w:t>policy</w:t>
      </w:r>
      <w:r w:rsidR="00253B2D">
        <w:t xml:space="preserve"> will be </w:t>
      </w:r>
      <w:r w:rsidR="00FA309A">
        <w:t>reviewed annual</w:t>
      </w:r>
      <w:r w:rsidR="003140F3">
        <w:t>l</w:t>
      </w:r>
      <w:r w:rsidR="00FA309A">
        <w:t>y</w:t>
      </w:r>
      <w:r w:rsidR="00253B2D">
        <w:t xml:space="preserve">, where </w:t>
      </w:r>
      <w:r w:rsidR="0056384B">
        <w:t xml:space="preserve">along with other </w:t>
      </w:r>
      <w:r w:rsidR="00957783">
        <w:t>formal resilience documents, be</w:t>
      </w:r>
      <w:r w:rsidR="00253B2D">
        <w:t xml:space="preserve"> presented to the H&amp;S Committee</w:t>
      </w:r>
      <w:r w:rsidR="00B967CB">
        <w:t>. I</w:t>
      </w:r>
      <w:r w:rsidR="00CA38E0">
        <w:t xml:space="preserve">f accepted, </w:t>
      </w:r>
      <w:r w:rsidR="00B967CB">
        <w:t xml:space="preserve">they </w:t>
      </w:r>
      <w:r w:rsidR="00CA38E0">
        <w:t>will be furthered to SMT for approval or</w:t>
      </w:r>
      <w:r w:rsidR="00E10B0B">
        <w:t xml:space="preserve"> revi</w:t>
      </w:r>
      <w:r w:rsidR="00253566">
        <w:t>sion</w:t>
      </w:r>
      <w:r w:rsidR="00E10B0B">
        <w:t>.</w:t>
      </w:r>
    </w:p>
    <w:p w14:paraId="705A59DE" w14:textId="4CEBF4AB" w:rsidR="00F016A7" w:rsidRDefault="00F016A7" w:rsidP="00D10BF1">
      <w:pPr>
        <w:ind w:left="0" w:firstLine="0"/>
      </w:pPr>
    </w:p>
    <w:p w14:paraId="00DF120D" w14:textId="651A6F75" w:rsidR="00C73D6A" w:rsidRPr="00C74C06" w:rsidRDefault="00C006CC" w:rsidP="00C74C06">
      <w:pPr>
        <w:keepNext/>
        <w:keepLines/>
        <w:numPr>
          <w:ilvl w:val="0"/>
          <w:numId w:val="1"/>
        </w:numPr>
        <w:spacing w:before="240" w:after="160" w:line="259" w:lineRule="auto"/>
        <w:jc w:val="left"/>
        <w:outlineLvl w:val="0"/>
        <w:rPr>
          <w:rFonts w:eastAsia="Times New Roman" w:cstheme="minorHAnsi"/>
          <w:color w:val="2F5496"/>
          <w:sz w:val="32"/>
          <w:szCs w:val="32"/>
        </w:rPr>
      </w:pPr>
      <w:bookmarkStart w:id="1" w:name="_Toc210312694"/>
      <w:r w:rsidRPr="005C76A4">
        <w:rPr>
          <w:rFonts w:eastAsia="Times New Roman" w:cstheme="minorHAnsi"/>
          <w:color w:val="2F5496"/>
          <w:sz w:val="32"/>
          <w:szCs w:val="32"/>
        </w:rPr>
        <w:t>Purpose of the Policy</w:t>
      </w:r>
      <w:bookmarkEnd w:id="1"/>
    </w:p>
    <w:p w14:paraId="50798E95" w14:textId="0E2C5789" w:rsidR="00D10BF1" w:rsidRDefault="00D10BF1" w:rsidP="45379828">
      <w:pPr>
        <w:autoSpaceDE w:val="0"/>
        <w:autoSpaceDN w:val="0"/>
        <w:adjustRightInd w:val="0"/>
        <w:spacing w:before="0"/>
        <w:ind w:left="0" w:firstLine="0"/>
        <w:rPr>
          <w:rFonts w:eastAsia="Calibri"/>
          <w:color w:val="000000"/>
        </w:rPr>
      </w:pPr>
      <w:r w:rsidRPr="45379828">
        <w:rPr>
          <w:rFonts w:eastAsia="Calibri"/>
          <w:color w:val="000000" w:themeColor="text1"/>
        </w:rPr>
        <w:t xml:space="preserve">The purpose of this policy is to </w:t>
      </w:r>
      <w:r w:rsidR="00222219" w:rsidRPr="45379828">
        <w:rPr>
          <w:rFonts w:eastAsia="Calibri"/>
          <w:color w:val="000000" w:themeColor="text1"/>
        </w:rPr>
        <w:t>highligh</w:t>
      </w:r>
      <w:r w:rsidR="004D1B93">
        <w:rPr>
          <w:rFonts w:eastAsia="Calibri"/>
          <w:color w:val="000000" w:themeColor="text1"/>
        </w:rPr>
        <w:t>t</w:t>
      </w:r>
      <w:r w:rsidR="26315393" w:rsidRPr="45379828">
        <w:rPr>
          <w:rFonts w:eastAsia="Calibri"/>
          <w:color w:val="000000" w:themeColor="text1"/>
        </w:rPr>
        <w:t xml:space="preserve"> the University’s approach to</w:t>
      </w:r>
      <w:r w:rsidRPr="45379828">
        <w:rPr>
          <w:rFonts w:eastAsia="Calibri"/>
          <w:color w:val="000000" w:themeColor="text1"/>
        </w:rPr>
        <w:t xml:space="preserve"> anticipat</w:t>
      </w:r>
      <w:r w:rsidR="373F9E68" w:rsidRPr="45379828">
        <w:rPr>
          <w:rFonts w:eastAsia="Calibri"/>
          <w:color w:val="000000" w:themeColor="text1"/>
        </w:rPr>
        <w:t>ing</w:t>
      </w:r>
      <w:r w:rsidRPr="45379828">
        <w:rPr>
          <w:rFonts w:eastAsia="Calibri"/>
          <w:color w:val="000000" w:themeColor="text1"/>
        </w:rPr>
        <w:t xml:space="preserve">, </w:t>
      </w:r>
      <w:r w:rsidR="00C13ACB" w:rsidRPr="45379828">
        <w:rPr>
          <w:rFonts w:eastAsia="Calibri"/>
          <w:color w:val="000000" w:themeColor="text1"/>
        </w:rPr>
        <w:t>responding,</w:t>
      </w:r>
      <w:r w:rsidRPr="45379828">
        <w:rPr>
          <w:rFonts w:eastAsia="Calibri"/>
          <w:color w:val="000000" w:themeColor="text1"/>
        </w:rPr>
        <w:t xml:space="preserve"> and recover</w:t>
      </w:r>
      <w:r w:rsidR="04705A48" w:rsidRPr="45379828">
        <w:rPr>
          <w:rFonts w:eastAsia="Calibri"/>
          <w:color w:val="000000" w:themeColor="text1"/>
        </w:rPr>
        <w:t>ing</w:t>
      </w:r>
      <w:r w:rsidRPr="45379828">
        <w:rPr>
          <w:rFonts w:eastAsia="Calibri"/>
          <w:color w:val="000000" w:themeColor="text1"/>
        </w:rPr>
        <w:t xml:space="preserve"> from the effects of </w:t>
      </w:r>
      <w:r w:rsidR="00652615">
        <w:rPr>
          <w:rFonts w:eastAsia="Calibri"/>
          <w:color w:val="000000" w:themeColor="text1"/>
        </w:rPr>
        <w:t>disruptive</w:t>
      </w:r>
      <w:r w:rsidRPr="45379828">
        <w:rPr>
          <w:rFonts w:eastAsia="Calibri"/>
          <w:color w:val="000000" w:themeColor="text1"/>
        </w:rPr>
        <w:t xml:space="preserve"> events and to follow systematic, resourced processes to mitigate them.</w:t>
      </w:r>
    </w:p>
    <w:p w14:paraId="11B31E9B" w14:textId="6B456AFE" w:rsidR="00222219" w:rsidRPr="00D10BF1" w:rsidRDefault="00222219" w:rsidP="00D10BF1">
      <w:pPr>
        <w:autoSpaceDE w:val="0"/>
        <w:autoSpaceDN w:val="0"/>
        <w:adjustRightInd w:val="0"/>
        <w:spacing w:before="0"/>
        <w:ind w:left="0" w:firstLine="0"/>
        <w:rPr>
          <w:rFonts w:eastAsia="Calibri" w:cstheme="minorHAnsi"/>
          <w:color w:val="000000"/>
        </w:rPr>
      </w:pPr>
      <w:r>
        <w:rPr>
          <w:rFonts w:eastAsia="Calibri" w:cstheme="minorHAnsi"/>
          <w:color w:val="000000"/>
        </w:rPr>
        <w:t>The policy aims to:</w:t>
      </w:r>
    </w:p>
    <w:p w14:paraId="14FEB8EC" w14:textId="5626F43D" w:rsidR="00D10BF1" w:rsidRPr="00C74C06" w:rsidRDefault="00222219" w:rsidP="00C74C06">
      <w:pPr>
        <w:pStyle w:val="ListParagraph"/>
        <w:numPr>
          <w:ilvl w:val="0"/>
          <w:numId w:val="3"/>
        </w:numPr>
        <w:autoSpaceDE w:val="0"/>
        <w:autoSpaceDN w:val="0"/>
        <w:adjustRightInd w:val="0"/>
        <w:spacing w:before="0"/>
        <w:rPr>
          <w:rFonts w:eastAsia="Calibri" w:cstheme="minorHAnsi"/>
          <w:color w:val="000000"/>
        </w:rPr>
      </w:pPr>
      <w:r w:rsidRPr="00C74C06">
        <w:rPr>
          <w:rFonts w:eastAsia="Calibri" w:cstheme="minorHAnsi"/>
          <w:color w:val="000000"/>
        </w:rPr>
        <w:t>Outline</w:t>
      </w:r>
      <w:r w:rsidR="00D10BF1" w:rsidRPr="00C74C06">
        <w:rPr>
          <w:rFonts w:eastAsia="Calibri" w:cstheme="minorHAnsi"/>
          <w:color w:val="000000"/>
        </w:rPr>
        <w:t xml:space="preserve"> the University’s </w:t>
      </w:r>
      <w:r w:rsidR="00B71D60" w:rsidRPr="00C74C06">
        <w:rPr>
          <w:rFonts w:eastAsia="Calibri" w:cstheme="minorHAnsi"/>
          <w:color w:val="000000"/>
        </w:rPr>
        <w:t>approach.</w:t>
      </w:r>
    </w:p>
    <w:p w14:paraId="3051DE69" w14:textId="1154A470" w:rsidR="00D10BF1" w:rsidRDefault="00D10BF1" w:rsidP="00D10BF1">
      <w:pPr>
        <w:pStyle w:val="ListParagraph"/>
        <w:numPr>
          <w:ilvl w:val="0"/>
          <w:numId w:val="3"/>
        </w:numPr>
        <w:autoSpaceDE w:val="0"/>
        <w:autoSpaceDN w:val="0"/>
        <w:adjustRightInd w:val="0"/>
        <w:spacing w:before="0"/>
        <w:rPr>
          <w:rFonts w:eastAsia="Calibri" w:cstheme="minorHAnsi"/>
          <w:color w:val="000000"/>
        </w:rPr>
      </w:pPr>
      <w:r w:rsidRPr="00D10BF1">
        <w:rPr>
          <w:rFonts w:eastAsia="Calibri" w:cstheme="minorHAnsi"/>
          <w:color w:val="000000"/>
        </w:rPr>
        <w:t>Clarify roles and responsibilities</w:t>
      </w:r>
      <w:r w:rsidR="00222219">
        <w:rPr>
          <w:rFonts w:eastAsia="Calibri" w:cstheme="minorHAnsi"/>
          <w:color w:val="000000"/>
        </w:rPr>
        <w:t xml:space="preserve"> in</w:t>
      </w:r>
      <w:r w:rsidRPr="00D10BF1">
        <w:rPr>
          <w:rFonts w:eastAsia="Calibri" w:cstheme="minorHAnsi"/>
          <w:color w:val="000000"/>
        </w:rPr>
        <w:t xml:space="preserve"> relation to </w:t>
      </w:r>
      <w:r w:rsidR="004049D3" w:rsidRPr="00D10BF1">
        <w:rPr>
          <w:rFonts w:eastAsia="Calibri" w:cstheme="minorHAnsi"/>
          <w:color w:val="000000"/>
        </w:rPr>
        <w:t>resilience.</w:t>
      </w:r>
      <w:r w:rsidRPr="00D10BF1">
        <w:rPr>
          <w:rFonts w:eastAsia="Calibri" w:cstheme="minorHAnsi"/>
          <w:color w:val="000000"/>
        </w:rPr>
        <w:t xml:space="preserve"> </w:t>
      </w:r>
    </w:p>
    <w:p w14:paraId="33AEDD06" w14:textId="39E8E9C1" w:rsidR="009F50EC" w:rsidRPr="00D10BF1" w:rsidRDefault="00D10BF1" w:rsidP="00D10BF1">
      <w:pPr>
        <w:pStyle w:val="ListParagraph"/>
        <w:numPr>
          <w:ilvl w:val="0"/>
          <w:numId w:val="3"/>
        </w:numPr>
        <w:autoSpaceDE w:val="0"/>
        <w:autoSpaceDN w:val="0"/>
        <w:adjustRightInd w:val="0"/>
        <w:spacing w:before="0"/>
        <w:rPr>
          <w:rFonts w:eastAsia="Calibri" w:cstheme="minorHAnsi"/>
          <w:color w:val="000000"/>
        </w:rPr>
      </w:pPr>
      <w:r w:rsidRPr="00D10BF1">
        <w:rPr>
          <w:rFonts w:eastAsia="Calibri" w:cstheme="minorHAnsi"/>
          <w:color w:val="000000"/>
        </w:rPr>
        <w:t xml:space="preserve">Define the mechanism for reporting on the University’s resilience planning </w:t>
      </w:r>
      <w:r w:rsidR="004049D3" w:rsidRPr="00D10BF1">
        <w:rPr>
          <w:rFonts w:eastAsia="Calibri" w:cstheme="minorHAnsi"/>
          <w:color w:val="000000"/>
        </w:rPr>
        <w:t>arrangements.</w:t>
      </w:r>
    </w:p>
    <w:p w14:paraId="51B24210" w14:textId="77777777" w:rsidR="009F50EC" w:rsidRDefault="009F50EC" w:rsidP="00C006CC">
      <w:pPr>
        <w:autoSpaceDE w:val="0"/>
        <w:autoSpaceDN w:val="0"/>
        <w:adjustRightInd w:val="0"/>
        <w:spacing w:before="0"/>
        <w:ind w:left="0" w:firstLine="0"/>
        <w:rPr>
          <w:rFonts w:eastAsia="Calibri" w:cstheme="minorHAnsi"/>
          <w:color w:val="000000"/>
        </w:rPr>
      </w:pPr>
    </w:p>
    <w:p w14:paraId="5544D29E" w14:textId="583DFA15" w:rsidR="00D10BF1" w:rsidRPr="00141FA3" w:rsidRDefault="00C006CC" w:rsidP="00141FA3">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210312695"/>
      <w:r w:rsidRPr="005C76A4">
        <w:rPr>
          <w:rFonts w:eastAsia="Times New Roman" w:cstheme="minorHAnsi"/>
          <w:color w:val="2F5496"/>
          <w:sz w:val="32"/>
          <w:szCs w:val="32"/>
        </w:rPr>
        <w:t>Scope of Policy</w:t>
      </w:r>
      <w:bookmarkEnd w:id="2"/>
    </w:p>
    <w:p w14:paraId="1392BBAC" w14:textId="1996A61E" w:rsidR="00057CF1" w:rsidRDefault="000920AA" w:rsidP="00D10BF1">
      <w:pPr>
        <w:ind w:left="0" w:firstLine="0"/>
      </w:pPr>
      <w:r>
        <w:t>The policy</w:t>
      </w:r>
      <w:r w:rsidR="00D10BF1" w:rsidRPr="00D10BF1">
        <w:t xml:space="preserve"> will support the University’s overall strategic ambitions,</w:t>
      </w:r>
      <w:r w:rsidR="00BA499B">
        <w:t xml:space="preserve"> to </w:t>
      </w:r>
      <w:r w:rsidR="00BA499B" w:rsidRPr="00BA499B">
        <w:t xml:space="preserve">maintain the continued function of its business-critical activities by putting in place recovery plans and </w:t>
      </w:r>
      <w:r w:rsidR="00F016A7">
        <w:t xml:space="preserve">suitable </w:t>
      </w:r>
      <w:r w:rsidR="00BA499B" w:rsidRPr="00BA499B">
        <w:t>mitigation</w:t>
      </w:r>
      <w:r w:rsidR="00F016A7">
        <w:t>.</w:t>
      </w:r>
    </w:p>
    <w:p w14:paraId="423152F3" w14:textId="799C7AC8" w:rsidR="00DA6BBB" w:rsidRDefault="00141FA3" w:rsidP="000920AA">
      <w:pPr>
        <w:ind w:left="0" w:firstLine="0"/>
      </w:pPr>
      <w:r w:rsidRPr="00141FA3">
        <w:t>This policy will be reviewed and updated annually by the Resilience Advisory Group (RAG).</w:t>
      </w:r>
    </w:p>
    <w:p w14:paraId="614B79E5" w14:textId="77777777" w:rsidR="000920AA" w:rsidRDefault="000920AA" w:rsidP="000920AA">
      <w:pPr>
        <w:ind w:left="0" w:firstLine="0"/>
      </w:pPr>
    </w:p>
    <w:p w14:paraId="1D9F146D" w14:textId="77777777" w:rsidR="00A054AB" w:rsidRDefault="00A054AB" w:rsidP="00A054AB">
      <w:pPr>
        <w:keepNext/>
        <w:keepLines/>
        <w:numPr>
          <w:ilvl w:val="0"/>
          <w:numId w:val="1"/>
        </w:numPr>
        <w:spacing w:before="240" w:after="160" w:line="259" w:lineRule="auto"/>
        <w:jc w:val="left"/>
        <w:outlineLvl w:val="0"/>
        <w:rPr>
          <w:rFonts w:eastAsia="Times New Roman" w:cstheme="minorHAnsi"/>
          <w:color w:val="2F5496"/>
          <w:sz w:val="32"/>
          <w:szCs w:val="32"/>
        </w:rPr>
      </w:pPr>
      <w:bookmarkStart w:id="3" w:name="_Toc210312696"/>
      <w:r>
        <w:rPr>
          <w:rFonts w:eastAsia="Times New Roman" w:cstheme="minorHAnsi"/>
          <w:color w:val="2F5496"/>
          <w:sz w:val="32"/>
          <w:szCs w:val="32"/>
        </w:rPr>
        <w:t>Legislative Requirements</w:t>
      </w:r>
      <w:bookmarkEnd w:id="3"/>
      <w:r>
        <w:rPr>
          <w:rFonts w:eastAsia="Times New Roman" w:cstheme="minorHAnsi"/>
          <w:color w:val="2F5496"/>
          <w:sz w:val="32"/>
          <w:szCs w:val="32"/>
        </w:rPr>
        <w:t xml:space="preserve"> </w:t>
      </w:r>
    </w:p>
    <w:p w14:paraId="7ADF6340" w14:textId="652AFC44" w:rsidR="00A054AB" w:rsidRDefault="00E9019A" w:rsidP="00A054AB">
      <w:pPr>
        <w:ind w:left="0" w:firstLine="0"/>
      </w:pPr>
      <w:r>
        <w:t>T</w:t>
      </w:r>
      <w:r w:rsidR="00A054AB" w:rsidRPr="00141FA3">
        <w:t xml:space="preserve">he University is bound across various pieces of </w:t>
      </w:r>
      <w:r>
        <w:t xml:space="preserve">health and safety </w:t>
      </w:r>
      <w:r w:rsidR="00A054AB" w:rsidRPr="00141FA3">
        <w:t>legislation</w:t>
      </w:r>
      <w:r>
        <w:t>,</w:t>
      </w:r>
      <w:r w:rsidR="00A054AB" w:rsidRPr="00141FA3">
        <w:t xml:space="preserve"> to have controls in place</w:t>
      </w:r>
      <w:r w:rsidR="00A054AB">
        <w:t xml:space="preserve"> and</w:t>
      </w:r>
      <w:r w:rsidR="00A054AB" w:rsidRPr="00141FA3">
        <w:t xml:space="preserve"> </w:t>
      </w:r>
      <w:r>
        <w:t xml:space="preserve">structures to </w:t>
      </w:r>
      <w:r w:rsidR="00A054AB" w:rsidRPr="00141FA3">
        <w:t xml:space="preserve">ensure these can be maintained </w:t>
      </w:r>
      <w:r w:rsidR="00A054AB">
        <w:t>during and following any disruptive event</w:t>
      </w:r>
      <w:r w:rsidR="00A054AB" w:rsidRPr="00141FA3">
        <w:t xml:space="preserve">. </w:t>
      </w:r>
    </w:p>
    <w:p w14:paraId="66EF7D4B" w14:textId="77777777" w:rsidR="00A054AB" w:rsidRDefault="00A054AB" w:rsidP="00A054AB">
      <w:pPr>
        <w:ind w:left="0" w:firstLine="0"/>
      </w:pPr>
      <w:r>
        <w:t>F</w:t>
      </w:r>
      <w:r w:rsidRPr="00F65D71">
        <w:t xml:space="preserve">ailure to </w:t>
      </w:r>
      <w:r>
        <w:t>maintain or recover</w:t>
      </w:r>
      <w:r w:rsidRPr="00F65D71">
        <w:t xml:space="preserve"> </w:t>
      </w:r>
      <w:r>
        <w:t>controls detailed as</w:t>
      </w:r>
      <w:r w:rsidRPr="00141FA3">
        <w:t xml:space="preserve"> legislative requirements</w:t>
      </w:r>
      <w:r>
        <w:t>, which are typically followed to achieve compliance</w:t>
      </w:r>
      <w:r w:rsidRPr="00141FA3">
        <w:t xml:space="preserve">, </w:t>
      </w:r>
      <w:r>
        <w:t>exposes the University, staff and students to foreseeable risks which may otherwise be managed</w:t>
      </w:r>
      <w:r w:rsidRPr="00141FA3">
        <w:t>.</w:t>
      </w:r>
    </w:p>
    <w:p w14:paraId="11A0F242" w14:textId="77777777" w:rsidR="00A054AB" w:rsidRDefault="00A054AB" w:rsidP="000920AA">
      <w:pPr>
        <w:ind w:left="0" w:firstLine="0"/>
      </w:pPr>
    </w:p>
    <w:p w14:paraId="37339614" w14:textId="77777777" w:rsidR="00A054AB" w:rsidRPr="000920AA" w:rsidRDefault="00A054AB" w:rsidP="000920AA">
      <w:pPr>
        <w:ind w:left="0" w:firstLine="0"/>
      </w:pPr>
    </w:p>
    <w:p w14:paraId="69978E73" w14:textId="69CDA0DD" w:rsidR="00273527" w:rsidRDefault="0008568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4" w:name="_Toc210312697"/>
      <w:r>
        <w:rPr>
          <w:rFonts w:eastAsia="Times New Roman" w:cstheme="minorHAnsi"/>
          <w:color w:val="2F5496"/>
          <w:sz w:val="32"/>
          <w:szCs w:val="32"/>
        </w:rPr>
        <w:lastRenderedPageBreak/>
        <w:t>Resilience</w:t>
      </w:r>
      <w:r w:rsidR="00273527">
        <w:rPr>
          <w:rFonts w:eastAsia="Times New Roman" w:cstheme="minorHAnsi"/>
          <w:color w:val="2F5496"/>
          <w:sz w:val="32"/>
          <w:szCs w:val="32"/>
        </w:rPr>
        <w:t xml:space="preserve"> </w:t>
      </w:r>
      <w:r>
        <w:rPr>
          <w:rFonts w:eastAsia="Times New Roman" w:cstheme="minorHAnsi"/>
          <w:color w:val="2F5496"/>
          <w:sz w:val="32"/>
          <w:szCs w:val="32"/>
        </w:rPr>
        <w:t>Overview</w:t>
      </w:r>
      <w:bookmarkEnd w:id="4"/>
    </w:p>
    <w:p w14:paraId="62B452FE" w14:textId="77777777" w:rsidR="00E041A6" w:rsidRDefault="00273527" w:rsidP="00E041A6">
      <w:pPr>
        <w:ind w:left="567"/>
      </w:pPr>
      <w:r>
        <w:t xml:space="preserve">This policy provides a strategic overview of the University’s aims towards resilience, which </w:t>
      </w:r>
      <w:r w:rsidR="0008568C">
        <w:t>are to</w:t>
      </w:r>
      <w:r>
        <w:t>:</w:t>
      </w:r>
    </w:p>
    <w:p w14:paraId="6072C46B" w14:textId="7D65AAC1" w:rsidR="009F133F" w:rsidRDefault="00976F88" w:rsidP="00DA6F69">
      <w:pPr>
        <w:ind w:left="567" w:firstLine="0"/>
        <w:rPr>
          <w:rFonts w:asciiTheme="majorHAnsi" w:eastAsiaTheme="majorEastAsia" w:hAnsiTheme="majorHAnsi" w:cstheme="majorBidi"/>
          <w:color w:val="243F60" w:themeColor="accent1" w:themeShade="7F"/>
          <w:sz w:val="24"/>
          <w:szCs w:val="24"/>
        </w:rPr>
      </w:pPr>
      <w:r w:rsidRPr="00976F88">
        <w:rPr>
          <w:rFonts w:asciiTheme="majorHAnsi" w:eastAsiaTheme="majorEastAsia" w:hAnsiTheme="majorHAnsi" w:cstheme="majorBidi"/>
          <w:color w:val="243F60" w:themeColor="accent1" w:themeShade="7F"/>
          <w:sz w:val="24"/>
          <w:szCs w:val="24"/>
        </w:rPr>
        <w:t>Establish resilience strategies that align with the University’s Strategic Plan, Aberdeen</w:t>
      </w:r>
      <w:r w:rsidR="00E0655D">
        <w:rPr>
          <w:rFonts w:asciiTheme="majorHAnsi" w:eastAsiaTheme="majorEastAsia" w:hAnsiTheme="majorHAnsi" w:cstheme="majorBidi"/>
          <w:color w:val="243F60" w:themeColor="accent1" w:themeShade="7F"/>
          <w:sz w:val="24"/>
          <w:szCs w:val="24"/>
        </w:rPr>
        <w:t xml:space="preserve"> </w:t>
      </w:r>
      <w:r w:rsidRPr="00976F88">
        <w:rPr>
          <w:rFonts w:asciiTheme="majorHAnsi" w:eastAsiaTheme="majorEastAsia" w:hAnsiTheme="majorHAnsi" w:cstheme="majorBidi"/>
          <w:color w:val="243F60" w:themeColor="accent1" w:themeShade="7F"/>
          <w:sz w:val="24"/>
          <w:szCs w:val="24"/>
        </w:rPr>
        <w:t>2040</w:t>
      </w:r>
      <w:r w:rsidR="00E041A6">
        <w:rPr>
          <w:rFonts w:asciiTheme="majorHAnsi" w:eastAsiaTheme="majorEastAsia" w:hAnsiTheme="majorHAnsi" w:cstheme="majorBidi"/>
          <w:color w:val="243F60" w:themeColor="accent1" w:themeShade="7F"/>
          <w:sz w:val="24"/>
          <w:szCs w:val="24"/>
        </w:rPr>
        <w:t>;</w:t>
      </w:r>
    </w:p>
    <w:p w14:paraId="7CAB5E11" w14:textId="78FA160A" w:rsidR="009F133F" w:rsidRDefault="00201B5B" w:rsidP="00027AD5">
      <w:pPr>
        <w:pStyle w:val="ListParagraph"/>
        <w:numPr>
          <w:ilvl w:val="0"/>
          <w:numId w:val="15"/>
        </w:numPr>
      </w:pPr>
      <w:r>
        <w:t>Aberdeen 2040</w:t>
      </w:r>
      <w:r w:rsidR="005E0FBD">
        <w:t xml:space="preserve"> promotes</w:t>
      </w:r>
      <w:r w:rsidR="00FC421F">
        <w:t xml:space="preserve"> ‘</w:t>
      </w:r>
      <w:r w:rsidR="00FC421F" w:rsidRPr="00FC421F">
        <w:t xml:space="preserve">interdisciplinary </w:t>
      </w:r>
      <w:proofErr w:type="gramStart"/>
      <w:r w:rsidR="00800028" w:rsidRPr="00FC421F">
        <w:t>interactions</w:t>
      </w:r>
      <w:r w:rsidR="00800028">
        <w:t>’</w:t>
      </w:r>
      <w:proofErr w:type="gramEnd"/>
      <w:r w:rsidR="00D10FFC">
        <w:t xml:space="preserve"> and the building of resilience requires cross departmental </w:t>
      </w:r>
      <w:r w:rsidR="00981511">
        <w:t xml:space="preserve">engagement and </w:t>
      </w:r>
      <w:r w:rsidR="00D41DE0">
        <w:t>sharing</w:t>
      </w:r>
      <w:r w:rsidR="00981511">
        <w:t xml:space="preserve"> of knowledge bases to</w:t>
      </w:r>
      <w:r w:rsidR="00F112B8">
        <w:t xml:space="preserve"> this end.</w:t>
      </w:r>
      <w:r w:rsidR="00981511">
        <w:t xml:space="preserve"> </w:t>
      </w:r>
    </w:p>
    <w:p w14:paraId="610C97B3" w14:textId="5DEB3CD6" w:rsidR="00E041A6" w:rsidRDefault="00E041A6" w:rsidP="00DA6F69">
      <w:pPr>
        <w:rPr>
          <w:rFonts w:asciiTheme="majorHAnsi" w:eastAsiaTheme="majorEastAsia" w:hAnsiTheme="majorHAnsi" w:cstheme="majorBidi"/>
          <w:color w:val="243F60" w:themeColor="accent1" w:themeShade="7F"/>
          <w:sz w:val="24"/>
          <w:szCs w:val="24"/>
        </w:rPr>
      </w:pPr>
      <w:r w:rsidRPr="00E041A6">
        <w:rPr>
          <w:rFonts w:asciiTheme="majorHAnsi" w:eastAsiaTheme="majorEastAsia" w:hAnsiTheme="majorHAnsi" w:cstheme="majorBidi"/>
          <w:color w:val="243F60" w:themeColor="accent1" w:themeShade="7F"/>
          <w:sz w:val="24"/>
          <w:szCs w:val="24"/>
        </w:rPr>
        <w:t>Conduct Business Impact Analyses within all Schools and Directorates;</w:t>
      </w:r>
    </w:p>
    <w:p w14:paraId="409BC917" w14:textId="58B83A9B" w:rsidR="002B04E5" w:rsidRPr="002B04E5" w:rsidRDefault="004F1AA6" w:rsidP="002B04E5">
      <w:pPr>
        <w:pStyle w:val="ListParagraph"/>
        <w:numPr>
          <w:ilvl w:val="0"/>
          <w:numId w:val="10"/>
        </w:numPr>
      </w:pPr>
      <w:r>
        <w:t xml:space="preserve">Business Impact Analyses </w:t>
      </w:r>
      <w:r w:rsidR="006E64FF">
        <w:t xml:space="preserve">will be completed </w:t>
      </w:r>
      <w:r>
        <w:t>across all work areas</w:t>
      </w:r>
      <w:r w:rsidR="00763D08">
        <w:t xml:space="preserve">, led by the Resilience Team and facilitated by the </w:t>
      </w:r>
      <w:r w:rsidR="002B04E5" w:rsidRPr="002B04E5">
        <w:t>Local Business Continuity Coordinators</w:t>
      </w:r>
      <w:r w:rsidR="00614A1A">
        <w:t>;</w:t>
      </w:r>
    </w:p>
    <w:p w14:paraId="7DE5A22F" w14:textId="33FA9F3B" w:rsidR="009F133F" w:rsidRDefault="004001AE" w:rsidP="002A2E53">
      <w:pPr>
        <w:pStyle w:val="ListParagraph"/>
        <w:numPr>
          <w:ilvl w:val="0"/>
          <w:numId w:val="10"/>
        </w:numPr>
      </w:pPr>
      <w:r>
        <w:t>Th</w:t>
      </w:r>
      <w:r w:rsidR="00C87858">
        <w:t>ese analyses</w:t>
      </w:r>
      <w:r>
        <w:t xml:space="preserve"> will be reviewed </w:t>
      </w:r>
      <w:r w:rsidR="007B0A4A">
        <w:t>regularly</w:t>
      </w:r>
      <w:r>
        <w:t xml:space="preserve"> </w:t>
      </w:r>
      <w:r w:rsidR="00CC5F56">
        <w:t>and/</w:t>
      </w:r>
      <w:r>
        <w:t>or following any</w:t>
      </w:r>
      <w:r w:rsidR="007B0A4A">
        <w:t xml:space="preserve"> incident or</w:t>
      </w:r>
      <w:r>
        <w:t xml:space="preserve"> change </w:t>
      </w:r>
      <w:r w:rsidR="00386F51">
        <w:t xml:space="preserve">which may impact their </w:t>
      </w:r>
      <w:r w:rsidR="007B0A4A">
        <w:t>efficacy</w:t>
      </w:r>
      <w:r w:rsidR="00614A1A">
        <w:t>;</w:t>
      </w:r>
    </w:p>
    <w:p w14:paraId="4B60277F" w14:textId="21E3C720" w:rsidR="00E041A6" w:rsidRDefault="00E041A6" w:rsidP="00DA6F69">
      <w:pPr>
        <w:rPr>
          <w:rFonts w:asciiTheme="majorHAnsi" w:eastAsiaTheme="majorEastAsia" w:hAnsiTheme="majorHAnsi" w:cstheme="majorBidi"/>
          <w:color w:val="243F60" w:themeColor="accent1" w:themeShade="7F"/>
          <w:sz w:val="24"/>
          <w:szCs w:val="24"/>
        </w:rPr>
      </w:pPr>
      <w:r w:rsidRPr="00E041A6">
        <w:rPr>
          <w:rFonts w:asciiTheme="majorHAnsi" w:eastAsiaTheme="majorEastAsia" w:hAnsiTheme="majorHAnsi" w:cstheme="majorBidi"/>
          <w:color w:val="243F60" w:themeColor="accent1" w:themeShade="7F"/>
          <w:sz w:val="24"/>
          <w:szCs w:val="24"/>
        </w:rPr>
        <w:t>Establish and manage Business Continuity Plans</w:t>
      </w:r>
      <w:r w:rsidR="00FA7914">
        <w:rPr>
          <w:rFonts w:asciiTheme="majorHAnsi" w:eastAsiaTheme="majorEastAsia" w:hAnsiTheme="majorHAnsi" w:cstheme="majorBidi"/>
          <w:color w:val="243F60" w:themeColor="accent1" w:themeShade="7F"/>
          <w:sz w:val="24"/>
          <w:szCs w:val="24"/>
        </w:rPr>
        <w:t xml:space="preserve"> </w:t>
      </w:r>
      <w:r w:rsidRPr="00E041A6">
        <w:rPr>
          <w:rFonts w:asciiTheme="majorHAnsi" w:eastAsiaTheme="majorEastAsia" w:hAnsiTheme="majorHAnsi" w:cstheme="majorBidi"/>
          <w:color w:val="243F60" w:themeColor="accent1" w:themeShade="7F"/>
          <w:sz w:val="24"/>
          <w:szCs w:val="24"/>
        </w:rPr>
        <w:t>across all areas of business;</w:t>
      </w:r>
    </w:p>
    <w:p w14:paraId="5058D8A9" w14:textId="63604529" w:rsidR="009F133F" w:rsidRDefault="0016756F" w:rsidP="0016756F">
      <w:pPr>
        <w:pStyle w:val="ListParagraph"/>
        <w:numPr>
          <w:ilvl w:val="0"/>
          <w:numId w:val="11"/>
        </w:numPr>
      </w:pPr>
      <w:r>
        <w:t xml:space="preserve">Business Impact Analysis will be used by each School and </w:t>
      </w:r>
      <w:r w:rsidR="00B0754B">
        <w:t>Directorate to develop Business Continuity Plans, aimed at putting controls in place to</w:t>
      </w:r>
      <w:r w:rsidR="00573A4E">
        <w:t xml:space="preserve">ward </w:t>
      </w:r>
      <w:r w:rsidR="0010616E">
        <w:t xml:space="preserve">delivering standard operations </w:t>
      </w:r>
      <w:r w:rsidR="00614A1A">
        <w:t>across</w:t>
      </w:r>
      <w:r w:rsidR="009F4164">
        <w:t xml:space="preserve"> disruptive events</w:t>
      </w:r>
      <w:r w:rsidR="00614A1A">
        <w:t>;</w:t>
      </w:r>
    </w:p>
    <w:p w14:paraId="59193C25" w14:textId="5967673F" w:rsidR="00614A1A" w:rsidRPr="009F133F" w:rsidRDefault="00614A1A" w:rsidP="0016756F">
      <w:pPr>
        <w:pStyle w:val="ListParagraph"/>
        <w:numPr>
          <w:ilvl w:val="0"/>
          <w:numId w:val="11"/>
        </w:numPr>
      </w:pPr>
      <w:r>
        <w:t xml:space="preserve">These </w:t>
      </w:r>
      <w:r w:rsidR="00FA7914">
        <w:t xml:space="preserve">BCPs will be reviewed regularly to ensure their efficacy and may be tested </w:t>
      </w:r>
      <w:r w:rsidR="00056AC8">
        <w:t>as part of</w:t>
      </w:r>
      <w:r w:rsidR="00FA7914">
        <w:t xml:space="preserve"> </w:t>
      </w:r>
      <w:r w:rsidR="00793043">
        <w:t>scenario training</w:t>
      </w:r>
      <w:r w:rsidR="00056AC8">
        <w:t xml:space="preserve"> programmes</w:t>
      </w:r>
      <w:r w:rsidR="00015C51">
        <w:t>;</w:t>
      </w:r>
    </w:p>
    <w:p w14:paraId="458509A1" w14:textId="78686D31" w:rsidR="00F22CF0" w:rsidRDefault="00F22CF0" w:rsidP="00DA6F69">
      <w:pPr>
        <w:keepNext/>
        <w:keepLines/>
        <w:spacing w:before="240" w:line="259" w:lineRule="auto"/>
        <w:jc w:val="left"/>
        <w:outlineLvl w:val="0"/>
        <w:rPr>
          <w:rFonts w:asciiTheme="majorHAnsi" w:eastAsiaTheme="majorEastAsia" w:hAnsiTheme="majorHAnsi" w:cstheme="majorBidi"/>
          <w:color w:val="243F60" w:themeColor="accent1" w:themeShade="7F"/>
          <w:sz w:val="24"/>
          <w:szCs w:val="24"/>
        </w:rPr>
      </w:pPr>
      <w:bookmarkStart w:id="5" w:name="_Toc210124481"/>
      <w:bookmarkStart w:id="6" w:name="_Toc210312698"/>
      <w:r w:rsidRPr="00F22CF0">
        <w:rPr>
          <w:rFonts w:asciiTheme="majorHAnsi" w:eastAsiaTheme="majorEastAsia" w:hAnsiTheme="majorHAnsi" w:cstheme="majorBidi"/>
          <w:color w:val="243F60" w:themeColor="accent1" w:themeShade="7F"/>
          <w:sz w:val="24"/>
          <w:szCs w:val="24"/>
        </w:rPr>
        <w:t xml:space="preserve">Develop business continuity measures for people, </w:t>
      </w:r>
      <w:r w:rsidR="002A391A" w:rsidRPr="00F22CF0">
        <w:rPr>
          <w:rFonts w:asciiTheme="majorHAnsi" w:eastAsiaTheme="majorEastAsia" w:hAnsiTheme="majorHAnsi" w:cstheme="majorBidi"/>
          <w:color w:val="243F60" w:themeColor="accent1" w:themeShade="7F"/>
          <w:sz w:val="24"/>
          <w:szCs w:val="24"/>
        </w:rPr>
        <w:t>premises,</w:t>
      </w:r>
      <w:r w:rsidRPr="00F22CF0">
        <w:rPr>
          <w:rFonts w:asciiTheme="majorHAnsi" w:eastAsiaTheme="majorEastAsia" w:hAnsiTheme="majorHAnsi" w:cstheme="majorBidi"/>
          <w:color w:val="243F60" w:themeColor="accent1" w:themeShade="7F"/>
          <w:sz w:val="24"/>
          <w:szCs w:val="24"/>
        </w:rPr>
        <w:t xml:space="preserve"> and processes;</w:t>
      </w:r>
      <w:bookmarkEnd w:id="5"/>
      <w:bookmarkEnd w:id="6"/>
    </w:p>
    <w:p w14:paraId="5167C913" w14:textId="71735E2D" w:rsidR="009F133F" w:rsidRDefault="00E048C3" w:rsidP="00056AC8">
      <w:pPr>
        <w:pStyle w:val="ListParagraph"/>
        <w:numPr>
          <w:ilvl w:val="0"/>
          <w:numId w:val="12"/>
        </w:numPr>
      </w:pPr>
      <w:r>
        <w:t xml:space="preserve">Business Continuity Plans will </w:t>
      </w:r>
      <w:r w:rsidR="005D4898">
        <w:t xml:space="preserve">focus on the person and how our staff </w:t>
      </w:r>
      <w:r w:rsidR="00E9019A">
        <w:t xml:space="preserve">and students </w:t>
      </w:r>
      <w:r w:rsidR="005D4898">
        <w:t xml:space="preserve">can be helped </w:t>
      </w:r>
      <w:r w:rsidR="00541EFF">
        <w:t>through a disruptive event;</w:t>
      </w:r>
    </w:p>
    <w:p w14:paraId="5426031B" w14:textId="3AC290D0" w:rsidR="00541EFF" w:rsidRDefault="00541EFF" w:rsidP="00056AC8">
      <w:pPr>
        <w:pStyle w:val="ListParagraph"/>
        <w:numPr>
          <w:ilvl w:val="0"/>
          <w:numId w:val="12"/>
        </w:numPr>
      </w:pPr>
      <w:r>
        <w:t xml:space="preserve">Our </w:t>
      </w:r>
      <w:r w:rsidR="009A1435">
        <w:t xml:space="preserve">diverse </w:t>
      </w:r>
      <w:r>
        <w:t xml:space="preserve">and </w:t>
      </w:r>
      <w:r w:rsidR="009A1435">
        <w:t>varied campus</w:t>
      </w:r>
      <w:r w:rsidR="00E9019A">
        <w:t>es</w:t>
      </w:r>
      <w:r w:rsidR="009A1435">
        <w:t xml:space="preserve"> will be </w:t>
      </w:r>
      <w:r w:rsidR="00EF45DB">
        <w:t xml:space="preserve">considered alongside </w:t>
      </w:r>
      <w:r w:rsidR="00705210">
        <w:t xml:space="preserve">operational activities to allow </w:t>
      </w:r>
      <w:r w:rsidR="002E27D2">
        <w:t xml:space="preserve">us to effectively operate </w:t>
      </w:r>
      <w:r w:rsidR="009E20C0">
        <w:t>throughout an incident</w:t>
      </w:r>
      <w:r w:rsidR="005809B6">
        <w:t>;</w:t>
      </w:r>
    </w:p>
    <w:p w14:paraId="61C8EB26" w14:textId="25F9A8A1" w:rsidR="00F22CF0" w:rsidRDefault="00F22CF0" w:rsidP="00DA6F69">
      <w:pPr>
        <w:keepNext/>
        <w:keepLines/>
        <w:spacing w:before="240" w:line="259" w:lineRule="auto"/>
        <w:jc w:val="left"/>
        <w:outlineLvl w:val="0"/>
        <w:rPr>
          <w:rFonts w:asciiTheme="majorHAnsi" w:eastAsiaTheme="majorEastAsia" w:hAnsiTheme="majorHAnsi" w:cstheme="majorBidi"/>
          <w:color w:val="243F60" w:themeColor="accent1" w:themeShade="7F"/>
          <w:sz w:val="24"/>
          <w:szCs w:val="24"/>
        </w:rPr>
      </w:pPr>
      <w:bookmarkStart w:id="7" w:name="_Toc210124482"/>
      <w:bookmarkStart w:id="8" w:name="_Toc210312699"/>
      <w:r w:rsidRPr="00F22CF0">
        <w:rPr>
          <w:rFonts w:asciiTheme="majorHAnsi" w:eastAsiaTheme="majorEastAsia" w:hAnsiTheme="majorHAnsi" w:cstheme="majorBidi"/>
          <w:color w:val="243F60" w:themeColor="accent1" w:themeShade="7F"/>
          <w:sz w:val="24"/>
          <w:szCs w:val="24"/>
        </w:rPr>
        <w:t>Co-ordinate with all internal and external stakeholders where appropriate;</w:t>
      </w:r>
      <w:bookmarkEnd w:id="7"/>
      <w:bookmarkEnd w:id="8"/>
    </w:p>
    <w:p w14:paraId="7F3D21B9" w14:textId="0E48F6E8" w:rsidR="000D1464" w:rsidRDefault="00DC66D9" w:rsidP="005809B6">
      <w:pPr>
        <w:pStyle w:val="ListParagraph"/>
        <w:numPr>
          <w:ilvl w:val="0"/>
          <w:numId w:val="13"/>
        </w:numPr>
      </w:pPr>
      <w:r>
        <w:t>Development and testing of plans will en</w:t>
      </w:r>
      <w:r w:rsidR="008770D9">
        <w:t xml:space="preserve">sure stakeholders are </w:t>
      </w:r>
      <w:r w:rsidR="006F140D">
        <w:t>both considered and consulted;</w:t>
      </w:r>
    </w:p>
    <w:p w14:paraId="5D0B4E2C" w14:textId="171AC1F0" w:rsidR="000D1464" w:rsidRDefault="005661DD" w:rsidP="00FB6119">
      <w:pPr>
        <w:pStyle w:val="ListParagraph"/>
        <w:numPr>
          <w:ilvl w:val="0"/>
          <w:numId w:val="13"/>
        </w:numPr>
      </w:pPr>
      <w:r>
        <w:t xml:space="preserve">Business Continuity Plans will put in place methods and systems </w:t>
      </w:r>
      <w:r w:rsidR="00373480">
        <w:t xml:space="preserve">to ensure communication can be effectively managed </w:t>
      </w:r>
      <w:r w:rsidR="000D1464">
        <w:t>during incidents;</w:t>
      </w:r>
    </w:p>
    <w:p w14:paraId="6A7852D0" w14:textId="5B9AC030" w:rsidR="00F22CF0" w:rsidRDefault="00F22CF0" w:rsidP="00D5192C">
      <w:pPr>
        <w:keepNext/>
        <w:keepLines/>
        <w:spacing w:before="240" w:line="259" w:lineRule="auto"/>
        <w:ind w:left="567" w:firstLine="0"/>
        <w:jc w:val="left"/>
        <w:outlineLvl w:val="0"/>
        <w:rPr>
          <w:rFonts w:asciiTheme="majorHAnsi" w:eastAsiaTheme="majorEastAsia" w:hAnsiTheme="majorHAnsi" w:cstheme="majorBidi"/>
          <w:color w:val="243F60" w:themeColor="accent1" w:themeShade="7F"/>
          <w:sz w:val="24"/>
          <w:szCs w:val="24"/>
        </w:rPr>
      </w:pPr>
      <w:bookmarkStart w:id="9" w:name="_Toc210124483"/>
      <w:bookmarkStart w:id="10" w:name="_Toc210312700"/>
      <w:r w:rsidRPr="00F22CF0">
        <w:rPr>
          <w:rFonts w:asciiTheme="majorHAnsi" w:eastAsiaTheme="majorEastAsia" w:hAnsiTheme="majorHAnsi" w:cstheme="majorBidi"/>
          <w:color w:val="243F60" w:themeColor="accent1" w:themeShade="7F"/>
          <w:sz w:val="24"/>
          <w:szCs w:val="24"/>
        </w:rPr>
        <w:t xml:space="preserve">Integrate the </w:t>
      </w:r>
      <w:r w:rsidR="009535F1">
        <w:rPr>
          <w:rFonts w:asciiTheme="majorHAnsi" w:eastAsiaTheme="majorEastAsia" w:hAnsiTheme="majorHAnsi" w:cstheme="majorBidi"/>
          <w:color w:val="243F60" w:themeColor="accent1" w:themeShade="7F"/>
          <w:sz w:val="24"/>
          <w:szCs w:val="24"/>
        </w:rPr>
        <w:t>plans and processes</w:t>
      </w:r>
      <w:r w:rsidRPr="00F22CF0">
        <w:rPr>
          <w:rFonts w:asciiTheme="majorHAnsi" w:eastAsiaTheme="majorEastAsia" w:hAnsiTheme="majorHAnsi" w:cstheme="majorBidi"/>
          <w:color w:val="243F60" w:themeColor="accent1" w:themeShade="7F"/>
          <w:sz w:val="24"/>
          <w:szCs w:val="24"/>
        </w:rPr>
        <w:t xml:space="preserve"> with existing policies and procedures;</w:t>
      </w:r>
      <w:bookmarkEnd w:id="9"/>
      <w:bookmarkEnd w:id="10"/>
    </w:p>
    <w:p w14:paraId="0DADD293" w14:textId="063EFFCB" w:rsidR="009F133F" w:rsidRDefault="006C10E2" w:rsidP="00573610">
      <w:pPr>
        <w:pStyle w:val="ListParagraph"/>
        <w:numPr>
          <w:ilvl w:val="0"/>
          <w:numId w:val="14"/>
        </w:numPr>
        <w:ind w:left="1491" w:hanging="357"/>
      </w:pPr>
      <w:r>
        <w:t>Business Continuity measures</w:t>
      </w:r>
      <w:r w:rsidR="000E31ED">
        <w:t xml:space="preserve"> </w:t>
      </w:r>
      <w:r w:rsidR="00926788">
        <w:t xml:space="preserve">will feature alongside the Resilience Framework, which further details </w:t>
      </w:r>
      <w:r w:rsidR="004A78B4">
        <w:t>documents and activities as part of the</w:t>
      </w:r>
      <w:r w:rsidR="00573610">
        <w:t xml:space="preserve"> Resilience Programme;</w:t>
      </w:r>
      <w:r w:rsidR="004A78B4">
        <w:t xml:space="preserve"> </w:t>
      </w:r>
    </w:p>
    <w:p w14:paraId="1A4FAB08" w14:textId="77777777" w:rsidR="00F22CF0" w:rsidRDefault="00F22CF0" w:rsidP="00D5192C">
      <w:pPr>
        <w:keepNext/>
        <w:keepLines/>
        <w:spacing w:before="240" w:line="259" w:lineRule="auto"/>
        <w:ind w:left="567" w:firstLine="0"/>
        <w:jc w:val="left"/>
        <w:outlineLvl w:val="0"/>
        <w:rPr>
          <w:rFonts w:asciiTheme="majorHAnsi" w:eastAsiaTheme="majorEastAsia" w:hAnsiTheme="majorHAnsi" w:cstheme="majorBidi"/>
          <w:color w:val="243F60" w:themeColor="accent1" w:themeShade="7F"/>
          <w:sz w:val="24"/>
          <w:szCs w:val="24"/>
        </w:rPr>
      </w:pPr>
      <w:bookmarkStart w:id="11" w:name="_Toc210124484"/>
      <w:bookmarkStart w:id="12" w:name="_Toc210312701"/>
      <w:r w:rsidRPr="00F22CF0">
        <w:rPr>
          <w:rFonts w:asciiTheme="majorHAnsi" w:eastAsiaTheme="majorEastAsia" w:hAnsiTheme="majorHAnsi" w:cstheme="majorBidi"/>
          <w:color w:val="243F60" w:themeColor="accent1" w:themeShade="7F"/>
          <w:sz w:val="24"/>
          <w:szCs w:val="24"/>
        </w:rPr>
        <w:t>Operate as a fully integrated resilient organisation in accordance with a common, robust incident management methodology;</w:t>
      </w:r>
      <w:bookmarkEnd w:id="11"/>
      <w:bookmarkEnd w:id="12"/>
    </w:p>
    <w:p w14:paraId="2599B48A" w14:textId="51D9FBDC" w:rsidR="009F133F" w:rsidRDefault="00591FFF" w:rsidP="00657167">
      <w:pPr>
        <w:pStyle w:val="ListParagraph"/>
        <w:numPr>
          <w:ilvl w:val="0"/>
          <w:numId w:val="14"/>
        </w:numPr>
        <w:ind w:left="1491" w:hanging="357"/>
      </w:pPr>
      <w:r>
        <w:t>Standardised training</w:t>
      </w:r>
      <w:r w:rsidR="006072A2">
        <w:t xml:space="preserve"> programmes</w:t>
      </w:r>
      <w:r>
        <w:t>, document</w:t>
      </w:r>
      <w:r w:rsidR="00231651">
        <w:t xml:space="preserve"> t</w:t>
      </w:r>
      <w:r w:rsidR="00AB4D8C">
        <w:t>emplates and a common language will be used</w:t>
      </w:r>
      <w:r w:rsidR="00530C30">
        <w:t>,</w:t>
      </w:r>
      <w:r w:rsidR="00E4209B">
        <w:t xml:space="preserve"> allow</w:t>
      </w:r>
      <w:r w:rsidR="00530C30">
        <w:t>ing</w:t>
      </w:r>
      <w:r w:rsidR="00E4209B">
        <w:t xml:space="preserve"> staff to remain familiar with</w:t>
      </w:r>
      <w:r w:rsidR="00231651">
        <w:t xml:space="preserve"> each School or Directorate</w:t>
      </w:r>
      <w:r w:rsidR="00AB4D8C">
        <w:t xml:space="preserve"> </w:t>
      </w:r>
      <w:r w:rsidR="00530C30">
        <w:t xml:space="preserve">business continuity </w:t>
      </w:r>
      <w:r w:rsidR="00717E52">
        <w:t>programme</w:t>
      </w:r>
      <w:r w:rsidR="0036656B">
        <w:t xml:space="preserve"> and incident response mechanisms</w:t>
      </w:r>
      <w:r w:rsidR="00717E52">
        <w:t>;</w:t>
      </w:r>
    </w:p>
    <w:p w14:paraId="27ED30ED" w14:textId="77777777" w:rsidR="00F016A7" w:rsidRDefault="00F016A7" w:rsidP="0008568C">
      <w:pPr>
        <w:ind w:left="0" w:firstLine="0"/>
      </w:pPr>
    </w:p>
    <w:p w14:paraId="71940542" w14:textId="7BB94159" w:rsidR="00AA23F4" w:rsidRPr="004A6FBD" w:rsidRDefault="009F50EC" w:rsidP="004A6FBD">
      <w:pPr>
        <w:keepNext/>
        <w:keepLines/>
        <w:numPr>
          <w:ilvl w:val="0"/>
          <w:numId w:val="1"/>
        </w:numPr>
        <w:spacing w:before="240" w:after="160" w:line="259" w:lineRule="auto"/>
        <w:jc w:val="left"/>
        <w:outlineLvl w:val="0"/>
        <w:rPr>
          <w:rFonts w:eastAsia="Times New Roman" w:cstheme="minorHAnsi"/>
          <w:color w:val="2F5496"/>
          <w:sz w:val="32"/>
          <w:szCs w:val="32"/>
        </w:rPr>
      </w:pPr>
      <w:bookmarkStart w:id="13" w:name="_Toc210312702"/>
      <w:r>
        <w:rPr>
          <w:rFonts w:eastAsia="Times New Roman" w:cstheme="minorHAnsi"/>
          <w:color w:val="2F5496"/>
          <w:sz w:val="32"/>
          <w:szCs w:val="32"/>
        </w:rPr>
        <w:lastRenderedPageBreak/>
        <w:t>Responsibilities</w:t>
      </w:r>
      <w:bookmarkStart w:id="14" w:name="_Hlk208484892"/>
      <w:bookmarkStart w:id="15" w:name="_Hlk116304484"/>
      <w:bookmarkEnd w:id="13"/>
    </w:p>
    <w:p w14:paraId="68616F4F" w14:textId="77777777" w:rsidR="00EC0BA3" w:rsidRPr="006841F3" w:rsidRDefault="00EC0BA3" w:rsidP="00AD70B0">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6" w:name="_Toc210312703"/>
      <w:r w:rsidRPr="006841F3">
        <w:rPr>
          <w:rFonts w:asciiTheme="majorHAnsi" w:eastAsiaTheme="majorEastAsia" w:hAnsiTheme="majorHAnsi" w:cstheme="majorBidi"/>
          <w:color w:val="243F60" w:themeColor="accent1" w:themeShade="7F"/>
          <w:sz w:val="24"/>
          <w:szCs w:val="24"/>
        </w:rPr>
        <w:t>University Court</w:t>
      </w:r>
      <w:bookmarkEnd w:id="16"/>
    </w:p>
    <w:bookmarkEnd w:id="14"/>
    <w:p w14:paraId="6FACB368" w14:textId="02A8C686" w:rsidR="002805E0" w:rsidRDefault="00EC0BA3" w:rsidP="006841F3">
      <w:pPr>
        <w:ind w:left="0" w:firstLine="0"/>
      </w:pPr>
      <w:r>
        <w:t>The University Court has ultimate responsibility for overseeing health</w:t>
      </w:r>
      <w:r w:rsidR="00637D09">
        <w:t xml:space="preserve"> and</w:t>
      </w:r>
      <w:r>
        <w:t xml:space="preserve"> safety </w:t>
      </w:r>
      <w:bookmarkStart w:id="17" w:name="_Int_pPHDruQu"/>
      <w:r w:rsidRPr="007A0489">
        <w:t>matters</w:t>
      </w:r>
      <w:bookmarkEnd w:id="17"/>
      <w:r>
        <w:t xml:space="preserve"> at the University. As such, they should seek assurance that appropriate risk control measures are in place and acted upon in relation to activities across the University that could give rise to significant risk. </w:t>
      </w:r>
    </w:p>
    <w:p w14:paraId="556F8B7B" w14:textId="6BCEBF9C" w:rsidR="00EC0BA3" w:rsidRDefault="00EC0BA3" w:rsidP="006841F3">
      <w:pPr>
        <w:ind w:left="0" w:firstLine="0"/>
      </w:pPr>
      <w:r>
        <w:t xml:space="preserve">They should be aware of significant health </w:t>
      </w:r>
      <w:r w:rsidRPr="003F281B">
        <w:t>and safety risks across the</w:t>
      </w:r>
      <w:r>
        <w:t xml:space="preserve"> University.</w:t>
      </w:r>
      <w:r w:rsidR="002805E0">
        <w:t xml:space="preserve"> </w:t>
      </w:r>
      <w:r w:rsidR="00D10BF1">
        <w:t>This responsibility translates across the field of resilience, where in its very nature, control of risk is an implicit part.</w:t>
      </w:r>
    </w:p>
    <w:p w14:paraId="3346C7AC" w14:textId="77777777" w:rsidR="00EC0BA3" w:rsidRPr="006841F3" w:rsidRDefault="00EC0BA3" w:rsidP="00AD70B0">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8" w:name="_Toc210312704"/>
      <w:r w:rsidRPr="006841F3">
        <w:rPr>
          <w:rFonts w:asciiTheme="majorHAnsi" w:eastAsiaTheme="majorEastAsia" w:hAnsiTheme="majorHAnsi" w:cstheme="majorBidi"/>
          <w:color w:val="243F60" w:themeColor="accent1" w:themeShade="7F"/>
          <w:sz w:val="24"/>
          <w:szCs w:val="24"/>
        </w:rPr>
        <w:t>Senior Management Team</w:t>
      </w:r>
      <w:bookmarkEnd w:id="18"/>
    </w:p>
    <w:p w14:paraId="5B131852" w14:textId="07649E07" w:rsidR="00FA5882" w:rsidRDefault="00EC0BA3" w:rsidP="007171F7">
      <w:pPr>
        <w:ind w:left="0" w:firstLine="0"/>
      </w:pPr>
      <w:r>
        <w:t xml:space="preserve">The Senior Management Team (SMT) has delegated authority from the University Court </w:t>
      </w:r>
      <w:r w:rsidR="00E65556" w:rsidRPr="00E65556">
        <w:t xml:space="preserve">to set and periodically review the University’s </w:t>
      </w:r>
      <w:r w:rsidR="000C5EDA">
        <w:t xml:space="preserve">Resilience </w:t>
      </w:r>
      <w:r w:rsidR="0028636E">
        <w:t>Policy</w:t>
      </w:r>
      <w:r w:rsidR="00F43126">
        <w:t>.</w:t>
      </w:r>
      <w:r w:rsidR="0028636E">
        <w:t xml:space="preserve"> </w:t>
      </w:r>
      <w:r w:rsidR="00F43126">
        <w:t>A</w:t>
      </w:r>
      <w:r>
        <w:t xml:space="preserve">s such, </w:t>
      </w:r>
      <w:r w:rsidR="00F43126">
        <w:t xml:space="preserve">SMT </w:t>
      </w:r>
      <w:r>
        <w:t xml:space="preserve">should seek assurance that appropriate risk control measures are in place, are being implemented and that those with risk management and assessment responsibilities are trained and competent. </w:t>
      </w:r>
      <w:bookmarkEnd w:id="15"/>
    </w:p>
    <w:p w14:paraId="3C6D5603" w14:textId="27941162" w:rsidR="00FA5882" w:rsidRPr="007171F7" w:rsidRDefault="00C73D6A" w:rsidP="007171F7">
      <w:pPr>
        <w:keepNext/>
        <w:keepLines/>
        <w:numPr>
          <w:ilvl w:val="1"/>
          <w:numId w:val="1"/>
        </w:numPr>
        <w:spacing w:before="240" w:line="360" w:lineRule="auto"/>
        <w:ind w:left="709" w:hanging="709"/>
        <w:jc w:val="left"/>
        <w:outlineLvl w:val="0"/>
        <w:rPr>
          <w:rFonts w:asciiTheme="majorHAnsi" w:eastAsiaTheme="majorEastAsia" w:hAnsiTheme="majorHAnsi" w:cstheme="majorBidi"/>
          <w:color w:val="243F60" w:themeColor="accent1" w:themeShade="7F"/>
          <w:sz w:val="24"/>
          <w:szCs w:val="24"/>
        </w:rPr>
      </w:pPr>
      <w:bookmarkStart w:id="19" w:name="_Hlk208483249"/>
      <w:bookmarkStart w:id="20" w:name="_Toc210312705"/>
      <w:r w:rsidRPr="006841F3">
        <w:rPr>
          <w:rFonts w:asciiTheme="majorHAnsi" w:eastAsiaTheme="majorEastAsia" w:hAnsiTheme="majorHAnsi" w:cstheme="majorBidi"/>
          <w:color w:val="243F60" w:themeColor="accent1" w:themeShade="7F"/>
          <w:sz w:val="24"/>
          <w:szCs w:val="24"/>
        </w:rPr>
        <w:t>Heads of Schools/D</w:t>
      </w:r>
      <w:bookmarkEnd w:id="19"/>
      <w:bookmarkEnd w:id="20"/>
      <w:r w:rsidR="00E9019A">
        <w:rPr>
          <w:rFonts w:asciiTheme="majorHAnsi" w:eastAsiaTheme="majorEastAsia" w:hAnsiTheme="majorHAnsi" w:cstheme="majorBidi"/>
          <w:color w:val="243F60" w:themeColor="accent1" w:themeShade="7F"/>
          <w:sz w:val="24"/>
          <w:szCs w:val="24"/>
        </w:rPr>
        <w:t>irectorates</w:t>
      </w:r>
    </w:p>
    <w:p w14:paraId="7EB3B277" w14:textId="734E5CE6" w:rsidR="007171F7" w:rsidRDefault="004A2F83" w:rsidP="007171F7">
      <w:pPr>
        <w:pStyle w:val="NoSpacing"/>
        <w:ind w:left="0" w:firstLine="0"/>
        <w:jc w:val="left"/>
      </w:pPr>
      <w:r>
        <w:t xml:space="preserve">Heads of </w:t>
      </w:r>
      <w:r w:rsidRPr="004A2F83">
        <w:t>School</w:t>
      </w:r>
      <w:r>
        <w:t>/</w:t>
      </w:r>
      <w:r w:rsidRPr="004A2F83">
        <w:t>Director</w:t>
      </w:r>
      <w:r>
        <w:t>s</w:t>
      </w:r>
      <w:r w:rsidRPr="004A2F83">
        <w:t xml:space="preserve"> </w:t>
      </w:r>
      <w:r w:rsidR="00273527">
        <w:t>are responsible to</w:t>
      </w:r>
      <w:r>
        <w:t xml:space="preserve"> </w:t>
      </w:r>
      <w:r w:rsidR="007171F7">
        <w:t>appoint</w:t>
      </w:r>
      <w:r>
        <w:t xml:space="preserve"> a member of </w:t>
      </w:r>
      <w:r w:rsidR="007171F7">
        <w:t>staff</w:t>
      </w:r>
      <w:r w:rsidR="002805E0">
        <w:t>, a local business coordinator</w:t>
      </w:r>
      <w:r w:rsidR="007171F7">
        <w:t>,</w:t>
      </w:r>
      <w:r>
        <w:t xml:space="preserve"> tasked with scoping and organising annual reviews </w:t>
      </w:r>
      <w:r w:rsidR="007171F7">
        <w:t xml:space="preserve">of business continuity plans </w:t>
      </w:r>
      <w:r>
        <w:t xml:space="preserve">and scheduling exercises, </w:t>
      </w:r>
      <w:r w:rsidR="007171F7">
        <w:t xml:space="preserve">as </w:t>
      </w:r>
      <w:r>
        <w:t>assisted by the Resilience Team.</w:t>
      </w:r>
      <w:r w:rsidRPr="004A2F83">
        <w:t xml:space="preserve"> </w:t>
      </w:r>
    </w:p>
    <w:p w14:paraId="17A37904" w14:textId="08EB57BF" w:rsidR="0091297A" w:rsidRDefault="44F9118F" w:rsidP="45379828">
      <w:pPr>
        <w:keepNext/>
        <w:keepLines/>
        <w:numPr>
          <w:ilvl w:val="1"/>
          <w:numId w:val="1"/>
        </w:numPr>
        <w:spacing w:before="240" w:line="259" w:lineRule="auto"/>
        <w:ind w:left="720"/>
        <w:jc w:val="left"/>
        <w:outlineLvl w:val="0"/>
        <w:rPr>
          <w:rFonts w:asciiTheme="majorHAnsi" w:eastAsiaTheme="majorEastAsia" w:hAnsiTheme="majorHAnsi" w:cstheme="majorBidi"/>
          <w:color w:val="243F60" w:themeColor="accent1" w:themeShade="7F"/>
          <w:sz w:val="24"/>
          <w:szCs w:val="24"/>
        </w:rPr>
      </w:pPr>
      <w:bookmarkStart w:id="21" w:name="_Toc210312706"/>
      <w:r w:rsidRPr="45379828">
        <w:rPr>
          <w:rFonts w:asciiTheme="majorHAnsi" w:eastAsiaTheme="majorEastAsia" w:hAnsiTheme="majorHAnsi" w:cstheme="majorBidi"/>
          <w:color w:val="243F60"/>
          <w:sz w:val="24"/>
          <w:szCs w:val="24"/>
        </w:rPr>
        <w:t>Leadership &amp; Assurance</w:t>
      </w:r>
      <w:bookmarkEnd w:id="21"/>
    </w:p>
    <w:p w14:paraId="37D6036C" w14:textId="7198EEFB" w:rsidR="0091297A" w:rsidRPr="0091297A" w:rsidRDefault="66EDB36C" w:rsidP="00C47F11">
      <w:pPr>
        <w:spacing w:line="259" w:lineRule="auto"/>
        <w:ind w:left="0" w:firstLine="0"/>
      </w:pPr>
      <w:r>
        <w:t xml:space="preserve">The Interim Director of People, Academic Services &amp; Online is responsible for the delivery of the </w:t>
      </w:r>
      <w:r w:rsidR="52CABC17">
        <w:t>resilience</w:t>
      </w:r>
      <w:r>
        <w:t xml:space="preserve"> function</w:t>
      </w:r>
      <w:r w:rsidR="00F97463">
        <w:t xml:space="preserve">. </w:t>
      </w:r>
      <w:r w:rsidR="0091297A">
        <w:t xml:space="preserve">The Chief </w:t>
      </w:r>
      <w:r w:rsidR="775E5569">
        <w:t xml:space="preserve">Governance </w:t>
      </w:r>
      <w:r w:rsidR="0091297A">
        <w:t xml:space="preserve">Officer </w:t>
      </w:r>
      <w:r w:rsidR="47A9C106">
        <w:t xml:space="preserve">and University Secretary, </w:t>
      </w:r>
      <w:r w:rsidR="0091297A">
        <w:t>or nominated deputy</w:t>
      </w:r>
      <w:r w:rsidR="6E280E00">
        <w:t>,</w:t>
      </w:r>
      <w:r w:rsidR="0091297A">
        <w:t xml:space="preserve"> </w:t>
      </w:r>
      <w:r w:rsidR="6A0CC710">
        <w:t>is responsible for providing assurance on</w:t>
      </w:r>
      <w:r w:rsidR="0091297A">
        <w:t xml:space="preserve"> the University's</w:t>
      </w:r>
      <w:r w:rsidR="0B4707EE">
        <w:t xml:space="preserve"> resilience</w:t>
      </w:r>
      <w:r w:rsidR="0091297A">
        <w:t xml:space="preserve"> arrangements.</w:t>
      </w:r>
    </w:p>
    <w:p w14:paraId="02DB8207" w14:textId="7D7838A7" w:rsidR="0091297A" w:rsidRPr="007171F7" w:rsidRDefault="0091297A" w:rsidP="007171F7">
      <w:pPr>
        <w:keepNext/>
        <w:keepLines/>
        <w:numPr>
          <w:ilvl w:val="1"/>
          <w:numId w:val="1"/>
        </w:numPr>
        <w:spacing w:before="240" w:line="259" w:lineRule="auto"/>
        <w:ind w:left="720"/>
        <w:jc w:val="left"/>
        <w:outlineLvl w:val="0"/>
        <w:rPr>
          <w:rFonts w:asciiTheme="majorHAnsi" w:eastAsiaTheme="majorEastAsia" w:hAnsiTheme="majorHAnsi" w:cstheme="majorBidi"/>
          <w:color w:val="243F60" w:themeColor="accent1" w:themeShade="7F"/>
          <w:sz w:val="24"/>
          <w:szCs w:val="24"/>
        </w:rPr>
      </w:pPr>
      <w:bookmarkStart w:id="22" w:name="_Toc210312707"/>
      <w:r>
        <w:rPr>
          <w:rFonts w:asciiTheme="majorHAnsi" w:eastAsiaTheme="majorEastAsia" w:hAnsiTheme="majorHAnsi" w:cstheme="majorBidi"/>
          <w:color w:val="243F60" w:themeColor="accent1" w:themeShade="7F"/>
          <w:sz w:val="24"/>
          <w:szCs w:val="24"/>
        </w:rPr>
        <w:t>Resilience Advisory Group</w:t>
      </w:r>
      <w:bookmarkEnd w:id="22"/>
    </w:p>
    <w:p w14:paraId="70A471CB" w14:textId="218221A6" w:rsidR="007171F7" w:rsidRDefault="007171F7" w:rsidP="007171F7">
      <w:pPr>
        <w:ind w:left="0" w:firstLine="0"/>
      </w:pPr>
      <w:r>
        <w:t xml:space="preserve">The Resilience Advisory Group </w:t>
      </w:r>
      <w:r w:rsidR="0036656B">
        <w:t xml:space="preserve">(RAG) </w:t>
      </w:r>
      <w:r>
        <w:t>has been established to:</w:t>
      </w:r>
    </w:p>
    <w:p w14:paraId="7319E6B0" w14:textId="79666A29" w:rsidR="007171F7" w:rsidRDefault="673792CD" w:rsidP="007171F7">
      <w:pPr>
        <w:pStyle w:val="ListParagraph"/>
        <w:numPr>
          <w:ilvl w:val="0"/>
          <w:numId w:val="4"/>
        </w:numPr>
      </w:pPr>
      <w:r>
        <w:t>Manage risks and issues associated with the University’s resilience arrangements and take</w:t>
      </w:r>
      <w:r w:rsidR="007171F7">
        <w:t xml:space="preserve"> actions necessary to implement </w:t>
      </w:r>
      <w:r w:rsidR="00273527">
        <w:t>any issues identified</w:t>
      </w:r>
      <w:r w:rsidR="4C06B715">
        <w:t>, including escalation to the Senior Management Team and/or University Management Group as appropriate</w:t>
      </w:r>
      <w:r w:rsidR="007171F7">
        <w:t>;</w:t>
      </w:r>
    </w:p>
    <w:p w14:paraId="6CB71BE9" w14:textId="083930F7" w:rsidR="007171F7" w:rsidRDefault="007171F7" w:rsidP="007171F7">
      <w:pPr>
        <w:pStyle w:val="ListParagraph"/>
        <w:numPr>
          <w:ilvl w:val="0"/>
          <w:numId w:val="4"/>
        </w:numPr>
      </w:pPr>
      <w:r>
        <w:t xml:space="preserve">Monitor the extent of compliance with the </w:t>
      </w:r>
      <w:r w:rsidR="00273527">
        <w:t>processes in place and the aims of the University</w:t>
      </w:r>
      <w:r>
        <w:t>;</w:t>
      </w:r>
    </w:p>
    <w:p w14:paraId="1DAF0E15" w14:textId="100CD94F" w:rsidR="007171F7" w:rsidRDefault="007171F7" w:rsidP="007171F7">
      <w:pPr>
        <w:pStyle w:val="ListParagraph"/>
        <w:numPr>
          <w:ilvl w:val="0"/>
          <w:numId w:val="4"/>
        </w:numPr>
      </w:pPr>
      <w:r>
        <w:t>Facilitate discussions between units within the University on interdependencies regarding matters of resilience;</w:t>
      </w:r>
    </w:p>
    <w:p w14:paraId="0A9E353C" w14:textId="77777777" w:rsidR="007171F7" w:rsidRDefault="007171F7" w:rsidP="007171F7">
      <w:pPr>
        <w:pStyle w:val="ListParagraph"/>
        <w:numPr>
          <w:ilvl w:val="0"/>
          <w:numId w:val="4"/>
        </w:numPr>
      </w:pPr>
      <w:r>
        <w:t>Receive regular feedback from Schools and Professional Services on resilience issues;</w:t>
      </w:r>
    </w:p>
    <w:p w14:paraId="0FF6E1F7" w14:textId="5215E4AC" w:rsidR="4C123212" w:rsidRDefault="4C123212" w:rsidP="45379828">
      <w:pPr>
        <w:pStyle w:val="ListParagraph"/>
        <w:numPr>
          <w:ilvl w:val="0"/>
          <w:numId w:val="4"/>
        </w:numPr>
      </w:pPr>
      <w:r>
        <w:t xml:space="preserve">Review post incident </w:t>
      </w:r>
      <w:proofErr w:type="gramStart"/>
      <w:r>
        <w:t>debrief</w:t>
      </w:r>
      <w:proofErr w:type="gramEnd"/>
      <w:r>
        <w:t xml:space="preserve"> reports; and</w:t>
      </w:r>
    </w:p>
    <w:p w14:paraId="576BDF2B" w14:textId="7C30EB43" w:rsidR="0091297A" w:rsidRDefault="007171F7" w:rsidP="6337E69F">
      <w:pPr>
        <w:pStyle w:val="ListParagraph"/>
        <w:numPr>
          <w:ilvl w:val="0"/>
          <w:numId w:val="4"/>
        </w:numPr>
      </w:pPr>
      <w:r>
        <w:t>Report at least annually to the Senior Management Team</w:t>
      </w:r>
      <w:r w:rsidR="3330426A">
        <w:t xml:space="preserve"> with an annual resilience report</w:t>
      </w:r>
      <w:r w:rsidR="588ADA14">
        <w:t>.</w:t>
      </w:r>
    </w:p>
    <w:p w14:paraId="39E807F7" w14:textId="6F218722" w:rsidR="007171F7" w:rsidRPr="006841F3" w:rsidRDefault="0091297A" w:rsidP="007171F7">
      <w:pPr>
        <w:ind w:left="567"/>
      </w:pPr>
      <w:r w:rsidRPr="0091297A">
        <w:t>The Group will meet four times per year and more frequently if circumstances require it.</w:t>
      </w:r>
    </w:p>
    <w:p w14:paraId="4CA40DCF" w14:textId="77777777" w:rsidR="007171F7" w:rsidRDefault="007171F7" w:rsidP="007171F7"/>
    <w:p w14:paraId="335735B4" w14:textId="77777777" w:rsidR="000920AA" w:rsidRPr="007171F7" w:rsidRDefault="000920AA" w:rsidP="007171F7"/>
    <w:p w14:paraId="0FFE549B" w14:textId="023E61A1" w:rsidR="007171F7" w:rsidRDefault="0091297A"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23" w:name="_Toc210312708"/>
      <w:bookmarkStart w:id="24" w:name="_Hlk113360859"/>
      <w:r>
        <w:rPr>
          <w:rFonts w:eastAsia="Times New Roman" w:cstheme="minorHAnsi"/>
          <w:color w:val="2F5496"/>
          <w:sz w:val="32"/>
          <w:szCs w:val="32"/>
        </w:rPr>
        <w:lastRenderedPageBreak/>
        <w:t>Specialist BC Roles</w:t>
      </w:r>
      <w:bookmarkEnd w:id="23"/>
    </w:p>
    <w:p w14:paraId="2BCF4BEF" w14:textId="121530DA" w:rsidR="0091297A" w:rsidRDefault="002805E0" w:rsidP="0091297A">
      <w:pPr>
        <w:keepNext/>
        <w:keepLines/>
        <w:numPr>
          <w:ilvl w:val="1"/>
          <w:numId w:val="1"/>
        </w:numPr>
        <w:spacing w:before="240" w:line="259" w:lineRule="auto"/>
        <w:ind w:left="720"/>
        <w:jc w:val="left"/>
        <w:outlineLvl w:val="0"/>
        <w:rPr>
          <w:rFonts w:asciiTheme="majorHAnsi" w:eastAsiaTheme="majorEastAsia" w:hAnsiTheme="majorHAnsi" w:cstheme="majorBidi"/>
          <w:color w:val="243F60" w:themeColor="accent1" w:themeShade="7F"/>
          <w:sz w:val="24"/>
          <w:szCs w:val="24"/>
        </w:rPr>
      </w:pPr>
      <w:bookmarkStart w:id="25" w:name="_Toc210312709"/>
      <w:bookmarkStart w:id="26" w:name="_Hlk210055450"/>
      <w:r>
        <w:rPr>
          <w:rFonts w:asciiTheme="majorHAnsi" w:eastAsiaTheme="majorEastAsia" w:hAnsiTheme="majorHAnsi" w:cstheme="majorBidi"/>
          <w:color w:val="243F60" w:themeColor="accent1" w:themeShade="7F"/>
          <w:sz w:val="24"/>
          <w:szCs w:val="24"/>
        </w:rPr>
        <w:t>Resilience Team</w:t>
      </w:r>
      <w:bookmarkEnd w:id="25"/>
    </w:p>
    <w:bookmarkEnd w:id="26"/>
    <w:p w14:paraId="2DC974E3" w14:textId="1D9A2E0D" w:rsidR="000920AA" w:rsidRPr="000C150E" w:rsidRDefault="000920AA" w:rsidP="000920AA">
      <w:pPr>
        <w:spacing w:after="120"/>
        <w:ind w:left="539" w:hanging="539"/>
        <w:rPr>
          <w:rFonts w:cstheme="minorHAnsi"/>
          <w:strike/>
        </w:rPr>
      </w:pPr>
      <w:r w:rsidRPr="000C150E">
        <w:rPr>
          <w:rFonts w:cstheme="minorHAnsi"/>
          <w:color w:val="000000" w:themeColor="text1"/>
        </w:rPr>
        <w:t xml:space="preserve">The University has </w:t>
      </w:r>
      <w:r>
        <w:rPr>
          <w:rFonts w:cstheme="minorHAnsi"/>
          <w:color w:val="000000" w:themeColor="text1"/>
        </w:rPr>
        <w:t>a Resilience Team</w:t>
      </w:r>
      <w:r>
        <w:rPr>
          <w:rFonts w:cstheme="minorHAnsi"/>
        </w:rPr>
        <w:t xml:space="preserve"> </w:t>
      </w:r>
      <w:r w:rsidRPr="000C150E">
        <w:rPr>
          <w:rFonts w:cstheme="minorHAnsi"/>
        </w:rPr>
        <w:t>whose role is to:</w:t>
      </w:r>
    </w:p>
    <w:p w14:paraId="2495E7A2" w14:textId="3B31085C" w:rsidR="000920AA" w:rsidRPr="000920AA" w:rsidRDefault="000920AA" w:rsidP="000920AA">
      <w:pPr>
        <w:pStyle w:val="ListParagraph"/>
        <w:numPr>
          <w:ilvl w:val="0"/>
          <w:numId w:val="7"/>
        </w:numPr>
        <w:autoSpaceDE w:val="0"/>
        <w:autoSpaceDN w:val="0"/>
        <w:adjustRightInd w:val="0"/>
        <w:spacing w:before="0"/>
        <w:rPr>
          <w:rFonts w:cstheme="minorHAnsi"/>
        </w:rPr>
      </w:pPr>
      <w:r w:rsidRPr="000920AA">
        <w:rPr>
          <w:rFonts w:cstheme="minorHAnsi"/>
        </w:rPr>
        <w:t>Have strategic oversight of the development and implementation of the University’s business continuity and Resilience</w:t>
      </w:r>
      <w:r w:rsidRPr="000920AA">
        <w:rPr>
          <w:rFonts w:cstheme="minorHAnsi"/>
          <w:color w:val="FF0000"/>
        </w:rPr>
        <w:t xml:space="preserve"> </w:t>
      </w:r>
      <w:r w:rsidRPr="000920AA">
        <w:rPr>
          <w:rFonts w:cstheme="minorHAnsi"/>
        </w:rPr>
        <w:t>arrangements</w:t>
      </w:r>
      <w:r w:rsidR="0003768A">
        <w:rPr>
          <w:rFonts w:cstheme="minorHAnsi"/>
        </w:rPr>
        <w:t>;</w:t>
      </w:r>
    </w:p>
    <w:p w14:paraId="25E3EA0D" w14:textId="0D6B8EDC" w:rsidR="000920AA" w:rsidRPr="000920AA" w:rsidRDefault="000920AA" w:rsidP="000920AA">
      <w:pPr>
        <w:pStyle w:val="ListParagraph"/>
        <w:numPr>
          <w:ilvl w:val="0"/>
          <w:numId w:val="7"/>
        </w:numPr>
        <w:autoSpaceDE w:val="0"/>
        <w:autoSpaceDN w:val="0"/>
        <w:adjustRightInd w:val="0"/>
        <w:spacing w:before="0"/>
        <w:rPr>
          <w:rFonts w:cstheme="minorHAnsi"/>
        </w:rPr>
      </w:pPr>
      <w:r w:rsidRPr="000920AA">
        <w:rPr>
          <w:rFonts w:cstheme="minorHAnsi"/>
        </w:rPr>
        <w:t>Provide support and guidance to Schools and Professional Services on business continuity planning and resilience matters</w:t>
      </w:r>
      <w:r w:rsidR="0003768A">
        <w:rPr>
          <w:rFonts w:cstheme="minorHAnsi"/>
        </w:rPr>
        <w:t>;</w:t>
      </w:r>
    </w:p>
    <w:p w14:paraId="60AEB691" w14:textId="77777777" w:rsidR="000920AA" w:rsidRDefault="000920AA" w:rsidP="000920AA">
      <w:pPr>
        <w:pStyle w:val="ListParagraph"/>
        <w:numPr>
          <w:ilvl w:val="0"/>
          <w:numId w:val="7"/>
        </w:numPr>
        <w:autoSpaceDE w:val="0"/>
        <w:autoSpaceDN w:val="0"/>
        <w:adjustRightInd w:val="0"/>
        <w:spacing w:before="0"/>
        <w:rPr>
          <w:rFonts w:cstheme="minorHAnsi"/>
        </w:rPr>
      </w:pPr>
      <w:r w:rsidRPr="000920AA">
        <w:rPr>
          <w:rFonts w:cstheme="minorHAnsi"/>
        </w:rPr>
        <w:t>Work across all services to ensure interdependencies are recognised and a consistent approach is applied across the University;</w:t>
      </w:r>
    </w:p>
    <w:p w14:paraId="7E48604F" w14:textId="77777777" w:rsidR="000920AA" w:rsidRDefault="000920AA" w:rsidP="000920AA">
      <w:pPr>
        <w:pStyle w:val="ListParagraph"/>
        <w:numPr>
          <w:ilvl w:val="0"/>
          <w:numId w:val="7"/>
        </w:numPr>
        <w:autoSpaceDE w:val="0"/>
        <w:autoSpaceDN w:val="0"/>
        <w:adjustRightInd w:val="0"/>
        <w:spacing w:before="0"/>
        <w:rPr>
          <w:rFonts w:cstheme="minorHAnsi"/>
        </w:rPr>
      </w:pPr>
      <w:r w:rsidRPr="000920AA">
        <w:rPr>
          <w:rFonts w:cstheme="minorHAnsi"/>
        </w:rPr>
        <w:t>Monitor standards and compliance with the policy across the University.</w:t>
      </w:r>
    </w:p>
    <w:p w14:paraId="62CE1303" w14:textId="24BCBEF9" w:rsidR="000920AA" w:rsidRPr="000920AA" w:rsidRDefault="000920AA" w:rsidP="000920AA">
      <w:pPr>
        <w:pStyle w:val="ListParagraph"/>
        <w:numPr>
          <w:ilvl w:val="0"/>
          <w:numId w:val="7"/>
        </w:numPr>
        <w:autoSpaceDE w:val="0"/>
        <w:autoSpaceDN w:val="0"/>
        <w:adjustRightInd w:val="0"/>
        <w:spacing w:before="0"/>
        <w:rPr>
          <w:rFonts w:cstheme="minorHAnsi"/>
        </w:rPr>
      </w:pPr>
      <w:r w:rsidRPr="000920AA">
        <w:rPr>
          <w:rFonts w:cstheme="minorHAnsi"/>
        </w:rPr>
        <w:t>Deliver</w:t>
      </w:r>
      <w:r>
        <w:rPr>
          <w:rFonts w:cstheme="minorHAnsi"/>
        </w:rPr>
        <w:t>/arrange</w:t>
      </w:r>
      <w:r w:rsidRPr="000920AA">
        <w:rPr>
          <w:rFonts w:cstheme="minorHAnsi"/>
        </w:rPr>
        <w:t xml:space="preserve"> training and exercises</w:t>
      </w:r>
      <w:r w:rsidR="0003768A">
        <w:rPr>
          <w:rFonts w:cstheme="minorHAnsi"/>
        </w:rPr>
        <w:t>;</w:t>
      </w:r>
    </w:p>
    <w:p w14:paraId="3207A681" w14:textId="18EC962D" w:rsidR="000920AA" w:rsidRDefault="00D42EBC" w:rsidP="000920AA">
      <w:pPr>
        <w:pStyle w:val="ListParagraph"/>
        <w:numPr>
          <w:ilvl w:val="0"/>
          <w:numId w:val="7"/>
        </w:numPr>
        <w:autoSpaceDE w:val="0"/>
        <w:autoSpaceDN w:val="0"/>
        <w:adjustRightInd w:val="0"/>
        <w:spacing w:before="0"/>
        <w:jc w:val="left"/>
        <w:rPr>
          <w:rFonts w:cstheme="minorHAnsi"/>
        </w:rPr>
      </w:pPr>
      <w:r w:rsidRPr="000920AA">
        <w:rPr>
          <w:rFonts w:cstheme="minorHAnsi"/>
        </w:rPr>
        <w:t>Consult</w:t>
      </w:r>
      <w:r w:rsidR="000920AA" w:rsidRPr="000920AA">
        <w:rPr>
          <w:rFonts w:cstheme="minorHAnsi"/>
        </w:rPr>
        <w:t xml:space="preserve"> with external stakeholders to support the maintenance and development of the University’s arrangements</w:t>
      </w:r>
      <w:r w:rsidR="0003768A">
        <w:rPr>
          <w:rFonts w:cstheme="minorHAnsi"/>
        </w:rPr>
        <w:t>;</w:t>
      </w:r>
    </w:p>
    <w:p w14:paraId="28B51DFB" w14:textId="59B71F46" w:rsidR="000920AA" w:rsidRDefault="000920AA" w:rsidP="000920AA">
      <w:pPr>
        <w:pStyle w:val="ListParagraph"/>
        <w:numPr>
          <w:ilvl w:val="0"/>
          <w:numId w:val="7"/>
        </w:numPr>
        <w:autoSpaceDE w:val="0"/>
        <w:autoSpaceDN w:val="0"/>
        <w:adjustRightInd w:val="0"/>
        <w:spacing w:before="0"/>
        <w:jc w:val="left"/>
        <w:rPr>
          <w:rFonts w:cstheme="minorHAnsi"/>
        </w:rPr>
      </w:pPr>
      <w:r w:rsidRPr="000920AA">
        <w:rPr>
          <w:rFonts w:cstheme="minorHAnsi"/>
        </w:rPr>
        <w:t>Maintain knowledge and understanding of relevant standards, guidance, and legislation</w:t>
      </w:r>
      <w:r w:rsidR="001A1A65">
        <w:rPr>
          <w:rFonts w:cstheme="minorHAnsi"/>
        </w:rPr>
        <w:t>;</w:t>
      </w:r>
    </w:p>
    <w:p w14:paraId="6827F72D" w14:textId="1EF725D3" w:rsidR="000920AA" w:rsidRPr="000920AA" w:rsidRDefault="000920AA" w:rsidP="000920AA">
      <w:pPr>
        <w:pStyle w:val="ListParagraph"/>
        <w:numPr>
          <w:ilvl w:val="0"/>
          <w:numId w:val="7"/>
        </w:numPr>
        <w:autoSpaceDE w:val="0"/>
        <w:autoSpaceDN w:val="0"/>
        <w:adjustRightInd w:val="0"/>
        <w:spacing w:before="0"/>
        <w:jc w:val="left"/>
        <w:rPr>
          <w:rFonts w:cstheme="minorHAnsi"/>
        </w:rPr>
      </w:pPr>
      <w:r w:rsidRPr="000920AA">
        <w:rPr>
          <w:rFonts w:cstheme="minorHAnsi"/>
        </w:rPr>
        <w:t>Develop and maintain the University’s Resilience Plan</w:t>
      </w:r>
      <w:r w:rsidR="0003768A">
        <w:rPr>
          <w:rFonts w:cstheme="minorHAnsi"/>
        </w:rPr>
        <w:t>;</w:t>
      </w:r>
    </w:p>
    <w:p w14:paraId="60427773" w14:textId="6137B8EA" w:rsidR="000920AA" w:rsidRPr="000920AA" w:rsidRDefault="000920AA" w:rsidP="000920AA">
      <w:pPr>
        <w:pStyle w:val="ListParagraph"/>
        <w:numPr>
          <w:ilvl w:val="0"/>
          <w:numId w:val="7"/>
        </w:numPr>
        <w:autoSpaceDE w:val="0"/>
        <w:autoSpaceDN w:val="0"/>
        <w:adjustRightInd w:val="0"/>
        <w:spacing w:before="0"/>
        <w:jc w:val="left"/>
        <w:rPr>
          <w:rFonts w:cstheme="minorHAnsi"/>
        </w:rPr>
      </w:pPr>
      <w:r w:rsidRPr="000920AA">
        <w:rPr>
          <w:rFonts w:cstheme="minorHAnsi"/>
        </w:rPr>
        <w:t xml:space="preserve">Coordinate debriefings following incidents, ensuring that lessons learned are captured, </w:t>
      </w:r>
      <w:r w:rsidR="00F97463" w:rsidRPr="000920AA">
        <w:rPr>
          <w:rFonts w:cstheme="minorHAnsi"/>
        </w:rPr>
        <w:t>collated,</w:t>
      </w:r>
      <w:r w:rsidRPr="000920AA">
        <w:rPr>
          <w:rFonts w:cstheme="minorHAnsi"/>
        </w:rPr>
        <w:t xml:space="preserve"> and distributed</w:t>
      </w:r>
      <w:r w:rsidR="0003768A">
        <w:rPr>
          <w:rFonts w:cstheme="minorHAnsi"/>
        </w:rPr>
        <w:t>;</w:t>
      </w:r>
    </w:p>
    <w:p w14:paraId="6037E610" w14:textId="29296D80" w:rsidR="0091297A" w:rsidRPr="00AC7DAB" w:rsidRDefault="000920AA" w:rsidP="00AC7DAB">
      <w:pPr>
        <w:pStyle w:val="ListParagraph"/>
        <w:numPr>
          <w:ilvl w:val="0"/>
          <w:numId w:val="7"/>
        </w:numPr>
        <w:autoSpaceDE w:val="0"/>
        <w:autoSpaceDN w:val="0"/>
        <w:adjustRightInd w:val="0"/>
        <w:spacing w:before="0"/>
        <w:jc w:val="left"/>
        <w:rPr>
          <w:rFonts w:cstheme="minorHAnsi"/>
        </w:rPr>
      </w:pPr>
      <w:r w:rsidRPr="000920AA">
        <w:rPr>
          <w:rFonts w:cstheme="minorHAnsi"/>
        </w:rPr>
        <w:t>Maintain continuous oversight of Resilience Plan</w:t>
      </w:r>
      <w:r w:rsidR="005E75EE">
        <w:rPr>
          <w:rFonts w:cstheme="minorHAnsi"/>
        </w:rPr>
        <w:t>ning</w:t>
      </w:r>
      <w:r w:rsidRPr="000920AA">
        <w:rPr>
          <w:rFonts w:cstheme="minorHAnsi"/>
        </w:rPr>
        <w:t xml:space="preserve"> to ensure </w:t>
      </w:r>
      <w:r w:rsidR="00D70E33">
        <w:rPr>
          <w:rFonts w:cstheme="minorHAnsi"/>
        </w:rPr>
        <w:t>it</w:t>
      </w:r>
      <w:r w:rsidRPr="000920AA">
        <w:rPr>
          <w:rFonts w:cstheme="minorHAnsi"/>
        </w:rPr>
        <w:t xml:space="preserve"> remain</w:t>
      </w:r>
      <w:r w:rsidR="006D3941">
        <w:rPr>
          <w:rFonts w:cstheme="minorHAnsi"/>
        </w:rPr>
        <w:t>s</w:t>
      </w:r>
      <w:r w:rsidRPr="000920AA">
        <w:rPr>
          <w:rFonts w:cstheme="minorHAnsi"/>
        </w:rPr>
        <w:t xml:space="preserve"> fit for purpose, recommending improvements where necessary.</w:t>
      </w:r>
    </w:p>
    <w:p w14:paraId="223411CD" w14:textId="2A2D0534" w:rsidR="000920AA" w:rsidRDefault="000920AA" w:rsidP="000920AA">
      <w:pPr>
        <w:keepNext/>
        <w:keepLines/>
        <w:numPr>
          <w:ilvl w:val="1"/>
          <w:numId w:val="1"/>
        </w:numPr>
        <w:spacing w:before="240" w:line="259" w:lineRule="auto"/>
        <w:ind w:left="720"/>
        <w:jc w:val="left"/>
        <w:outlineLvl w:val="0"/>
        <w:rPr>
          <w:rFonts w:asciiTheme="majorHAnsi" w:eastAsiaTheme="majorEastAsia" w:hAnsiTheme="majorHAnsi" w:cstheme="majorBidi"/>
          <w:color w:val="243F60" w:themeColor="accent1" w:themeShade="7F"/>
          <w:sz w:val="24"/>
          <w:szCs w:val="24"/>
        </w:rPr>
      </w:pPr>
      <w:bookmarkStart w:id="27" w:name="_Toc210312710"/>
      <w:r>
        <w:rPr>
          <w:rFonts w:asciiTheme="majorHAnsi" w:eastAsiaTheme="majorEastAsia" w:hAnsiTheme="majorHAnsi" w:cstheme="majorBidi"/>
          <w:color w:val="243F60" w:themeColor="accent1" w:themeShade="7F"/>
          <w:sz w:val="24"/>
          <w:szCs w:val="24"/>
        </w:rPr>
        <w:t xml:space="preserve">Local Business </w:t>
      </w:r>
      <w:r w:rsidR="00D34C66">
        <w:rPr>
          <w:rFonts w:asciiTheme="majorHAnsi" w:eastAsiaTheme="majorEastAsia" w:hAnsiTheme="majorHAnsi" w:cstheme="majorBidi"/>
          <w:color w:val="243F60" w:themeColor="accent1" w:themeShade="7F"/>
          <w:sz w:val="24"/>
          <w:szCs w:val="24"/>
        </w:rPr>
        <w:t xml:space="preserve">Continuity </w:t>
      </w:r>
      <w:r>
        <w:rPr>
          <w:rFonts w:asciiTheme="majorHAnsi" w:eastAsiaTheme="majorEastAsia" w:hAnsiTheme="majorHAnsi" w:cstheme="majorBidi"/>
          <w:color w:val="243F60" w:themeColor="accent1" w:themeShade="7F"/>
          <w:sz w:val="24"/>
          <w:szCs w:val="24"/>
        </w:rPr>
        <w:t>Coordinators</w:t>
      </w:r>
      <w:bookmarkEnd w:id="27"/>
    </w:p>
    <w:p w14:paraId="218097B0" w14:textId="72BD3D77" w:rsidR="003D0A29" w:rsidRDefault="000920AA" w:rsidP="000920AA">
      <w:pPr>
        <w:ind w:left="0" w:firstLine="0"/>
      </w:pPr>
      <w:r>
        <w:t>E</w:t>
      </w:r>
      <w:r w:rsidRPr="000920AA">
        <w:t xml:space="preserve">ach School and Professional Service that holds a business continuity plan </w:t>
      </w:r>
      <w:r w:rsidR="003D0A29">
        <w:t>should</w:t>
      </w:r>
      <w:r w:rsidRPr="000920AA">
        <w:t xml:space="preserve"> appoint a member of staff to the role of local business continuity coordinator to provide support and guidance on business continuity planning at a local level. </w:t>
      </w:r>
      <w:r w:rsidR="003D0A29">
        <w:t xml:space="preserve">Where there are exceptions, through administrative or other circumstance, this should be discussed with the Business Continuity Advisor. </w:t>
      </w:r>
    </w:p>
    <w:p w14:paraId="06128324" w14:textId="1F49C57C" w:rsidR="000920AA" w:rsidRDefault="000920AA" w:rsidP="000920AA">
      <w:pPr>
        <w:ind w:left="0" w:firstLine="0"/>
      </w:pPr>
      <w:r w:rsidRPr="000920AA">
        <w:t xml:space="preserve">Local business continuity coordinators will be responsible for developing and maintaining local business continuity Plans and </w:t>
      </w:r>
      <w:r w:rsidR="00475AFB">
        <w:t xml:space="preserve">supporting </w:t>
      </w:r>
      <w:r w:rsidR="00C468CF">
        <w:t>documentation and</w:t>
      </w:r>
      <w:r w:rsidR="00475AFB">
        <w:t xml:space="preserve"> </w:t>
      </w:r>
      <w:r w:rsidRPr="000920AA">
        <w:t>will be supported by the</w:t>
      </w:r>
      <w:r w:rsidR="00490791">
        <w:t xml:space="preserve"> Resilience Team. </w:t>
      </w:r>
    </w:p>
    <w:p w14:paraId="2AA44ADB" w14:textId="77777777" w:rsidR="00AC7DAB" w:rsidRDefault="00AC7DAB" w:rsidP="000920AA">
      <w:pPr>
        <w:ind w:left="0" w:firstLine="0"/>
      </w:pPr>
    </w:p>
    <w:p w14:paraId="0CC0E30E" w14:textId="77777777" w:rsidR="00765479" w:rsidRDefault="00765479" w:rsidP="000920AA">
      <w:pPr>
        <w:ind w:left="0" w:firstLine="0"/>
      </w:pPr>
    </w:p>
    <w:p w14:paraId="70E95911" w14:textId="77777777" w:rsidR="00B83751" w:rsidRDefault="00B83751" w:rsidP="000920AA">
      <w:pPr>
        <w:ind w:left="0" w:firstLine="0"/>
      </w:pPr>
    </w:p>
    <w:p w14:paraId="0FBAC2ED" w14:textId="77777777" w:rsidR="00B83751" w:rsidRDefault="00B83751" w:rsidP="000920AA">
      <w:pPr>
        <w:ind w:left="0" w:firstLine="0"/>
      </w:pPr>
    </w:p>
    <w:p w14:paraId="487AB100" w14:textId="77777777" w:rsidR="00B83751" w:rsidRDefault="00B83751" w:rsidP="000920AA">
      <w:pPr>
        <w:ind w:left="0" w:firstLine="0"/>
      </w:pPr>
    </w:p>
    <w:p w14:paraId="5D4DC6A9" w14:textId="77777777" w:rsidR="00B83751" w:rsidRDefault="00B83751" w:rsidP="000920AA">
      <w:pPr>
        <w:ind w:left="0" w:firstLine="0"/>
      </w:pPr>
    </w:p>
    <w:p w14:paraId="7B08A386" w14:textId="77777777" w:rsidR="00B83751" w:rsidRDefault="00B83751" w:rsidP="000920AA">
      <w:pPr>
        <w:ind w:left="0" w:firstLine="0"/>
      </w:pPr>
    </w:p>
    <w:p w14:paraId="02A90A8A" w14:textId="77777777" w:rsidR="00B83751" w:rsidRDefault="00B83751" w:rsidP="000920AA">
      <w:pPr>
        <w:ind w:left="0" w:firstLine="0"/>
      </w:pPr>
    </w:p>
    <w:p w14:paraId="3F5D2BF2" w14:textId="77777777" w:rsidR="00B83751" w:rsidRDefault="00B83751" w:rsidP="000920AA">
      <w:pPr>
        <w:ind w:left="0" w:firstLine="0"/>
      </w:pPr>
    </w:p>
    <w:p w14:paraId="0C745E3A" w14:textId="77777777" w:rsidR="00B83751" w:rsidRDefault="00B83751" w:rsidP="000920AA">
      <w:pPr>
        <w:ind w:left="0" w:firstLine="0"/>
      </w:pPr>
    </w:p>
    <w:p w14:paraId="57A61B4E" w14:textId="10EA8509" w:rsidR="00FA5882" w:rsidRDefault="00FA5882"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28" w:name="_Toc210312711"/>
      <w:r>
        <w:rPr>
          <w:rFonts w:eastAsia="Times New Roman" w:cstheme="minorHAnsi"/>
          <w:color w:val="2F5496"/>
          <w:sz w:val="32"/>
          <w:szCs w:val="32"/>
        </w:rPr>
        <w:lastRenderedPageBreak/>
        <w:t>References</w:t>
      </w:r>
      <w:bookmarkEnd w:id="28"/>
    </w:p>
    <w:bookmarkEnd w:id="24"/>
    <w:p w14:paraId="1A725C06" w14:textId="77777777" w:rsidR="00FA5882" w:rsidRDefault="00FA5882" w:rsidP="00FA5882">
      <w:pPr>
        <w:pStyle w:val="NoSpacing"/>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FA5882" w:rsidRPr="009F50EC" w14:paraId="497F092F" w14:textId="77777777" w:rsidTr="45379828">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3041201B" w14:textId="77777777" w:rsidR="00FA5882" w:rsidRPr="009F50EC" w:rsidRDefault="00FA5882">
            <w:pPr>
              <w:spacing w:before="100" w:beforeAutospacing="1" w:after="100" w:afterAutospacing="1"/>
              <w:ind w:left="120" w:firstLine="0"/>
              <w:jc w:val="left"/>
              <w:textAlignment w:val="baseline"/>
              <w:rPr>
                <w:rFonts w:ascii="Times New Roman" w:eastAsia="Times New Roman" w:hAnsi="Times New Roman" w:cs="Times New Roman"/>
                <w:sz w:val="24"/>
                <w:szCs w:val="24"/>
                <w:lang w:eastAsia="en-GB"/>
              </w:rPr>
            </w:pPr>
            <w:bookmarkStart w:id="29" w:name="_Hlk113360863"/>
            <w:r w:rsidRPr="009F50EC">
              <w:rPr>
                <w:rFonts w:ascii="Calibri" w:eastAsia="Times New Roman" w:hAnsi="Calibri" w:cs="Calibri"/>
                <w:lang w:eastAsia="en-GB"/>
              </w:rPr>
              <w:t>Document Number </w:t>
            </w:r>
          </w:p>
        </w:tc>
        <w:tc>
          <w:tcPr>
            <w:tcW w:w="632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4D79820D" w14:textId="77777777" w:rsidR="00FA5882" w:rsidRPr="009F50EC" w:rsidRDefault="00FA5882" w:rsidP="00FA5882">
            <w:pPr>
              <w:spacing w:before="100" w:beforeAutospacing="1" w:after="100" w:afterAutospacing="1"/>
              <w:ind w:left="13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Name </w:t>
            </w:r>
          </w:p>
        </w:tc>
      </w:tr>
      <w:tr w:rsidR="00FA5882" w:rsidRPr="009F50EC" w14:paraId="1EE7D383" w14:textId="77777777" w:rsidTr="45379828">
        <w:trPr>
          <w:trHeight w:val="345"/>
        </w:trPr>
        <w:tc>
          <w:tcPr>
            <w:tcW w:w="2685" w:type="dxa"/>
            <w:tcBorders>
              <w:top w:val="single" w:sz="6" w:space="0" w:color="auto"/>
              <w:left w:val="single" w:sz="6" w:space="0" w:color="auto"/>
              <w:bottom w:val="single" w:sz="6" w:space="0" w:color="auto"/>
              <w:right w:val="single" w:sz="6" w:space="0" w:color="auto"/>
            </w:tcBorders>
            <w:vAlign w:val="center"/>
            <w:hideMark/>
          </w:tcPr>
          <w:p w14:paraId="29902F76" w14:textId="77777777" w:rsidR="00FA5882" w:rsidRPr="009F50EC" w:rsidRDefault="00FA5882" w:rsidP="00FA5882">
            <w:pPr>
              <w:spacing w:before="100" w:beforeAutospacing="1" w:after="100" w:afterAutospacing="1"/>
              <w:ind w:left="120" w:right="-162"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p>
        </w:tc>
        <w:tc>
          <w:tcPr>
            <w:tcW w:w="6325" w:type="dxa"/>
            <w:tcBorders>
              <w:top w:val="single" w:sz="6" w:space="0" w:color="auto"/>
              <w:left w:val="single" w:sz="6" w:space="0" w:color="auto"/>
              <w:bottom w:val="single" w:sz="6" w:space="0" w:color="auto"/>
              <w:right w:val="single" w:sz="6" w:space="0" w:color="auto"/>
            </w:tcBorders>
            <w:vAlign w:val="center"/>
            <w:hideMark/>
          </w:tcPr>
          <w:p w14:paraId="1B797E1D" w14:textId="30164C87" w:rsidR="00FA5882" w:rsidRPr="00F016A7" w:rsidRDefault="00F016A7" w:rsidP="45379828">
            <w:pPr>
              <w:tabs>
                <w:tab w:val="left" w:pos="6461"/>
              </w:tabs>
              <w:autoSpaceDE w:val="0"/>
              <w:autoSpaceDN w:val="0"/>
              <w:adjustRightInd w:val="0"/>
              <w:spacing w:before="0"/>
              <w:ind w:left="0" w:firstLine="0"/>
              <w:jc w:val="left"/>
              <w:rPr>
                <w:rFonts w:ascii="Arial" w:eastAsiaTheme="minorEastAsia" w:hAnsi="Arial" w:cs="Arial"/>
                <w:sz w:val="20"/>
                <w:szCs w:val="20"/>
                <w:lang w:eastAsia="en-GB"/>
              </w:rPr>
            </w:pPr>
            <w:hyperlink r:id="rId11">
              <w:r w:rsidRPr="45379828">
                <w:rPr>
                  <w:rFonts w:ascii="Arial" w:eastAsiaTheme="minorEastAsia" w:hAnsi="Arial" w:cs="Arial"/>
                  <w:color w:val="0000FF"/>
                  <w:sz w:val="20"/>
                  <w:szCs w:val="20"/>
                  <w:u w:val="single"/>
                  <w:lang w:eastAsia="en-GB"/>
                </w:rPr>
                <w:t>University Resilience Plan</w:t>
              </w:r>
            </w:hyperlink>
          </w:p>
        </w:tc>
      </w:tr>
      <w:tr w:rsidR="00FA5882" w:rsidRPr="009F50EC" w14:paraId="0B35F1B8" w14:textId="77777777" w:rsidTr="45379828">
        <w:trPr>
          <w:trHeight w:val="360"/>
        </w:trPr>
        <w:tc>
          <w:tcPr>
            <w:tcW w:w="2685" w:type="dxa"/>
            <w:tcBorders>
              <w:top w:val="single" w:sz="6" w:space="0" w:color="auto"/>
              <w:left w:val="single" w:sz="6" w:space="0" w:color="auto"/>
              <w:bottom w:val="single" w:sz="6" w:space="0" w:color="auto"/>
              <w:right w:val="single" w:sz="6" w:space="0" w:color="auto"/>
            </w:tcBorders>
            <w:vAlign w:val="center"/>
            <w:hideMark/>
          </w:tcPr>
          <w:p w14:paraId="3EAA0C2D" w14:textId="77777777" w:rsidR="00FA5882" w:rsidRPr="009F50EC" w:rsidRDefault="00FA5882" w:rsidP="00FA5882">
            <w:pPr>
              <w:spacing w:before="100" w:beforeAutospacing="1" w:after="100" w:afterAutospacing="1"/>
              <w:ind w:left="120" w:right="-162"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p>
        </w:tc>
        <w:tc>
          <w:tcPr>
            <w:tcW w:w="6325" w:type="dxa"/>
            <w:tcBorders>
              <w:top w:val="single" w:sz="6" w:space="0" w:color="auto"/>
              <w:left w:val="single" w:sz="6" w:space="0" w:color="auto"/>
              <w:bottom w:val="single" w:sz="6" w:space="0" w:color="auto"/>
              <w:right w:val="single" w:sz="6" w:space="0" w:color="auto"/>
            </w:tcBorders>
            <w:vAlign w:val="center"/>
            <w:hideMark/>
          </w:tcPr>
          <w:p w14:paraId="1CA1EE0C" w14:textId="37CFB1D9" w:rsidR="00FA5882" w:rsidRPr="00F016A7" w:rsidRDefault="00F016A7" w:rsidP="00F016A7">
            <w:pPr>
              <w:tabs>
                <w:tab w:val="left" w:pos="6461"/>
              </w:tabs>
              <w:autoSpaceDE w:val="0"/>
              <w:autoSpaceDN w:val="0"/>
              <w:adjustRightInd w:val="0"/>
              <w:spacing w:before="0"/>
              <w:ind w:left="0" w:firstLine="0"/>
              <w:jc w:val="left"/>
              <w:rPr>
                <w:rFonts w:ascii="Arial" w:eastAsiaTheme="minorEastAsia" w:hAnsi="Arial" w:cs="Arial"/>
                <w:sz w:val="20"/>
                <w:szCs w:val="20"/>
                <w:lang w:eastAsia="en-GB"/>
              </w:rPr>
            </w:pPr>
            <w:hyperlink r:id="rId12">
              <w:r w:rsidRPr="00F016A7">
                <w:rPr>
                  <w:rFonts w:ascii="Arial" w:eastAsiaTheme="minorEastAsia" w:hAnsi="Arial" w:cs="Arial"/>
                  <w:color w:val="0000FF"/>
                  <w:sz w:val="20"/>
                  <w:szCs w:val="20"/>
                  <w:u w:val="single"/>
                  <w:lang w:eastAsia="en-GB"/>
                </w:rPr>
                <w:t>Out of Hours Emergency Contacts List</w:t>
              </w:r>
            </w:hyperlink>
          </w:p>
        </w:tc>
      </w:tr>
      <w:tr w:rsidR="00F016A7" w:rsidRPr="009F50EC" w14:paraId="39EC2BFF" w14:textId="77777777" w:rsidTr="45379828">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649D1321" w14:textId="77777777" w:rsidR="00F016A7" w:rsidRPr="009F50EC" w:rsidRDefault="00F016A7" w:rsidP="00FA5882">
            <w:pPr>
              <w:spacing w:before="100" w:beforeAutospacing="1" w:after="100" w:afterAutospacing="1"/>
              <w:ind w:left="120" w:right="-162" w:firstLine="0"/>
              <w:jc w:val="left"/>
              <w:textAlignment w:val="baseline"/>
              <w:rPr>
                <w:rFonts w:ascii="Calibri" w:eastAsia="Times New Roman" w:hAnsi="Calibri" w:cs="Calibri"/>
                <w:lang w:eastAsia="en-GB"/>
              </w:rPr>
            </w:pPr>
          </w:p>
        </w:tc>
        <w:tc>
          <w:tcPr>
            <w:tcW w:w="6325" w:type="dxa"/>
            <w:tcBorders>
              <w:top w:val="single" w:sz="6" w:space="0" w:color="auto"/>
              <w:left w:val="single" w:sz="6" w:space="0" w:color="auto"/>
              <w:bottom w:val="single" w:sz="6" w:space="0" w:color="auto"/>
              <w:right w:val="single" w:sz="6" w:space="0" w:color="auto"/>
            </w:tcBorders>
            <w:vAlign w:val="center"/>
          </w:tcPr>
          <w:p w14:paraId="78F3BED0" w14:textId="6A2D15A3" w:rsidR="00F016A7" w:rsidRPr="00F016A7" w:rsidRDefault="00F016A7" w:rsidP="00F016A7">
            <w:pPr>
              <w:tabs>
                <w:tab w:val="left" w:pos="6461"/>
              </w:tabs>
              <w:autoSpaceDE w:val="0"/>
              <w:autoSpaceDN w:val="0"/>
              <w:adjustRightInd w:val="0"/>
              <w:spacing w:before="0" w:after="200" w:line="276" w:lineRule="auto"/>
              <w:ind w:left="0" w:firstLine="0"/>
              <w:contextualSpacing/>
              <w:jc w:val="left"/>
              <w:rPr>
                <w:rFonts w:ascii="Arial" w:eastAsiaTheme="minorEastAsia" w:hAnsi="Arial" w:cs="Arial"/>
                <w:sz w:val="20"/>
                <w:szCs w:val="20"/>
                <w:lang w:eastAsia="en-GB"/>
              </w:rPr>
            </w:pPr>
            <w:hyperlink r:id="rId13">
              <w:r w:rsidRPr="00F016A7">
                <w:rPr>
                  <w:rFonts w:ascii="Arial" w:eastAsiaTheme="minorEastAsia" w:hAnsi="Arial" w:cs="Arial"/>
                  <w:color w:val="0000FF"/>
                  <w:sz w:val="20"/>
                  <w:szCs w:val="20"/>
                  <w:u w:val="single"/>
                  <w:lang w:eastAsia="en-GB"/>
                </w:rPr>
                <w:t>RAG Terms of Reference</w:t>
              </w:r>
            </w:hyperlink>
          </w:p>
        </w:tc>
      </w:tr>
      <w:bookmarkEnd w:id="29"/>
    </w:tbl>
    <w:p w14:paraId="46F7F8EA" w14:textId="77777777" w:rsidR="001E2A0B" w:rsidRDefault="001E2A0B" w:rsidP="00C006CC">
      <w:pPr>
        <w:autoSpaceDE w:val="0"/>
        <w:autoSpaceDN w:val="0"/>
        <w:adjustRightInd w:val="0"/>
        <w:spacing w:before="0"/>
        <w:ind w:left="0" w:firstLine="0"/>
        <w:jc w:val="left"/>
      </w:pPr>
    </w:p>
    <w:p w14:paraId="491D83E5" w14:textId="77777777" w:rsidR="00F016A7" w:rsidRDefault="00F016A7" w:rsidP="00C006CC">
      <w:pPr>
        <w:autoSpaceDE w:val="0"/>
        <w:autoSpaceDN w:val="0"/>
        <w:adjustRightInd w:val="0"/>
        <w:spacing w:before="0"/>
        <w:ind w:left="0" w:firstLine="0"/>
        <w:jc w:val="left"/>
      </w:pPr>
    </w:p>
    <w:p w14:paraId="4BB12CF9" w14:textId="1E7C7B66" w:rsidR="00AD70B0" w:rsidRDefault="00765479" w:rsidP="00C006CC">
      <w:pPr>
        <w:autoSpaceDE w:val="0"/>
        <w:autoSpaceDN w:val="0"/>
        <w:adjustRightInd w:val="0"/>
        <w:spacing w:before="0"/>
        <w:ind w:left="0" w:firstLine="0"/>
        <w:jc w:val="left"/>
        <w:rPr>
          <w:rFonts w:eastAsia="Times New Roman" w:cstheme="minorHAnsi"/>
          <w:color w:val="2F5496"/>
          <w:sz w:val="32"/>
          <w:szCs w:val="32"/>
        </w:rPr>
      </w:pPr>
      <w:r>
        <w:rPr>
          <w:rFonts w:eastAsia="Times New Roman" w:cstheme="minorHAnsi"/>
          <w:color w:val="2F5496"/>
          <w:sz w:val="32"/>
          <w:szCs w:val="32"/>
        </w:rPr>
        <w:t>9</w:t>
      </w:r>
      <w:r w:rsidR="00AD70B0">
        <w:rPr>
          <w:rFonts w:eastAsia="Times New Roman" w:cstheme="minorHAnsi"/>
          <w:color w:val="2F5496"/>
          <w:sz w:val="32"/>
          <w:szCs w:val="32"/>
        </w:rPr>
        <w:t>.0</w:t>
      </w:r>
      <w:r w:rsidR="00AD70B0">
        <w:rPr>
          <w:rFonts w:eastAsia="Times New Roman" w:cstheme="minorHAnsi"/>
          <w:color w:val="2F5496"/>
          <w:sz w:val="32"/>
          <w:szCs w:val="32"/>
        </w:rPr>
        <w:tab/>
      </w:r>
      <w:r w:rsidR="00F016A7">
        <w:rPr>
          <w:rFonts w:eastAsia="Times New Roman" w:cstheme="minorHAnsi"/>
          <w:color w:val="2F5496"/>
          <w:sz w:val="32"/>
          <w:szCs w:val="32"/>
        </w:rPr>
        <w:t>Further Information</w:t>
      </w:r>
    </w:p>
    <w:p w14:paraId="683449C8" w14:textId="77777777" w:rsidR="00AD70B0" w:rsidRDefault="00AD70B0" w:rsidP="00C006CC">
      <w:pPr>
        <w:autoSpaceDE w:val="0"/>
        <w:autoSpaceDN w:val="0"/>
        <w:adjustRightInd w:val="0"/>
        <w:spacing w:before="0"/>
        <w:ind w:left="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830"/>
        <w:gridCol w:w="5812"/>
      </w:tblGrid>
      <w:tr w:rsidR="00AD70B0" w:rsidRPr="00AD70B0" w14:paraId="25F78D57" w14:textId="77777777" w:rsidTr="00AD70B0">
        <w:trPr>
          <w:tblHeader/>
        </w:trPr>
        <w:tc>
          <w:tcPr>
            <w:tcW w:w="2830" w:type="dxa"/>
            <w:shd w:val="clear" w:color="auto" w:fill="CECFCB"/>
            <w:vAlign w:val="center"/>
          </w:tcPr>
          <w:p w14:paraId="00C8013A" w14:textId="3BBCDBD7" w:rsidR="00AD70B0" w:rsidRPr="00AD70B0" w:rsidRDefault="00AD70B0" w:rsidP="00AD70B0">
            <w:pPr>
              <w:pStyle w:val="NoSpacing"/>
              <w:ind w:left="589"/>
              <w:jc w:val="left"/>
              <w:rPr>
                <w:b/>
              </w:rPr>
            </w:pPr>
            <w:r w:rsidRPr="00AD70B0">
              <w:t>Title</w:t>
            </w:r>
          </w:p>
        </w:tc>
        <w:tc>
          <w:tcPr>
            <w:tcW w:w="5812" w:type="dxa"/>
            <w:vAlign w:val="center"/>
          </w:tcPr>
          <w:p w14:paraId="13E3D1E2" w14:textId="21EB43F5" w:rsidR="00AD70B0" w:rsidRPr="00AD70B0" w:rsidRDefault="00F016A7" w:rsidP="00AD70B0">
            <w:pPr>
              <w:pStyle w:val="NoSpacing"/>
              <w:ind w:left="30" w:firstLine="0"/>
              <w:jc w:val="left"/>
            </w:pPr>
            <w:r>
              <w:t>Resilience Policy</w:t>
            </w:r>
          </w:p>
        </w:tc>
      </w:tr>
      <w:tr w:rsidR="00AD70B0" w:rsidRPr="00AD70B0" w14:paraId="03D80459" w14:textId="77777777" w:rsidTr="00AD70B0">
        <w:trPr>
          <w:trHeight w:val="217"/>
          <w:tblHeader/>
        </w:trPr>
        <w:tc>
          <w:tcPr>
            <w:tcW w:w="2830" w:type="dxa"/>
            <w:shd w:val="clear" w:color="auto" w:fill="CECFCB"/>
            <w:vAlign w:val="center"/>
          </w:tcPr>
          <w:p w14:paraId="0FEEEBB0" w14:textId="1E8031B3" w:rsidR="00AD70B0" w:rsidRPr="00AD70B0" w:rsidRDefault="00AD70B0" w:rsidP="00AD70B0">
            <w:pPr>
              <w:pStyle w:val="NoSpacing"/>
              <w:ind w:left="589"/>
              <w:jc w:val="left"/>
              <w:rPr>
                <w:b/>
              </w:rPr>
            </w:pPr>
            <w:r w:rsidRPr="00AD70B0">
              <w:t>Author</w:t>
            </w:r>
          </w:p>
        </w:tc>
        <w:tc>
          <w:tcPr>
            <w:tcW w:w="5812" w:type="dxa"/>
            <w:vAlign w:val="center"/>
          </w:tcPr>
          <w:p w14:paraId="5BD48AA7" w14:textId="77777777" w:rsidR="00AD70B0" w:rsidRPr="00AD70B0" w:rsidRDefault="00AD70B0" w:rsidP="00AD70B0">
            <w:pPr>
              <w:pStyle w:val="NoSpacing"/>
              <w:ind w:left="30" w:firstLine="0"/>
              <w:jc w:val="left"/>
            </w:pPr>
            <w:r w:rsidRPr="00AD70B0">
              <w:t>Health, Safety &amp; Resilience Team</w:t>
            </w:r>
          </w:p>
        </w:tc>
      </w:tr>
      <w:tr w:rsidR="00AD70B0" w:rsidRPr="00AD70B0" w14:paraId="4EAF1D45" w14:textId="77777777" w:rsidTr="00AD70B0">
        <w:trPr>
          <w:tblHeader/>
        </w:trPr>
        <w:tc>
          <w:tcPr>
            <w:tcW w:w="2830" w:type="dxa"/>
            <w:shd w:val="clear" w:color="auto" w:fill="CECFCB"/>
            <w:vAlign w:val="center"/>
          </w:tcPr>
          <w:p w14:paraId="4B023154" w14:textId="7192C41B" w:rsidR="00AD70B0" w:rsidRPr="00AD70B0" w:rsidRDefault="00AD70B0" w:rsidP="00AD70B0">
            <w:pPr>
              <w:pStyle w:val="NoSpacing"/>
              <w:ind w:left="589"/>
              <w:jc w:val="left"/>
              <w:rPr>
                <w:b/>
              </w:rPr>
            </w:pPr>
            <w:r w:rsidRPr="00AD70B0">
              <w:t>Owner</w:t>
            </w:r>
          </w:p>
        </w:tc>
        <w:tc>
          <w:tcPr>
            <w:tcW w:w="5812" w:type="dxa"/>
            <w:vAlign w:val="center"/>
          </w:tcPr>
          <w:p w14:paraId="2E2B502A" w14:textId="77777777" w:rsidR="00AD70B0" w:rsidRPr="00AD70B0" w:rsidRDefault="00AD70B0" w:rsidP="00AD70B0">
            <w:pPr>
              <w:pStyle w:val="NoSpacing"/>
              <w:ind w:left="30" w:firstLine="0"/>
              <w:jc w:val="left"/>
            </w:pPr>
            <w:r w:rsidRPr="00AD70B0">
              <w:t xml:space="preserve">Head of Health, Safety &amp; Resilience </w:t>
            </w:r>
          </w:p>
        </w:tc>
      </w:tr>
      <w:tr w:rsidR="00AD70B0" w:rsidRPr="00AD70B0" w14:paraId="17E42C9D" w14:textId="77777777" w:rsidTr="00AD70B0">
        <w:trPr>
          <w:trHeight w:val="232"/>
          <w:tblHeader/>
        </w:trPr>
        <w:tc>
          <w:tcPr>
            <w:tcW w:w="2830" w:type="dxa"/>
            <w:shd w:val="clear" w:color="auto" w:fill="CECFCB"/>
            <w:vAlign w:val="center"/>
          </w:tcPr>
          <w:p w14:paraId="2F02BAE1" w14:textId="77777777" w:rsidR="00AD70B0" w:rsidRPr="00AD70B0" w:rsidRDefault="00AD70B0" w:rsidP="00AD70B0">
            <w:pPr>
              <w:pStyle w:val="NoSpacing"/>
              <w:ind w:left="589"/>
              <w:jc w:val="left"/>
            </w:pPr>
            <w:r w:rsidRPr="00AD70B0">
              <w:t>Date published / approved</w:t>
            </w:r>
          </w:p>
        </w:tc>
        <w:tc>
          <w:tcPr>
            <w:tcW w:w="5812" w:type="dxa"/>
            <w:vAlign w:val="center"/>
          </w:tcPr>
          <w:p w14:paraId="16C82946" w14:textId="28762A8D" w:rsidR="00AD70B0" w:rsidRPr="00AD70B0" w:rsidRDefault="00274C9A" w:rsidP="00AD70B0">
            <w:pPr>
              <w:pStyle w:val="NoSpacing"/>
              <w:ind w:left="30" w:firstLine="0"/>
              <w:jc w:val="left"/>
            </w:pPr>
            <w:r>
              <w:t>15/01/2026</w:t>
            </w:r>
          </w:p>
        </w:tc>
      </w:tr>
      <w:tr w:rsidR="00AD70B0" w:rsidRPr="00AD70B0" w14:paraId="2FB971E9" w14:textId="77777777" w:rsidTr="00AD70B0">
        <w:trPr>
          <w:tblHeader/>
        </w:trPr>
        <w:tc>
          <w:tcPr>
            <w:tcW w:w="2830" w:type="dxa"/>
            <w:shd w:val="clear" w:color="auto" w:fill="CECFCB"/>
            <w:vAlign w:val="center"/>
          </w:tcPr>
          <w:p w14:paraId="61855CE6" w14:textId="7FD5AA03" w:rsidR="00AD70B0" w:rsidRPr="00AD70B0" w:rsidRDefault="00AD70B0" w:rsidP="00AD70B0">
            <w:pPr>
              <w:pStyle w:val="NoSpacing"/>
              <w:ind w:left="589"/>
              <w:jc w:val="left"/>
            </w:pPr>
            <w:r w:rsidRPr="00AD70B0">
              <w:t>Version</w:t>
            </w:r>
          </w:p>
        </w:tc>
        <w:tc>
          <w:tcPr>
            <w:tcW w:w="5812" w:type="dxa"/>
            <w:vAlign w:val="center"/>
          </w:tcPr>
          <w:p w14:paraId="5449D692" w14:textId="5ACDA3BB" w:rsidR="00AD70B0" w:rsidRPr="00AD70B0" w:rsidRDefault="004A2F83" w:rsidP="00AD70B0">
            <w:pPr>
              <w:pStyle w:val="NoSpacing"/>
              <w:ind w:left="30" w:firstLine="0"/>
              <w:jc w:val="left"/>
            </w:pPr>
            <w:r>
              <w:t>V1.0</w:t>
            </w:r>
          </w:p>
        </w:tc>
      </w:tr>
      <w:tr w:rsidR="00AD70B0" w:rsidRPr="00AD70B0" w14:paraId="72944812" w14:textId="77777777" w:rsidTr="00AD70B0">
        <w:trPr>
          <w:tblHeader/>
        </w:trPr>
        <w:tc>
          <w:tcPr>
            <w:tcW w:w="2830" w:type="dxa"/>
            <w:shd w:val="clear" w:color="auto" w:fill="CECFCB"/>
            <w:vAlign w:val="center"/>
          </w:tcPr>
          <w:p w14:paraId="41FD1AB4" w14:textId="0D5D7563" w:rsidR="00AD70B0" w:rsidRPr="00AD70B0" w:rsidRDefault="00AD70B0" w:rsidP="00AD70B0">
            <w:pPr>
              <w:pStyle w:val="NoSpacing"/>
              <w:ind w:left="589"/>
              <w:jc w:val="left"/>
              <w:rPr>
                <w:b/>
              </w:rPr>
            </w:pPr>
            <w:r w:rsidRPr="00AD70B0">
              <w:t>Date for Next Review</w:t>
            </w:r>
          </w:p>
        </w:tc>
        <w:tc>
          <w:tcPr>
            <w:tcW w:w="5812" w:type="dxa"/>
            <w:vAlign w:val="center"/>
          </w:tcPr>
          <w:p w14:paraId="25F63D24" w14:textId="034C9106" w:rsidR="00AD70B0" w:rsidRPr="00AD70B0" w:rsidRDefault="00274C9A" w:rsidP="00AD70B0">
            <w:pPr>
              <w:pStyle w:val="NoSpacing"/>
              <w:ind w:left="30" w:firstLine="0"/>
              <w:jc w:val="left"/>
            </w:pPr>
            <w:r>
              <w:t>January 2027</w:t>
            </w:r>
          </w:p>
        </w:tc>
      </w:tr>
      <w:tr w:rsidR="00AD70B0" w:rsidRPr="00AD70B0" w14:paraId="354594E3" w14:textId="77777777" w:rsidTr="00AD70B0">
        <w:trPr>
          <w:tblHeader/>
        </w:trPr>
        <w:tc>
          <w:tcPr>
            <w:tcW w:w="2830" w:type="dxa"/>
            <w:shd w:val="clear" w:color="auto" w:fill="CECFCB"/>
            <w:vAlign w:val="center"/>
          </w:tcPr>
          <w:p w14:paraId="3D9DCB02" w14:textId="77777777" w:rsidR="00AD70B0" w:rsidRPr="00AD70B0" w:rsidRDefault="00AD70B0" w:rsidP="00AD70B0">
            <w:pPr>
              <w:pStyle w:val="NoSpacing"/>
              <w:ind w:left="589"/>
              <w:jc w:val="left"/>
            </w:pPr>
            <w:r w:rsidRPr="00AD70B0">
              <w:t>Audience</w:t>
            </w:r>
          </w:p>
        </w:tc>
        <w:tc>
          <w:tcPr>
            <w:tcW w:w="5812" w:type="dxa"/>
            <w:vAlign w:val="center"/>
          </w:tcPr>
          <w:p w14:paraId="6981D7ED" w14:textId="720EBD00" w:rsidR="00AD70B0" w:rsidRPr="00AD70B0" w:rsidRDefault="00F016A7" w:rsidP="00AD70B0">
            <w:pPr>
              <w:pStyle w:val="NoSpacing"/>
              <w:ind w:left="30" w:firstLine="0"/>
              <w:jc w:val="left"/>
              <w:rPr>
                <w:iCs/>
              </w:rPr>
            </w:pPr>
            <w:r>
              <w:rPr>
                <w:iCs/>
              </w:rPr>
              <w:t xml:space="preserve">RAG Members / </w:t>
            </w:r>
            <w:r w:rsidRPr="00F016A7">
              <w:rPr>
                <w:iCs/>
              </w:rPr>
              <w:t>Local Business Coordinators</w:t>
            </w:r>
          </w:p>
        </w:tc>
      </w:tr>
      <w:tr w:rsidR="00AD70B0" w:rsidRPr="00AD70B0" w14:paraId="08A4D962" w14:textId="77777777" w:rsidTr="00AD70B0">
        <w:trPr>
          <w:tblHeader/>
        </w:trPr>
        <w:tc>
          <w:tcPr>
            <w:tcW w:w="2830" w:type="dxa"/>
            <w:shd w:val="clear" w:color="auto" w:fill="CECFCB"/>
            <w:vAlign w:val="center"/>
          </w:tcPr>
          <w:p w14:paraId="0669CF32" w14:textId="77777777" w:rsidR="00AD70B0" w:rsidRPr="00AD70B0" w:rsidRDefault="00AD70B0" w:rsidP="00AD70B0">
            <w:pPr>
              <w:pStyle w:val="NoSpacing"/>
              <w:ind w:left="589"/>
              <w:jc w:val="left"/>
            </w:pPr>
            <w:r w:rsidRPr="00AD70B0">
              <w:t>Equality Impact Assessment</w:t>
            </w:r>
          </w:p>
        </w:tc>
        <w:tc>
          <w:tcPr>
            <w:tcW w:w="5812" w:type="dxa"/>
            <w:vAlign w:val="center"/>
          </w:tcPr>
          <w:p w14:paraId="243E6491" w14:textId="5426256A" w:rsidR="00AD70B0" w:rsidRPr="00AD70B0" w:rsidRDefault="00AD70B0" w:rsidP="00AD70B0">
            <w:pPr>
              <w:pStyle w:val="NoSpacing"/>
              <w:ind w:left="30" w:firstLine="0"/>
              <w:jc w:val="left"/>
            </w:pPr>
            <w:r w:rsidRPr="00AD70B0">
              <w:t>Completed for H&amp;S</w:t>
            </w:r>
            <w:r w:rsidR="00222219">
              <w:t>&amp;R</w:t>
            </w:r>
            <w:r w:rsidRPr="00AD70B0">
              <w:t xml:space="preserve"> Policies</w:t>
            </w:r>
          </w:p>
        </w:tc>
      </w:tr>
      <w:tr w:rsidR="00AD70B0" w:rsidRPr="00AD70B0" w14:paraId="00194DEE" w14:textId="77777777" w:rsidTr="00AD70B0">
        <w:trPr>
          <w:tblHeader/>
        </w:trPr>
        <w:tc>
          <w:tcPr>
            <w:tcW w:w="2830" w:type="dxa"/>
            <w:shd w:val="clear" w:color="auto" w:fill="CECFCB"/>
            <w:vAlign w:val="center"/>
          </w:tcPr>
          <w:p w14:paraId="69E50299" w14:textId="6BDD41E1" w:rsidR="00AD70B0" w:rsidRPr="00AD70B0" w:rsidRDefault="00AD70B0" w:rsidP="00AD70B0">
            <w:pPr>
              <w:pStyle w:val="NoSpacing"/>
              <w:ind w:left="589"/>
              <w:jc w:val="left"/>
              <w:rPr>
                <w:b/>
              </w:rPr>
            </w:pPr>
            <w:r w:rsidRPr="00AD70B0">
              <w:t>Section</w:t>
            </w:r>
          </w:p>
        </w:tc>
        <w:tc>
          <w:tcPr>
            <w:tcW w:w="5812" w:type="dxa"/>
            <w:vAlign w:val="center"/>
          </w:tcPr>
          <w:p w14:paraId="11A19D39" w14:textId="3CF01BEE" w:rsidR="00AD70B0" w:rsidRPr="00AD70B0" w:rsidRDefault="00AD70B0" w:rsidP="00AD70B0">
            <w:pPr>
              <w:pStyle w:val="NoSpacing"/>
              <w:ind w:left="30" w:firstLine="0"/>
              <w:jc w:val="left"/>
            </w:pPr>
            <w:r w:rsidRPr="00AD70B0">
              <w:t>Health</w:t>
            </w:r>
            <w:r>
              <w:t xml:space="preserve"> &amp; Safety</w:t>
            </w:r>
          </w:p>
        </w:tc>
      </w:tr>
      <w:tr w:rsidR="00AD70B0" w:rsidRPr="00AD70B0" w14:paraId="1C9234BE" w14:textId="77777777" w:rsidTr="00AD70B0">
        <w:trPr>
          <w:trHeight w:val="150"/>
          <w:tblHeader/>
        </w:trPr>
        <w:tc>
          <w:tcPr>
            <w:tcW w:w="2830" w:type="dxa"/>
            <w:shd w:val="clear" w:color="auto" w:fill="CECFCB"/>
            <w:vAlign w:val="center"/>
          </w:tcPr>
          <w:p w14:paraId="5F0D5DF0" w14:textId="22354B34" w:rsidR="00AD70B0" w:rsidRPr="00AD70B0" w:rsidRDefault="00AD70B0" w:rsidP="00AD70B0">
            <w:pPr>
              <w:pStyle w:val="NoSpacing"/>
              <w:ind w:left="589"/>
              <w:jc w:val="left"/>
              <w:rPr>
                <w:b/>
              </w:rPr>
            </w:pPr>
            <w:r w:rsidRPr="00AD70B0">
              <w:t>Theme</w:t>
            </w:r>
          </w:p>
        </w:tc>
        <w:tc>
          <w:tcPr>
            <w:tcW w:w="5812" w:type="dxa"/>
            <w:vAlign w:val="center"/>
          </w:tcPr>
          <w:p w14:paraId="1ED99768" w14:textId="147BFCE6" w:rsidR="00AD70B0" w:rsidRPr="00AD70B0" w:rsidRDefault="00AD70B0" w:rsidP="00AD70B0">
            <w:pPr>
              <w:pStyle w:val="NoSpacing"/>
              <w:ind w:left="30" w:firstLine="0"/>
              <w:jc w:val="left"/>
            </w:pPr>
            <w:r w:rsidRPr="00AD70B0">
              <w:t xml:space="preserve">Health </w:t>
            </w:r>
            <w:r>
              <w:t>&amp;</w:t>
            </w:r>
            <w:r w:rsidRPr="00AD70B0">
              <w:t xml:space="preserve"> Safety</w:t>
            </w:r>
          </w:p>
        </w:tc>
      </w:tr>
      <w:tr w:rsidR="00AD70B0" w:rsidRPr="00AD70B0" w14:paraId="61566D7F" w14:textId="77777777" w:rsidTr="00AD70B0">
        <w:trPr>
          <w:trHeight w:val="356"/>
          <w:tblHeader/>
        </w:trPr>
        <w:tc>
          <w:tcPr>
            <w:tcW w:w="2830" w:type="dxa"/>
            <w:shd w:val="clear" w:color="auto" w:fill="CECFCB"/>
            <w:vAlign w:val="center"/>
          </w:tcPr>
          <w:p w14:paraId="2FFE2D33" w14:textId="77777777" w:rsidR="00AD70B0" w:rsidRPr="00AD70B0" w:rsidRDefault="00AD70B0" w:rsidP="00AD70B0">
            <w:pPr>
              <w:pStyle w:val="NoSpacing"/>
              <w:ind w:left="589"/>
              <w:jc w:val="left"/>
            </w:pPr>
            <w:r w:rsidRPr="00AD70B0">
              <w:t>Keywords</w:t>
            </w:r>
          </w:p>
        </w:tc>
        <w:tc>
          <w:tcPr>
            <w:tcW w:w="5812" w:type="dxa"/>
            <w:vAlign w:val="center"/>
          </w:tcPr>
          <w:p w14:paraId="4518BEA4" w14:textId="4ADFFAA7" w:rsidR="00AD70B0" w:rsidRPr="00AD70B0" w:rsidRDefault="00F016A7" w:rsidP="00AD70B0">
            <w:pPr>
              <w:pStyle w:val="NoSpacing"/>
              <w:ind w:left="30" w:firstLine="0"/>
              <w:jc w:val="left"/>
            </w:pPr>
            <w:r>
              <w:t>Resilience</w:t>
            </w:r>
          </w:p>
        </w:tc>
      </w:tr>
    </w:tbl>
    <w:p w14:paraId="012480C1" w14:textId="77777777" w:rsidR="00AD70B0" w:rsidRDefault="00AD70B0" w:rsidP="00C006CC">
      <w:pPr>
        <w:autoSpaceDE w:val="0"/>
        <w:autoSpaceDN w:val="0"/>
        <w:adjustRightInd w:val="0"/>
        <w:spacing w:before="0"/>
        <w:ind w:left="0" w:firstLine="0"/>
        <w:jc w:val="left"/>
      </w:pPr>
    </w:p>
    <w:sectPr w:rsidR="00AD70B0" w:rsidSect="00AD70B0">
      <w:headerReference w:type="default" r:id="rId14"/>
      <w:footerReference w:type="default" r:id="rId15"/>
      <w:headerReference w:type="first" r:id="rId16"/>
      <w:footerReference w:type="first" r:id="rId17"/>
      <w:pgSz w:w="11906" w:h="16838" w:code="9"/>
      <w:pgMar w:top="-2552" w:right="1440" w:bottom="1135" w:left="1440" w:header="709" w:footer="567"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80C6" w14:textId="77777777" w:rsidR="009817DC" w:rsidRDefault="009817DC" w:rsidP="00EB6EC4">
      <w:pPr>
        <w:spacing w:before="0"/>
      </w:pPr>
      <w:r>
        <w:separator/>
      </w:r>
    </w:p>
  </w:endnote>
  <w:endnote w:type="continuationSeparator" w:id="0">
    <w:p w14:paraId="22B4F992" w14:textId="77777777" w:rsidR="009817DC" w:rsidRDefault="009817DC"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BF9BE4" w14:paraId="6E763395" w14:textId="77777777" w:rsidTr="66BF9BE4">
      <w:trPr>
        <w:trHeight w:val="300"/>
      </w:trPr>
      <w:tc>
        <w:tcPr>
          <w:tcW w:w="3005" w:type="dxa"/>
        </w:tcPr>
        <w:p w14:paraId="75B07FD2" w14:textId="77BF73D9" w:rsidR="66BF9BE4" w:rsidRDefault="66BF9BE4" w:rsidP="66BF9BE4">
          <w:pPr>
            <w:pStyle w:val="Header"/>
            <w:ind w:left="-115"/>
            <w:jc w:val="left"/>
          </w:pPr>
        </w:p>
      </w:tc>
      <w:tc>
        <w:tcPr>
          <w:tcW w:w="3005" w:type="dxa"/>
        </w:tcPr>
        <w:p w14:paraId="5B6EFD5C" w14:textId="5D77820A" w:rsidR="66BF9BE4" w:rsidRDefault="66BF9BE4" w:rsidP="66BF9BE4">
          <w:pPr>
            <w:pStyle w:val="Header"/>
            <w:jc w:val="center"/>
          </w:pPr>
        </w:p>
      </w:tc>
      <w:tc>
        <w:tcPr>
          <w:tcW w:w="3005" w:type="dxa"/>
        </w:tcPr>
        <w:p w14:paraId="6D823151" w14:textId="0E8F70F7" w:rsidR="66BF9BE4" w:rsidRDefault="66BF9BE4" w:rsidP="66BF9BE4">
          <w:pPr>
            <w:pStyle w:val="Header"/>
            <w:ind w:right="-115"/>
            <w:jc w:val="right"/>
          </w:pPr>
        </w:p>
      </w:tc>
    </w:tr>
  </w:tbl>
  <w:p w14:paraId="0AFEE3D1" w14:textId="101D45EE" w:rsidR="008B6166" w:rsidRDefault="008B6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26E504AC" w:rsidR="00072EB8" w:rsidRPr="00D128B9" w:rsidRDefault="00072EB8" w:rsidP="00072EB8">
    <w:pPr>
      <w:pStyle w:val="BodyTextIndent"/>
      <w:tabs>
        <w:tab w:val="left" w:pos="5812"/>
        <w:tab w:val="left" w:pos="8100"/>
      </w:tabs>
      <w:ind w:firstLine="0"/>
      <w:jc w:val="right"/>
      <w:rPr>
        <w:rFonts w:ascii="Arial" w:hAnsi="Arial" w:cs="Arial"/>
        <w:sz w:val="20"/>
        <w:szCs w:val="20"/>
      </w:rPr>
    </w:pPr>
    <w:r w:rsidRPr="66BF9BE4">
      <w:rPr>
        <w:rFonts w:ascii="Arial" w:hAnsi="Arial" w:cs="Arial"/>
        <w:sz w:val="20"/>
        <w:szCs w:val="20"/>
      </w:rPr>
      <w:t xml:space="preserve">Doc Number: </w:t>
    </w:r>
    <w:r w:rsidR="66BF9BE4" w:rsidRPr="66BF9BE4">
      <w:rPr>
        <w:rFonts w:ascii="Arial" w:hAnsi="Arial" w:cs="Arial"/>
        <w:sz w:val="20"/>
        <w:szCs w:val="20"/>
      </w:rPr>
      <w:t>RES-PO-001</w:t>
    </w:r>
    <w:r w:rsidRPr="66BF9BE4">
      <w:rPr>
        <w:rFonts w:ascii="Arial" w:hAnsi="Arial" w:cs="Arial"/>
        <w:sz w:val="20"/>
        <w:szCs w:val="20"/>
      </w:rPr>
      <w:t xml:space="preserve"> </w:t>
    </w:r>
  </w:p>
  <w:p w14:paraId="0BFE0ED2" w14:textId="123AF23F" w:rsidR="00072EB8" w:rsidRPr="00D128B9" w:rsidRDefault="00274C9A" w:rsidP="00072EB8">
    <w:pPr>
      <w:pStyle w:val="BodyTextIndent"/>
      <w:tabs>
        <w:tab w:val="left" w:pos="5812"/>
        <w:tab w:val="left" w:pos="8100"/>
      </w:tabs>
      <w:ind w:firstLine="0"/>
      <w:jc w:val="right"/>
      <w:rPr>
        <w:rFonts w:ascii="Arial" w:hAnsi="Arial" w:cs="Arial"/>
        <w:sz w:val="20"/>
        <w:szCs w:val="20"/>
      </w:rPr>
    </w:pPr>
    <w:r>
      <w:rPr>
        <w:rFonts w:ascii="Arial" w:hAnsi="Arial" w:cs="Arial"/>
        <w:sz w:val="20"/>
        <w:szCs w:val="20"/>
      </w:rPr>
      <w:t>Revision: 1.0</w:t>
    </w:r>
  </w:p>
  <w:p w14:paraId="2C8B3734" w14:textId="43202904" w:rsidR="00072EB8" w:rsidRPr="00D128B9" w:rsidRDefault="00072EB8" w:rsidP="00072EB8">
    <w:pPr>
      <w:pStyle w:val="BodyTextIndent"/>
      <w:tabs>
        <w:tab w:val="left" w:pos="360"/>
      </w:tabs>
      <w:ind w:firstLine="0"/>
      <w:jc w:val="right"/>
      <w:rPr>
        <w:rFonts w:ascii="Arial" w:hAnsi="Arial" w:cs="Arial"/>
        <w:sz w:val="20"/>
        <w:szCs w:val="20"/>
      </w:rPr>
    </w:pPr>
    <w:r w:rsidRPr="66BF9BE4">
      <w:rPr>
        <w:rFonts w:ascii="Arial" w:hAnsi="Arial" w:cs="Arial"/>
        <w:sz w:val="20"/>
        <w:szCs w:val="20"/>
      </w:rPr>
      <w:t xml:space="preserve">Date: </w:t>
    </w:r>
    <w:r w:rsidR="00274C9A">
      <w:rPr>
        <w:rFonts w:ascii="Arial" w:hAnsi="Arial" w:cs="Arial"/>
        <w:sz w:val="20"/>
        <w:szCs w:val="20"/>
      </w:rPr>
      <w:t>Jan. 2026</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EB91" w14:textId="77777777" w:rsidR="009817DC" w:rsidRDefault="009817DC" w:rsidP="00EB6EC4">
      <w:pPr>
        <w:spacing w:before="0"/>
      </w:pPr>
      <w:r>
        <w:separator/>
      </w:r>
    </w:p>
  </w:footnote>
  <w:footnote w:type="continuationSeparator" w:id="0">
    <w:p w14:paraId="4C085CF2" w14:textId="77777777" w:rsidR="009817DC" w:rsidRDefault="009817DC"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072EB8" w:rsidRPr="00072EB8" w14:paraId="7B1D5B30" w14:textId="77777777" w:rsidTr="0036656B">
      <w:trPr>
        <w:trHeight w:val="285"/>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606A7EB6" w14:textId="505AF07C" w:rsidR="00072EB8" w:rsidRPr="00072EB8" w:rsidRDefault="00F92288" w:rsidP="00072EB8">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4BC8B750" wp14:editId="25E83988">
                <wp:extent cx="1390650" cy="381588"/>
                <wp:effectExtent l="0" t="0" r="0" b="0"/>
                <wp:docPr id="1846640372" name="Picture 184664037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40372" name="Picture 1846640372" descr="University of Aberdeen logo"/>
                        <pic:cNvPicPr/>
                      </pic:nvPicPr>
                      <pic:blipFill>
                        <a:blip r:embed="rId1"/>
                        <a:stretch>
                          <a:fillRect/>
                        </a:stretch>
                      </pic:blipFill>
                      <pic:spPr>
                        <a:xfrm>
                          <a:off x="0" y="0"/>
                          <a:ext cx="1417061" cy="388835"/>
                        </a:xfrm>
                        <a:prstGeom prst="rect">
                          <a:avLst/>
                        </a:prstGeom>
                      </pic:spPr>
                    </pic:pic>
                  </a:graphicData>
                </a:graphic>
              </wp:inline>
            </w:drawing>
          </w:r>
          <w:r w:rsidR="00072EB8" w:rsidRPr="00072EB8">
            <w:rPr>
              <w:rFonts w:ascii="Calibri" w:eastAsia="Times New Roman" w:hAnsi="Calibri" w:cs="Calibri"/>
              <w:lang w:eastAsia="en-GB"/>
            </w:rPr>
            <w:t> </w:t>
          </w:r>
        </w:p>
      </w:tc>
      <w:tc>
        <w:tcPr>
          <w:tcW w:w="5356" w:type="dxa"/>
          <w:vMerge w:val="restart"/>
          <w:tcBorders>
            <w:top w:val="single" w:sz="6" w:space="0" w:color="auto"/>
            <w:left w:val="single" w:sz="4" w:space="0" w:color="auto"/>
            <w:bottom w:val="single" w:sz="6" w:space="0" w:color="auto"/>
            <w:right w:val="nil"/>
          </w:tcBorders>
          <w:vAlign w:val="center"/>
          <w:hideMark/>
        </w:tcPr>
        <w:p w14:paraId="708BE9A0" w14:textId="17FE0037" w:rsidR="00072EB8" w:rsidRPr="00072EB8" w:rsidRDefault="00F016A7" w:rsidP="00072EB8">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Resilience Policy</w:t>
          </w:r>
        </w:p>
      </w:tc>
      <w:tc>
        <w:tcPr>
          <w:tcW w:w="1164" w:type="dxa"/>
          <w:tcBorders>
            <w:top w:val="single" w:sz="6" w:space="0" w:color="auto"/>
            <w:left w:val="single" w:sz="6" w:space="0" w:color="auto"/>
            <w:bottom w:val="single" w:sz="6" w:space="0" w:color="auto"/>
            <w:right w:val="nil"/>
          </w:tcBorders>
          <w:vAlign w:val="center"/>
          <w:hideMark/>
        </w:tcPr>
        <w:p w14:paraId="428E9357"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B73FF4" w14:textId="30843346" w:rsidR="00072EB8" w:rsidRPr="00072EB8" w:rsidRDefault="66BF9BE4" w:rsidP="00072EB8">
          <w:pPr>
            <w:spacing w:before="100" w:beforeAutospacing="1" w:after="100" w:afterAutospacing="1"/>
            <w:ind w:left="0" w:firstLine="0"/>
            <w:jc w:val="left"/>
            <w:textAlignment w:val="baseline"/>
            <w:rPr>
              <w:rFonts w:ascii="Calibri" w:eastAsia="Times New Roman" w:hAnsi="Calibri" w:cs="Calibri"/>
              <w:sz w:val="14"/>
              <w:szCs w:val="14"/>
              <w:lang w:eastAsia="en-GB"/>
            </w:rPr>
          </w:pPr>
          <w:r w:rsidRPr="66BF9BE4">
            <w:rPr>
              <w:rFonts w:ascii="Calibri" w:eastAsia="Times New Roman" w:hAnsi="Calibri" w:cs="Calibri"/>
              <w:sz w:val="14"/>
              <w:szCs w:val="14"/>
              <w:lang w:eastAsia="en-GB"/>
            </w:rPr>
            <w:t>RES</w:t>
          </w:r>
          <w:r w:rsidR="00072EB8" w:rsidRPr="00072EB8">
            <w:rPr>
              <w:rFonts w:ascii="Calibri" w:eastAsia="Times New Roman" w:hAnsi="Calibri" w:cs="Calibri"/>
              <w:sz w:val="14"/>
              <w:szCs w:val="14"/>
              <w:lang w:eastAsia="en-GB"/>
            </w:rPr>
            <w:t>-</w:t>
          </w:r>
          <w:r w:rsidR="006841F3">
            <w:rPr>
              <w:rFonts w:ascii="Calibri" w:eastAsia="Times New Roman" w:hAnsi="Calibri" w:cs="Calibri"/>
              <w:sz w:val="14"/>
              <w:szCs w:val="14"/>
              <w:lang w:eastAsia="en-GB"/>
            </w:rPr>
            <w:t>PO-</w:t>
          </w:r>
          <w:r w:rsidRPr="66BF9BE4">
            <w:rPr>
              <w:rFonts w:ascii="Calibri" w:eastAsia="Times New Roman" w:hAnsi="Calibri" w:cs="Calibri"/>
              <w:sz w:val="14"/>
              <w:szCs w:val="14"/>
              <w:lang w:eastAsia="en-GB"/>
            </w:rPr>
            <w:t>001</w:t>
          </w:r>
        </w:p>
      </w:tc>
    </w:tr>
    <w:tr w:rsidR="00072EB8" w:rsidRPr="00072EB8" w14:paraId="12A4D6C6" w14:textId="77777777" w:rsidTr="0036656B">
      <w:trPr>
        <w:trHeight w:val="285"/>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304041D7"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left w:val="single" w:sz="4" w:space="0" w:color="auto"/>
          </w:tcBorders>
          <w:vAlign w:val="center"/>
          <w:hideMark/>
        </w:tcPr>
        <w:p w14:paraId="2C2AA342"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AC5DFC2"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vAlign w:val="center"/>
          <w:hideMark/>
        </w:tcPr>
        <w:p w14:paraId="14260BF1" w14:textId="40A62898" w:rsidR="00072EB8" w:rsidRPr="00072EB8" w:rsidRDefault="001845E7" w:rsidP="00072EB8">
          <w:pPr>
            <w:spacing w:before="100" w:beforeAutospacing="1" w:after="100" w:afterAutospacing="1"/>
            <w:ind w:left="0" w:firstLine="0"/>
            <w:jc w:val="left"/>
            <w:textAlignment w:val="baseline"/>
            <w:rPr>
              <w:rFonts w:ascii="Calibri" w:eastAsia="Times New Roman" w:hAnsi="Calibri" w:cs="Calibri"/>
              <w:sz w:val="14"/>
              <w:szCs w:val="14"/>
              <w:lang w:eastAsia="en-GB"/>
            </w:rPr>
          </w:pPr>
          <w:r>
            <w:rPr>
              <w:rFonts w:ascii="Calibri" w:eastAsia="Times New Roman" w:hAnsi="Calibri" w:cs="Calibri"/>
              <w:sz w:val="14"/>
              <w:szCs w:val="14"/>
              <w:lang w:eastAsia="en-GB"/>
            </w:rPr>
            <w:t>15</w:t>
          </w:r>
          <w:r w:rsidR="66BF9BE4" w:rsidRPr="66BF9BE4">
            <w:rPr>
              <w:rFonts w:ascii="Calibri" w:eastAsia="Times New Roman" w:hAnsi="Calibri" w:cs="Calibri"/>
              <w:sz w:val="14"/>
              <w:szCs w:val="14"/>
              <w:lang w:eastAsia="en-GB"/>
            </w:rPr>
            <w:t>.</w:t>
          </w:r>
          <w:r>
            <w:rPr>
              <w:rFonts w:ascii="Calibri" w:eastAsia="Times New Roman" w:hAnsi="Calibri" w:cs="Calibri"/>
              <w:sz w:val="14"/>
              <w:szCs w:val="14"/>
              <w:lang w:eastAsia="en-GB"/>
            </w:rPr>
            <w:t>01</w:t>
          </w:r>
          <w:r w:rsidR="66BF9BE4" w:rsidRPr="66BF9BE4">
            <w:rPr>
              <w:rFonts w:ascii="Calibri" w:eastAsia="Times New Roman" w:hAnsi="Calibri" w:cs="Calibri"/>
              <w:sz w:val="14"/>
              <w:szCs w:val="14"/>
              <w:lang w:eastAsia="en-GB"/>
            </w:rPr>
            <w:t>.2</w:t>
          </w:r>
          <w:r>
            <w:rPr>
              <w:rFonts w:ascii="Calibri" w:eastAsia="Times New Roman" w:hAnsi="Calibri" w:cs="Calibri"/>
              <w:sz w:val="14"/>
              <w:szCs w:val="14"/>
              <w:lang w:eastAsia="en-GB"/>
            </w:rPr>
            <w:t>6</w:t>
          </w:r>
        </w:p>
      </w:tc>
    </w:tr>
    <w:tr w:rsidR="00072EB8" w:rsidRPr="00072EB8" w14:paraId="486B3511" w14:textId="77777777" w:rsidTr="0036656B">
      <w:trPr>
        <w:trHeight w:val="285"/>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58D02293"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left w:val="single" w:sz="4" w:space="0" w:color="auto"/>
          </w:tcBorders>
          <w:vAlign w:val="center"/>
          <w:hideMark/>
        </w:tcPr>
        <w:p w14:paraId="43CB4788"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6883F5FC"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vAlign w:val="center"/>
          <w:hideMark/>
        </w:tcPr>
        <w:p w14:paraId="2980ACA0" w14:textId="0491D447" w:rsidR="00072EB8" w:rsidRPr="001E2A0B" w:rsidRDefault="001E2A0B" w:rsidP="00072EB8">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072EB8" w:rsidRPr="00072EB8" w14:paraId="40E88D43" w14:textId="77777777" w:rsidTr="0036656B">
      <w:trPr>
        <w:trHeight w:val="390"/>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53DF96D4"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left w:val="single" w:sz="4" w:space="0" w:color="auto"/>
          </w:tcBorders>
          <w:vAlign w:val="center"/>
          <w:hideMark/>
        </w:tcPr>
        <w:p w14:paraId="43AA320F"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34F4AA1"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vAlign w:val="center"/>
          <w:hideMark/>
        </w:tcPr>
        <w:p w14:paraId="43EEF2E1" w14:textId="3E547C97" w:rsidR="00072EB8" w:rsidRPr="00072EB8" w:rsidRDefault="00274C9A"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1.0</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74A" w14:textId="3FC3A5AC" w:rsidR="00F92288" w:rsidRDefault="00F92288">
    <w:pPr>
      <w:pStyle w:val="Header"/>
    </w:pPr>
    <w:r>
      <w:rPr>
        <w:noProof/>
      </w:rPr>
      <w:drawing>
        <wp:anchor distT="0" distB="0" distL="114300" distR="114300" simplePos="0" relativeHeight="251658240" behindDoc="0" locked="0" layoutInCell="1" allowOverlap="1" wp14:anchorId="4FB77C45" wp14:editId="3C897ABF">
          <wp:simplePos x="0" y="0"/>
          <wp:positionH relativeFrom="column">
            <wp:posOffset>-247015</wp:posOffset>
          </wp:positionH>
          <wp:positionV relativeFrom="paragraph">
            <wp:posOffset>407035</wp:posOffset>
          </wp:positionV>
          <wp:extent cx="2256330" cy="619125"/>
          <wp:effectExtent l="0" t="0" r="0" b="0"/>
          <wp:wrapNone/>
          <wp:docPr id="1795143055" name="Picture 1795143055"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43055" name="Picture 1795143055" descr="University of Aberdeen logo"/>
                  <pic:cNvPicPr/>
                </pic:nvPicPr>
                <pic:blipFill>
                  <a:blip r:embed="rId1">
                    <a:extLst>
                      <a:ext uri="{28A0092B-C50C-407E-A947-70E740481C1C}">
                        <a14:useLocalDpi xmlns:a14="http://schemas.microsoft.com/office/drawing/2010/main" val="0"/>
                      </a:ext>
                    </a:extLst>
                  </a:blip>
                  <a:stretch>
                    <a:fillRect/>
                  </a:stretch>
                </pic:blipFill>
                <pic:spPr>
                  <a:xfrm>
                    <a:off x="0" y="0"/>
                    <a:ext cx="225633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pPHDruQu" int2:invalidationBookmarkName="" int2:hashCode="DlLmInuMWN55pY" int2:id="HPRNm75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B89"/>
    <w:multiLevelType w:val="hybridMultilevel"/>
    <w:tmpl w:val="2D42C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3E607C"/>
    <w:multiLevelType w:val="hybridMultilevel"/>
    <w:tmpl w:val="5EDCB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17684"/>
    <w:multiLevelType w:val="hybridMultilevel"/>
    <w:tmpl w:val="349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514C"/>
    <w:multiLevelType w:val="hybridMultilevel"/>
    <w:tmpl w:val="37D0B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390D63"/>
    <w:multiLevelType w:val="hybridMultilevel"/>
    <w:tmpl w:val="82EA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D2CBA"/>
    <w:multiLevelType w:val="hybridMultilevel"/>
    <w:tmpl w:val="75D4A9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59F15AA"/>
    <w:multiLevelType w:val="hybridMultilevel"/>
    <w:tmpl w:val="05E4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B4CF8"/>
    <w:multiLevelType w:val="hybridMultilevel"/>
    <w:tmpl w:val="3760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E334F"/>
    <w:multiLevelType w:val="hybridMultilevel"/>
    <w:tmpl w:val="5A16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6762A"/>
    <w:multiLevelType w:val="hybridMultilevel"/>
    <w:tmpl w:val="86FCDF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4D57C3A"/>
    <w:multiLevelType w:val="hybridMultilevel"/>
    <w:tmpl w:val="3378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2010A"/>
    <w:multiLevelType w:val="hybridMultilevel"/>
    <w:tmpl w:val="004233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735F6482"/>
    <w:multiLevelType w:val="hybridMultilevel"/>
    <w:tmpl w:val="2FC4E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F83968"/>
    <w:multiLevelType w:val="hybridMultilevel"/>
    <w:tmpl w:val="1C320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14"/>
  </w:num>
  <w:num w:numId="2" w16cid:durableId="1270358983">
    <w:abstractNumId w:val="7"/>
  </w:num>
  <w:num w:numId="3" w16cid:durableId="189102228">
    <w:abstractNumId w:val="2"/>
  </w:num>
  <w:num w:numId="4" w16cid:durableId="619386789">
    <w:abstractNumId w:val="8"/>
  </w:num>
  <w:num w:numId="5" w16cid:durableId="246354846">
    <w:abstractNumId w:val="9"/>
  </w:num>
  <w:num w:numId="6" w16cid:durableId="642390304">
    <w:abstractNumId w:val="1"/>
  </w:num>
  <w:num w:numId="7" w16cid:durableId="1451588662">
    <w:abstractNumId w:val="10"/>
  </w:num>
  <w:num w:numId="8" w16cid:durableId="402874868">
    <w:abstractNumId w:val="4"/>
  </w:num>
  <w:num w:numId="9" w16cid:durableId="426270577">
    <w:abstractNumId w:val="6"/>
  </w:num>
  <w:num w:numId="10" w16cid:durableId="966662315">
    <w:abstractNumId w:val="0"/>
  </w:num>
  <w:num w:numId="11" w16cid:durableId="1017271387">
    <w:abstractNumId w:val="12"/>
  </w:num>
  <w:num w:numId="12" w16cid:durableId="930044129">
    <w:abstractNumId w:val="13"/>
  </w:num>
  <w:num w:numId="13" w16cid:durableId="298531278">
    <w:abstractNumId w:val="11"/>
  </w:num>
  <w:num w:numId="14" w16cid:durableId="1948730209">
    <w:abstractNumId w:val="5"/>
  </w:num>
  <w:num w:numId="15" w16cid:durableId="13444806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06B1"/>
    <w:rsid w:val="00001729"/>
    <w:rsid w:val="0000467C"/>
    <w:rsid w:val="00005FAE"/>
    <w:rsid w:val="00015C51"/>
    <w:rsid w:val="0002700E"/>
    <w:rsid w:val="00027AD5"/>
    <w:rsid w:val="000305D8"/>
    <w:rsid w:val="00030A7E"/>
    <w:rsid w:val="000320C6"/>
    <w:rsid w:val="00035DA3"/>
    <w:rsid w:val="0003768A"/>
    <w:rsid w:val="00042D56"/>
    <w:rsid w:val="00051F5C"/>
    <w:rsid w:val="00053027"/>
    <w:rsid w:val="00054667"/>
    <w:rsid w:val="0005532F"/>
    <w:rsid w:val="00056AC8"/>
    <w:rsid w:val="00057CF1"/>
    <w:rsid w:val="00064FDF"/>
    <w:rsid w:val="000705A9"/>
    <w:rsid w:val="000709E1"/>
    <w:rsid w:val="00072EB8"/>
    <w:rsid w:val="0007715B"/>
    <w:rsid w:val="000804D9"/>
    <w:rsid w:val="00083630"/>
    <w:rsid w:val="000842CC"/>
    <w:rsid w:val="0008568C"/>
    <w:rsid w:val="000920AA"/>
    <w:rsid w:val="000A04BE"/>
    <w:rsid w:val="000A45D5"/>
    <w:rsid w:val="000A4A9E"/>
    <w:rsid w:val="000A6C05"/>
    <w:rsid w:val="000B7327"/>
    <w:rsid w:val="000C2AE9"/>
    <w:rsid w:val="000C5EDA"/>
    <w:rsid w:val="000D0A3B"/>
    <w:rsid w:val="000D1464"/>
    <w:rsid w:val="000D546E"/>
    <w:rsid w:val="000D54B3"/>
    <w:rsid w:val="000D68C9"/>
    <w:rsid w:val="000D6972"/>
    <w:rsid w:val="000D746A"/>
    <w:rsid w:val="000E0F3B"/>
    <w:rsid w:val="000E3101"/>
    <w:rsid w:val="000E31ED"/>
    <w:rsid w:val="000E51E9"/>
    <w:rsid w:val="000E6BA1"/>
    <w:rsid w:val="000E705C"/>
    <w:rsid w:val="000E72DE"/>
    <w:rsid w:val="000E7A2F"/>
    <w:rsid w:val="000F0036"/>
    <w:rsid w:val="000F3F97"/>
    <w:rsid w:val="00100D6D"/>
    <w:rsid w:val="001054EE"/>
    <w:rsid w:val="0010616E"/>
    <w:rsid w:val="00110225"/>
    <w:rsid w:val="00111191"/>
    <w:rsid w:val="0011347B"/>
    <w:rsid w:val="0012451C"/>
    <w:rsid w:val="00127264"/>
    <w:rsid w:val="00127C23"/>
    <w:rsid w:val="00130654"/>
    <w:rsid w:val="00132B04"/>
    <w:rsid w:val="00135354"/>
    <w:rsid w:val="0014036D"/>
    <w:rsid w:val="00140571"/>
    <w:rsid w:val="00141FA3"/>
    <w:rsid w:val="001427B0"/>
    <w:rsid w:val="00142A7C"/>
    <w:rsid w:val="00147703"/>
    <w:rsid w:val="00150E68"/>
    <w:rsid w:val="00153B8F"/>
    <w:rsid w:val="001545D4"/>
    <w:rsid w:val="00154CF9"/>
    <w:rsid w:val="00163391"/>
    <w:rsid w:val="00163800"/>
    <w:rsid w:val="00165AB4"/>
    <w:rsid w:val="0016756F"/>
    <w:rsid w:val="00172866"/>
    <w:rsid w:val="00175217"/>
    <w:rsid w:val="001776B4"/>
    <w:rsid w:val="001845E7"/>
    <w:rsid w:val="00194B48"/>
    <w:rsid w:val="0019598A"/>
    <w:rsid w:val="00195D78"/>
    <w:rsid w:val="001A082E"/>
    <w:rsid w:val="001A1A65"/>
    <w:rsid w:val="001A6C32"/>
    <w:rsid w:val="001B6BE0"/>
    <w:rsid w:val="001B76E7"/>
    <w:rsid w:val="001C3051"/>
    <w:rsid w:val="001C50E3"/>
    <w:rsid w:val="001C659F"/>
    <w:rsid w:val="001C7A77"/>
    <w:rsid w:val="001D27B6"/>
    <w:rsid w:val="001D621D"/>
    <w:rsid w:val="001E2A0B"/>
    <w:rsid w:val="001E408B"/>
    <w:rsid w:val="001E7367"/>
    <w:rsid w:val="001F25A9"/>
    <w:rsid w:val="00201B5B"/>
    <w:rsid w:val="00203C4D"/>
    <w:rsid w:val="00214CDA"/>
    <w:rsid w:val="0021563B"/>
    <w:rsid w:val="00217F54"/>
    <w:rsid w:val="00221050"/>
    <w:rsid w:val="002211E4"/>
    <w:rsid w:val="00222219"/>
    <w:rsid w:val="00222BB5"/>
    <w:rsid w:val="002312DA"/>
    <w:rsid w:val="00231651"/>
    <w:rsid w:val="00234A5E"/>
    <w:rsid w:val="00242C1E"/>
    <w:rsid w:val="00243399"/>
    <w:rsid w:val="00244CDF"/>
    <w:rsid w:val="002461BB"/>
    <w:rsid w:val="0025066A"/>
    <w:rsid w:val="00251D1F"/>
    <w:rsid w:val="00253566"/>
    <w:rsid w:val="00253B2D"/>
    <w:rsid w:val="00255087"/>
    <w:rsid w:val="00261746"/>
    <w:rsid w:val="0026269D"/>
    <w:rsid w:val="00265357"/>
    <w:rsid w:val="0026596C"/>
    <w:rsid w:val="00266437"/>
    <w:rsid w:val="002707AA"/>
    <w:rsid w:val="002717E8"/>
    <w:rsid w:val="00271D6E"/>
    <w:rsid w:val="00272321"/>
    <w:rsid w:val="00273527"/>
    <w:rsid w:val="00274C9A"/>
    <w:rsid w:val="002805E0"/>
    <w:rsid w:val="0028428E"/>
    <w:rsid w:val="00284388"/>
    <w:rsid w:val="00285928"/>
    <w:rsid w:val="0028636E"/>
    <w:rsid w:val="00291ABB"/>
    <w:rsid w:val="00293AF1"/>
    <w:rsid w:val="002965F7"/>
    <w:rsid w:val="002A0A19"/>
    <w:rsid w:val="002A2E53"/>
    <w:rsid w:val="002A3518"/>
    <w:rsid w:val="002A391A"/>
    <w:rsid w:val="002A6B8C"/>
    <w:rsid w:val="002A736D"/>
    <w:rsid w:val="002B04E5"/>
    <w:rsid w:val="002B34CE"/>
    <w:rsid w:val="002B366F"/>
    <w:rsid w:val="002B469E"/>
    <w:rsid w:val="002D6901"/>
    <w:rsid w:val="002D7B01"/>
    <w:rsid w:val="002D7DD1"/>
    <w:rsid w:val="002E27D2"/>
    <w:rsid w:val="002E3DA5"/>
    <w:rsid w:val="002E609C"/>
    <w:rsid w:val="002F157D"/>
    <w:rsid w:val="002F176B"/>
    <w:rsid w:val="002F2BC0"/>
    <w:rsid w:val="002F3EB2"/>
    <w:rsid w:val="002F5F2C"/>
    <w:rsid w:val="00300284"/>
    <w:rsid w:val="003028EB"/>
    <w:rsid w:val="00302D85"/>
    <w:rsid w:val="00303FFE"/>
    <w:rsid w:val="0030764E"/>
    <w:rsid w:val="00307DD2"/>
    <w:rsid w:val="00310CA8"/>
    <w:rsid w:val="00310E87"/>
    <w:rsid w:val="003140F3"/>
    <w:rsid w:val="00314EAC"/>
    <w:rsid w:val="0031778F"/>
    <w:rsid w:val="00320834"/>
    <w:rsid w:val="003240F5"/>
    <w:rsid w:val="00326622"/>
    <w:rsid w:val="00330E25"/>
    <w:rsid w:val="00332D90"/>
    <w:rsid w:val="003366B9"/>
    <w:rsid w:val="0033735B"/>
    <w:rsid w:val="0034118B"/>
    <w:rsid w:val="003420BE"/>
    <w:rsid w:val="00343AA9"/>
    <w:rsid w:val="003524C7"/>
    <w:rsid w:val="003645D9"/>
    <w:rsid w:val="0036619F"/>
    <w:rsid w:val="0036656B"/>
    <w:rsid w:val="003701D3"/>
    <w:rsid w:val="00371485"/>
    <w:rsid w:val="00373480"/>
    <w:rsid w:val="003747B4"/>
    <w:rsid w:val="003804F5"/>
    <w:rsid w:val="00384EF1"/>
    <w:rsid w:val="00385185"/>
    <w:rsid w:val="00386F51"/>
    <w:rsid w:val="00390A44"/>
    <w:rsid w:val="003948F4"/>
    <w:rsid w:val="00395E07"/>
    <w:rsid w:val="00396363"/>
    <w:rsid w:val="003964F2"/>
    <w:rsid w:val="003A4C10"/>
    <w:rsid w:val="003A6541"/>
    <w:rsid w:val="003A75B5"/>
    <w:rsid w:val="003B1C85"/>
    <w:rsid w:val="003C3877"/>
    <w:rsid w:val="003C6DB7"/>
    <w:rsid w:val="003D0A29"/>
    <w:rsid w:val="003D1FC6"/>
    <w:rsid w:val="003D426D"/>
    <w:rsid w:val="003D5621"/>
    <w:rsid w:val="003D58A8"/>
    <w:rsid w:val="003E48F6"/>
    <w:rsid w:val="003E65F9"/>
    <w:rsid w:val="003E7B87"/>
    <w:rsid w:val="003F281B"/>
    <w:rsid w:val="004001AE"/>
    <w:rsid w:val="0040067D"/>
    <w:rsid w:val="00401F1B"/>
    <w:rsid w:val="0040495A"/>
    <w:rsid w:val="004049D3"/>
    <w:rsid w:val="0040778C"/>
    <w:rsid w:val="00417899"/>
    <w:rsid w:val="004244C7"/>
    <w:rsid w:val="0042698B"/>
    <w:rsid w:val="00427161"/>
    <w:rsid w:val="004305C0"/>
    <w:rsid w:val="00433252"/>
    <w:rsid w:val="004350B7"/>
    <w:rsid w:val="00443D97"/>
    <w:rsid w:val="00444497"/>
    <w:rsid w:val="00446359"/>
    <w:rsid w:val="00446C94"/>
    <w:rsid w:val="0045085A"/>
    <w:rsid w:val="00454168"/>
    <w:rsid w:val="00456C1C"/>
    <w:rsid w:val="00461A17"/>
    <w:rsid w:val="004655F2"/>
    <w:rsid w:val="00465756"/>
    <w:rsid w:val="00470555"/>
    <w:rsid w:val="00470DA7"/>
    <w:rsid w:val="00474DEA"/>
    <w:rsid w:val="00475174"/>
    <w:rsid w:val="00475AFB"/>
    <w:rsid w:val="004764B2"/>
    <w:rsid w:val="00484040"/>
    <w:rsid w:val="00485F7B"/>
    <w:rsid w:val="004875F8"/>
    <w:rsid w:val="00490791"/>
    <w:rsid w:val="004922C0"/>
    <w:rsid w:val="00495A1C"/>
    <w:rsid w:val="004A230E"/>
    <w:rsid w:val="004A2F83"/>
    <w:rsid w:val="004A363D"/>
    <w:rsid w:val="004A6FBD"/>
    <w:rsid w:val="004A756A"/>
    <w:rsid w:val="004A78B4"/>
    <w:rsid w:val="004B058C"/>
    <w:rsid w:val="004B06E2"/>
    <w:rsid w:val="004B1C86"/>
    <w:rsid w:val="004B4C73"/>
    <w:rsid w:val="004B6E2C"/>
    <w:rsid w:val="004C3080"/>
    <w:rsid w:val="004C5CA7"/>
    <w:rsid w:val="004C7092"/>
    <w:rsid w:val="004C7527"/>
    <w:rsid w:val="004C7A7E"/>
    <w:rsid w:val="004D1B93"/>
    <w:rsid w:val="004D2B43"/>
    <w:rsid w:val="004D4026"/>
    <w:rsid w:val="004D5FCF"/>
    <w:rsid w:val="004D6E64"/>
    <w:rsid w:val="004E47AB"/>
    <w:rsid w:val="004E54E7"/>
    <w:rsid w:val="004E6AF6"/>
    <w:rsid w:val="004F1A61"/>
    <w:rsid w:val="004F1AA6"/>
    <w:rsid w:val="004F4AAA"/>
    <w:rsid w:val="005047E8"/>
    <w:rsid w:val="00504EBF"/>
    <w:rsid w:val="00505BC4"/>
    <w:rsid w:val="00505F85"/>
    <w:rsid w:val="005079B4"/>
    <w:rsid w:val="00513735"/>
    <w:rsid w:val="00526AE7"/>
    <w:rsid w:val="00530C30"/>
    <w:rsid w:val="00532D7F"/>
    <w:rsid w:val="00532E89"/>
    <w:rsid w:val="00535850"/>
    <w:rsid w:val="00536AD8"/>
    <w:rsid w:val="00541EFF"/>
    <w:rsid w:val="00543387"/>
    <w:rsid w:val="00545EEB"/>
    <w:rsid w:val="00546C87"/>
    <w:rsid w:val="00550973"/>
    <w:rsid w:val="00554BD8"/>
    <w:rsid w:val="00555AEF"/>
    <w:rsid w:val="005560AE"/>
    <w:rsid w:val="005563C1"/>
    <w:rsid w:val="00557447"/>
    <w:rsid w:val="00562233"/>
    <w:rsid w:val="0056384B"/>
    <w:rsid w:val="00563C54"/>
    <w:rsid w:val="005648EE"/>
    <w:rsid w:val="005656BE"/>
    <w:rsid w:val="00565BD3"/>
    <w:rsid w:val="005661DD"/>
    <w:rsid w:val="00572DEA"/>
    <w:rsid w:val="00573610"/>
    <w:rsid w:val="00573A4E"/>
    <w:rsid w:val="00574761"/>
    <w:rsid w:val="00576479"/>
    <w:rsid w:val="00576D26"/>
    <w:rsid w:val="005809B6"/>
    <w:rsid w:val="00585B01"/>
    <w:rsid w:val="0058605C"/>
    <w:rsid w:val="00586222"/>
    <w:rsid w:val="00586D95"/>
    <w:rsid w:val="00591D58"/>
    <w:rsid w:val="00591FFF"/>
    <w:rsid w:val="005A0258"/>
    <w:rsid w:val="005A1DC7"/>
    <w:rsid w:val="005A29B8"/>
    <w:rsid w:val="005A2C14"/>
    <w:rsid w:val="005A4C23"/>
    <w:rsid w:val="005A52DA"/>
    <w:rsid w:val="005A6B13"/>
    <w:rsid w:val="005B0C1B"/>
    <w:rsid w:val="005B24AD"/>
    <w:rsid w:val="005B2BA2"/>
    <w:rsid w:val="005B3FA0"/>
    <w:rsid w:val="005B5DB1"/>
    <w:rsid w:val="005C03DE"/>
    <w:rsid w:val="005C5944"/>
    <w:rsid w:val="005C6EE2"/>
    <w:rsid w:val="005C76A4"/>
    <w:rsid w:val="005D0A35"/>
    <w:rsid w:val="005D0C57"/>
    <w:rsid w:val="005D256D"/>
    <w:rsid w:val="005D4898"/>
    <w:rsid w:val="005D5625"/>
    <w:rsid w:val="005D5841"/>
    <w:rsid w:val="005D5F02"/>
    <w:rsid w:val="005E0FBD"/>
    <w:rsid w:val="005E75EE"/>
    <w:rsid w:val="005E7C46"/>
    <w:rsid w:val="005F0417"/>
    <w:rsid w:val="005F14BF"/>
    <w:rsid w:val="005F1E1A"/>
    <w:rsid w:val="005F4537"/>
    <w:rsid w:val="005F5554"/>
    <w:rsid w:val="00601003"/>
    <w:rsid w:val="006022E8"/>
    <w:rsid w:val="006072A2"/>
    <w:rsid w:val="0061054B"/>
    <w:rsid w:val="00610FFF"/>
    <w:rsid w:val="00614A1A"/>
    <w:rsid w:val="00615654"/>
    <w:rsid w:val="00616EB2"/>
    <w:rsid w:val="00617953"/>
    <w:rsid w:val="006224E9"/>
    <w:rsid w:val="006300D8"/>
    <w:rsid w:val="006300E3"/>
    <w:rsid w:val="00630364"/>
    <w:rsid w:val="00634027"/>
    <w:rsid w:val="00634DE0"/>
    <w:rsid w:val="00636D83"/>
    <w:rsid w:val="00636EF9"/>
    <w:rsid w:val="00637D09"/>
    <w:rsid w:val="00644078"/>
    <w:rsid w:val="006478DD"/>
    <w:rsid w:val="0064794A"/>
    <w:rsid w:val="00652579"/>
    <w:rsid w:val="00652615"/>
    <w:rsid w:val="0065297C"/>
    <w:rsid w:val="0065404C"/>
    <w:rsid w:val="00657167"/>
    <w:rsid w:val="00661D9D"/>
    <w:rsid w:val="00661E77"/>
    <w:rsid w:val="00666130"/>
    <w:rsid w:val="00666448"/>
    <w:rsid w:val="0067033E"/>
    <w:rsid w:val="006776C1"/>
    <w:rsid w:val="0068083F"/>
    <w:rsid w:val="006841F3"/>
    <w:rsid w:val="00697CE4"/>
    <w:rsid w:val="006A140E"/>
    <w:rsid w:val="006A2308"/>
    <w:rsid w:val="006A32EC"/>
    <w:rsid w:val="006A33E2"/>
    <w:rsid w:val="006A6EA6"/>
    <w:rsid w:val="006B0C93"/>
    <w:rsid w:val="006B68E8"/>
    <w:rsid w:val="006B7EC9"/>
    <w:rsid w:val="006B7F22"/>
    <w:rsid w:val="006C07B7"/>
    <w:rsid w:val="006C10E2"/>
    <w:rsid w:val="006C146E"/>
    <w:rsid w:val="006C3E90"/>
    <w:rsid w:val="006C70C9"/>
    <w:rsid w:val="006D214F"/>
    <w:rsid w:val="006D3941"/>
    <w:rsid w:val="006E64FF"/>
    <w:rsid w:val="006F140D"/>
    <w:rsid w:val="006F1439"/>
    <w:rsid w:val="006F516F"/>
    <w:rsid w:val="006F7CA6"/>
    <w:rsid w:val="00702BAA"/>
    <w:rsid w:val="007038B0"/>
    <w:rsid w:val="007038E0"/>
    <w:rsid w:val="00705210"/>
    <w:rsid w:val="00711D16"/>
    <w:rsid w:val="00711F6F"/>
    <w:rsid w:val="0071207F"/>
    <w:rsid w:val="007148D6"/>
    <w:rsid w:val="00716789"/>
    <w:rsid w:val="007171F7"/>
    <w:rsid w:val="00717E52"/>
    <w:rsid w:val="00721524"/>
    <w:rsid w:val="00721EDB"/>
    <w:rsid w:val="00722D99"/>
    <w:rsid w:val="00724D3F"/>
    <w:rsid w:val="00725EB1"/>
    <w:rsid w:val="0072791B"/>
    <w:rsid w:val="00727C29"/>
    <w:rsid w:val="0073091B"/>
    <w:rsid w:val="007366F5"/>
    <w:rsid w:val="00745848"/>
    <w:rsid w:val="007575B5"/>
    <w:rsid w:val="00763026"/>
    <w:rsid w:val="00763D08"/>
    <w:rsid w:val="00765479"/>
    <w:rsid w:val="00765BBF"/>
    <w:rsid w:val="007678DB"/>
    <w:rsid w:val="007760A9"/>
    <w:rsid w:val="00776FF5"/>
    <w:rsid w:val="007820C3"/>
    <w:rsid w:val="00783B49"/>
    <w:rsid w:val="00785289"/>
    <w:rsid w:val="00793043"/>
    <w:rsid w:val="00793281"/>
    <w:rsid w:val="00794CBA"/>
    <w:rsid w:val="007A0489"/>
    <w:rsid w:val="007A6860"/>
    <w:rsid w:val="007B0A4A"/>
    <w:rsid w:val="007B70BC"/>
    <w:rsid w:val="007B70BD"/>
    <w:rsid w:val="007C3436"/>
    <w:rsid w:val="007C3CEF"/>
    <w:rsid w:val="007C5084"/>
    <w:rsid w:val="007C63B9"/>
    <w:rsid w:val="007C7AFA"/>
    <w:rsid w:val="007D2B19"/>
    <w:rsid w:val="007D5513"/>
    <w:rsid w:val="007D5C15"/>
    <w:rsid w:val="007D5E6D"/>
    <w:rsid w:val="007E6DE4"/>
    <w:rsid w:val="007E72E0"/>
    <w:rsid w:val="007E74E2"/>
    <w:rsid w:val="007F33C2"/>
    <w:rsid w:val="007F3DB0"/>
    <w:rsid w:val="007F5157"/>
    <w:rsid w:val="00800028"/>
    <w:rsid w:val="00802B0E"/>
    <w:rsid w:val="00805065"/>
    <w:rsid w:val="008101BA"/>
    <w:rsid w:val="00812025"/>
    <w:rsid w:val="00813D98"/>
    <w:rsid w:val="0081400E"/>
    <w:rsid w:val="00822B31"/>
    <w:rsid w:val="00822C1A"/>
    <w:rsid w:val="008251F5"/>
    <w:rsid w:val="008326E3"/>
    <w:rsid w:val="0083631A"/>
    <w:rsid w:val="008374BF"/>
    <w:rsid w:val="008430CD"/>
    <w:rsid w:val="00845E6C"/>
    <w:rsid w:val="00847CB6"/>
    <w:rsid w:val="00850670"/>
    <w:rsid w:val="0085532C"/>
    <w:rsid w:val="00860F8F"/>
    <w:rsid w:val="008610CC"/>
    <w:rsid w:val="00864E17"/>
    <w:rsid w:val="00870ACB"/>
    <w:rsid w:val="00871B94"/>
    <w:rsid w:val="00872BF7"/>
    <w:rsid w:val="00873AD7"/>
    <w:rsid w:val="008770D9"/>
    <w:rsid w:val="00877575"/>
    <w:rsid w:val="008827A2"/>
    <w:rsid w:val="00886751"/>
    <w:rsid w:val="00887AD4"/>
    <w:rsid w:val="00896066"/>
    <w:rsid w:val="008A2E55"/>
    <w:rsid w:val="008A3DD2"/>
    <w:rsid w:val="008A564E"/>
    <w:rsid w:val="008B079C"/>
    <w:rsid w:val="008B3D09"/>
    <w:rsid w:val="008B6166"/>
    <w:rsid w:val="008B7DB5"/>
    <w:rsid w:val="008C276D"/>
    <w:rsid w:val="008C3703"/>
    <w:rsid w:val="008D1A6B"/>
    <w:rsid w:val="008D3390"/>
    <w:rsid w:val="008D6456"/>
    <w:rsid w:val="008D67EF"/>
    <w:rsid w:val="008E007A"/>
    <w:rsid w:val="008E369F"/>
    <w:rsid w:val="008E6D3D"/>
    <w:rsid w:val="008F3B24"/>
    <w:rsid w:val="008F67DA"/>
    <w:rsid w:val="008F74B0"/>
    <w:rsid w:val="009041F4"/>
    <w:rsid w:val="00910F56"/>
    <w:rsid w:val="0091297A"/>
    <w:rsid w:val="00922C2E"/>
    <w:rsid w:val="009240CA"/>
    <w:rsid w:val="00924920"/>
    <w:rsid w:val="009249C9"/>
    <w:rsid w:val="00926788"/>
    <w:rsid w:val="00933084"/>
    <w:rsid w:val="009348BE"/>
    <w:rsid w:val="009363BC"/>
    <w:rsid w:val="00936E8E"/>
    <w:rsid w:val="00937B35"/>
    <w:rsid w:val="00940577"/>
    <w:rsid w:val="0095114A"/>
    <w:rsid w:val="009535F1"/>
    <w:rsid w:val="00953C02"/>
    <w:rsid w:val="00957783"/>
    <w:rsid w:val="00963526"/>
    <w:rsid w:val="0096567A"/>
    <w:rsid w:val="00976F88"/>
    <w:rsid w:val="0098053E"/>
    <w:rsid w:val="00980D0E"/>
    <w:rsid w:val="00981511"/>
    <w:rsid w:val="009817DC"/>
    <w:rsid w:val="00984C97"/>
    <w:rsid w:val="00984D19"/>
    <w:rsid w:val="009878E6"/>
    <w:rsid w:val="00987A33"/>
    <w:rsid w:val="0099264A"/>
    <w:rsid w:val="0099298C"/>
    <w:rsid w:val="00993616"/>
    <w:rsid w:val="00995FFD"/>
    <w:rsid w:val="009A1435"/>
    <w:rsid w:val="009A6FC4"/>
    <w:rsid w:val="009B7634"/>
    <w:rsid w:val="009C0A69"/>
    <w:rsid w:val="009C1B4E"/>
    <w:rsid w:val="009C5D58"/>
    <w:rsid w:val="009C7AD0"/>
    <w:rsid w:val="009D0538"/>
    <w:rsid w:val="009D20AD"/>
    <w:rsid w:val="009D42B0"/>
    <w:rsid w:val="009D7872"/>
    <w:rsid w:val="009E20C0"/>
    <w:rsid w:val="009F133F"/>
    <w:rsid w:val="009F4164"/>
    <w:rsid w:val="009F50EC"/>
    <w:rsid w:val="009F51A7"/>
    <w:rsid w:val="009F7898"/>
    <w:rsid w:val="009F7EBF"/>
    <w:rsid w:val="00A0083D"/>
    <w:rsid w:val="00A00FD9"/>
    <w:rsid w:val="00A0147F"/>
    <w:rsid w:val="00A054AB"/>
    <w:rsid w:val="00A05FCA"/>
    <w:rsid w:val="00A17F25"/>
    <w:rsid w:val="00A21905"/>
    <w:rsid w:val="00A21DCA"/>
    <w:rsid w:val="00A234D0"/>
    <w:rsid w:val="00A259A8"/>
    <w:rsid w:val="00A26B1E"/>
    <w:rsid w:val="00A27020"/>
    <w:rsid w:val="00A27AF3"/>
    <w:rsid w:val="00A31473"/>
    <w:rsid w:val="00A33B94"/>
    <w:rsid w:val="00A358AF"/>
    <w:rsid w:val="00A400F7"/>
    <w:rsid w:val="00A405A8"/>
    <w:rsid w:val="00A447D6"/>
    <w:rsid w:val="00A465E3"/>
    <w:rsid w:val="00A4722E"/>
    <w:rsid w:val="00A51701"/>
    <w:rsid w:val="00A54E24"/>
    <w:rsid w:val="00A55939"/>
    <w:rsid w:val="00A56200"/>
    <w:rsid w:val="00A722B0"/>
    <w:rsid w:val="00A739A8"/>
    <w:rsid w:val="00A7434D"/>
    <w:rsid w:val="00A7558C"/>
    <w:rsid w:val="00A80A3B"/>
    <w:rsid w:val="00A8150D"/>
    <w:rsid w:val="00A83D3F"/>
    <w:rsid w:val="00A954CA"/>
    <w:rsid w:val="00AA1E89"/>
    <w:rsid w:val="00AA23F4"/>
    <w:rsid w:val="00AA268E"/>
    <w:rsid w:val="00AA2C99"/>
    <w:rsid w:val="00AA2CBB"/>
    <w:rsid w:val="00AA59F2"/>
    <w:rsid w:val="00AA78DE"/>
    <w:rsid w:val="00AB060D"/>
    <w:rsid w:val="00AB4D8C"/>
    <w:rsid w:val="00AC0D8E"/>
    <w:rsid w:val="00AC20C7"/>
    <w:rsid w:val="00AC7DAB"/>
    <w:rsid w:val="00AD058A"/>
    <w:rsid w:val="00AD524C"/>
    <w:rsid w:val="00AD5286"/>
    <w:rsid w:val="00AD536B"/>
    <w:rsid w:val="00AD70B0"/>
    <w:rsid w:val="00AD77B2"/>
    <w:rsid w:val="00AE29AF"/>
    <w:rsid w:val="00AE4B2B"/>
    <w:rsid w:val="00AE5FEB"/>
    <w:rsid w:val="00AF2894"/>
    <w:rsid w:val="00AF6975"/>
    <w:rsid w:val="00B0046A"/>
    <w:rsid w:val="00B0122F"/>
    <w:rsid w:val="00B03850"/>
    <w:rsid w:val="00B0754B"/>
    <w:rsid w:val="00B10A77"/>
    <w:rsid w:val="00B128EE"/>
    <w:rsid w:val="00B12CC8"/>
    <w:rsid w:val="00B1412A"/>
    <w:rsid w:val="00B20FA0"/>
    <w:rsid w:val="00B220CF"/>
    <w:rsid w:val="00B24695"/>
    <w:rsid w:val="00B34F9A"/>
    <w:rsid w:val="00B40C8B"/>
    <w:rsid w:val="00B40D68"/>
    <w:rsid w:val="00B42815"/>
    <w:rsid w:val="00B44F60"/>
    <w:rsid w:val="00B46B55"/>
    <w:rsid w:val="00B479AA"/>
    <w:rsid w:val="00B6154D"/>
    <w:rsid w:val="00B61DD6"/>
    <w:rsid w:val="00B6615F"/>
    <w:rsid w:val="00B71D60"/>
    <w:rsid w:val="00B75F57"/>
    <w:rsid w:val="00B7628B"/>
    <w:rsid w:val="00B76C3F"/>
    <w:rsid w:val="00B81F82"/>
    <w:rsid w:val="00B8318B"/>
    <w:rsid w:val="00B83751"/>
    <w:rsid w:val="00B840B8"/>
    <w:rsid w:val="00B8576A"/>
    <w:rsid w:val="00B86CE4"/>
    <w:rsid w:val="00B967CB"/>
    <w:rsid w:val="00BA1347"/>
    <w:rsid w:val="00BA183E"/>
    <w:rsid w:val="00BA42AA"/>
    <w:rsid w:val="00BA499B"/>
    <w:rsid w:val="00BA5B90"/>
    <w:rsid w:val="00BA65DF"/>
    <w:rsid w:val="00BB239E"/>
    <w:rsid w:val="00BC2633"/>
    <w:rsid w:val="00BC613C"/>
    <w:rsid w:val="00BC6EAD"/>
    <w:rsid w:val="00BD0355"/>
    <w:rsid w:val="00BD6267"/>
    <w:rsid w:val="00BE17BA"/>
    <w:rsid w:val="00BE3B5C"/>
    <w:rsid w:val="00BE779C"/>
    <w:rsid w:val="00BF2A21"/>
    <w:rsid w:val="00BF317A"/>
    <w:rsid w:val="00BF52CD"/>
    <w:rsid w:val="00C006CC"/>
    <w:rsid w:val="00C112A4"/>
    <w:rsid w:val="00C11A36"/>
    <w:rsid w:val="00C13ACB"/>
    <w:rsid w:val="00C27DE8"/>
    <w:rsid w:val="00C33C4C"/>
    <w:rsid w:val="00C3491E"/>
    <w:rsid w:val="00C352B3"/>
    <w:rsid w:val="00C35A64"/>
    <w:rsid w:val="00C3627A"/>
    <w:rsid w:val="00C36EA3"/>
    <w:rsid w:val="00C37BB1"/>
    <w:rsid w:val="00C37EA2"/>
    <w:rsid w:val="00C468CF"/>
    <w:rsid w:val="00C47F11"/>
    <w:rsid w:val="00C53DD7"/>
    <w:rsid w:val="00C60C70"/>
    <w:rsid w:val="00C6355A"/>
    <w:rsid w:val="00C66C97"/>
    <w:rsid w:val="00C701EE"/>
    <w:rsid w:val="00C70C47"/>
    <w:rsid w:val="00C721C0"/>
    <w:rsid w:val="00C73D6A"/>
    <w:rsid w:val="00C74C06"/>
    <w:rsid w:val="00C77EC7"/>
    <w:rsid w:val="00C82F0C"/>
    <w:rsid w:val="00C87743"/>
    <w:rsid w:val="00C87858"/>
    <w:rsid w:val="00C87B85"/>
    <w:rsid w:val="00C91202"/>
    <w:rsid w:val="00C9440B"/>
    <w:rsid w:val="00CA0C4D"/>
    <w:rsid w:val="00CA38E0"/>
    <w:rsid w:val="00CB2776"/>
    <w:rsid w:val="00CB5625"/>
    <w:rsid w:val="00CB7C07"/>
    <w:rsid w:val="00CC3554"/>
    <w:rsid w:val="00CC5BBE"/>
    <w:rsid w:val="00CC5F56"/>
    <w:rsid w:val="00CC659F"/>
    <w:rsid w:val="00CE321F"/>
    <w:rsid w:val="00CE361E"/>
    <w:rsid w:val="00CE3C50"/>
    <w:rsid w:val="00CE541F"/>
    <w:rsid w:val="00CE6463"/>
    <w:rsid w:val="00CF0873"/>
    <w:rsid w:val="00CF503A"/>
    <w:rsid w:val="00D003FC"/>
    <w:rsid w:val="00D01B7B"/>
    <w:rsid w:val="00D03557"/>
    <w:rsid w:val="00D03AEF"/>
    <w:rsid w:val="00D10BF1"/>
    <w:rsid w:val="00D10FFC"/>
    <w:rsid w:val="00D11478"/>
    <w:rsid w:val="00D214B6"/>
    <w:rsid w:val="00D34C66"/>
    <w:rsid w:val="00D36335"/>
    <w:rsid w:val="00D369B3"/>
    <w:rsid w:val="00D41DE0"/>
    <w:rsid w:val="00D42EBC"/>
    <w:rsid w:val="00D46042"/>
    <w:rsid w:val="00D46301"/>
    <w:rsid w:val="00D5192C"/>
    <w:rsid w:val="00D571A6"/>
    <w:rsid w:val="00D61203"/>
    <w:rsid w:val="00D63ED4"/>
    <w:rsid w:val="00D70689"/>
    <w:rsid w:val="00D70E33"/>
    <w:rsid w:val="00D716F7"/>
    <w:rsid w:val="00D7460C"/>
    <w:rsid w:val="00D8002D"/>
    <w:rsid w:val="00D84C6C"/>
    <w:rsid w:val="00D867F3"/>
    <w:rsid w:val="00D86D60"/>
    <w:rsid w:val="00D87351"/>
    <w:rsid w:val="00D91A9B"/>
    <w:rsid w:val="00D94415"/>
    <w:rsid w:val="00DA1ADC"/>
    <w:rsid w:val="00DA30D2"/>
    <w:rsid w:val="00DA6BBB"/>
    <w:rsid w:val="00DA6F69"/>
    <w:rsid w:val="00DB3068"/>
    <w:rsid w:val="00DB446C"/>
    <w:rsid w:val="00DC66D9"/>
    <w:rsid w:val="00DD208C"/>
    <w:rsid w:val="00DD7ED9"/>
    <w:rsid w:val="00DE01CE"/>
    <w:rsid w:val="00DE7739"/>
    <w:rsid w:val="00DF2C19"/>
    <w:rsid w:val="00DF3B57"/>
    <w:rsid w:val="00DF3F09"/>
    <w:rsid w:val="00E027E1"/>
    <w:rsid w:val="00E0330C"/>
    <w:rsid w:val="00E041A6"/>
    <w:rsid w:val="00E048C3"/>
    <w:rsid w:val="00E0503E"/>
    <w:rsid w:val="00E0655D"/>
    <w:rsid w:val="00E10B0B"/>
    <w:rsid w:val="00E114FB"/>
    <w:rsid w:val="00E1254D"/>
    <w:rsid w:val="00E12550"/>
    <w:rsid w:val="00E1286D"/>
    <w:rsid w:val="00E12947"/>
    <w:rsid w:val="00E22193"/>
    <w:rsid w:val="00E2471C"/>
    <w:rsid w:val="00E24D77"/>
    <w:rsid w:val="00E26500"/>
    <w:rsid w:val="00E27FF8"/>
    <w:rsid w:val="00E31FF9"/>
    <w:rsid w:val="00E4008D"/>
    <w:rsid w:val="00E4209B"/>
    <w:rsid w:val="00E44006"/>
    <w:rsid w:val="00E56CB6"/>
    <w:rsid w:val="00E5791C"/>
    <w:rsid w:val="00E62389"/>
    <w:rsid w:val="00E644C2"/>
    <w:rsid w:val="00E64D74"/>
    <w:rsid w:val="00E65556"/>
    <w:rsid w:val="00E717AC"/>
    <w:rsid w:val="00E72831"/>
    <w:rsid w:val="00E80652"/>
    <w:rsid w:val="00E86FF1"/>
    <w:rsid w:val="00E9019A"/>
    <w:rsid w:val="00E91F83"/>
    <w:rsid w:val="00E9284D"/>
    <w:rsid w:val="00E948B9"/>
    <w:rsid w:val="00E9764C"/>
    <w:rsid w:val="00EA2BCF"/>
    <w:rsid w:val="00EA6856"/>
    <w:rsid w:val="00EB528A"/>
    <w:rsid w:val="00EB5571"/>
    <w:rsid w:val="00EB6EC4"/>
    <w:rsid w:val="00EC0BA3"/>
    <w:rsid w:val="00EC4372"/>
    <w:rsid w:val="00EC4376"/>
    <w:rsid w:val="00EC448B"/>
    <w:rsid w:val="00EC604E"/>
    <w:rsid w:val="00EC6E58"/>
    <w:rsid w:val="00EC7F70"/>
    <w:rsid w:val="00ED025A"/>
    <w:rsid w:val="00ED562D"/>
    <w:rsid w:val="00ED68A6"/>
    <w:rsid w:val="00EE4EA9"/>
    <w:rsid w:val="00EE56AB"/>
    <w:rsid w:val="00EE7373"/>
    <w:rsid w:val="00EE7545"/>
    <w:rsid w:val="00EE7A8C"/>
    <w:rsid w:val="00EF45DB"/>
    <w:rsid w:val="00EF5EC9"/>
    <w:rsid w:val="00F016A7"/>
    <w:rsid w:val="00F06D7A"/>
    <w:rsid w:val="00F076AF"/>
    <w:rsid w:val="00F112B8"/>
    <w:rsid w:val="00F11A8B"/>
    <w:rsid w:val="00F1293F"/>
    <w:rsid w:val="00F14797"/>
    <w:rsid w:val="00F166D2"/>
    <w:rsid w:val="00F22CF0"/>
    <w:rsid w:val="00F23BB1"/>
    <w:rsid w:val="00F251C2"/>
    <w:rsid w:val="00F25840"/>
    <w:rsid w:val="00F26FA7"/>
    <w:rsid w:val="00F30330"/>
    <w:rsid w:val="00F31837"/>
    <w:rsid w:val="00F33E00"/>
    <w:rsid w:val="00F34566"/>
    <w:rsid w:val="00F43126"/>
    <w:rsid w:val="00F47D95"/>
    <w:rsid w:val="00F5179F"/>
    <w:rsid w:val="00F5721B"/>
    <w:rsid w:val="00F61AFA"/>
    <w:rsid w:val="00F65D71"/>
    <w:rsid w:val="00F8343A"/>
    <w:rsid w:val="00F9160F"/>
    <w:rsid w:val="00F92288"/>
    <w:rsid w:val="00F93C43"/>
    <w:rsid w:val="00F961D6"/>
    <w:rsid w:val="00F962C1"/>
    <w:rsid w:val="00F97463"/>
    <w:rsid w:val="00FA0B02"/>
    <w:rsid w:val="00FA1ECE"/>
    <w:rsid w:val="00FA309A"/>
    <w:rsid w:val="00FA4A8A"/>
    <w:rsid w:val="00FA5882"/>
    <w:rsid w:val="00FA6662"/>
    <w:rsid w:val="00FA7914"/>
    <w:rsid w:val="00FB36EF"/>
    <w:rsid w:val="00FB4D2B"/>
    <w:rsid w:val="00FB6119"/>
    <w:rsid w:val="00FC333F"/>
    <w:rsid w:val="00FC349F"/>
    <w:rsid w:val="00FC421F"/>
    <w:rsid w:val="00FC62D8"/>
    <w:rsid w:val="00FC73E6"/>
    <w:rsid w:val="00FD0957"/>
    <w:rsid w:val="00FD3DEB"/>
    <w:rsid w:val="00FD4D12"/>
    <w:rsid w:val="00FD4D21"/>
    <w:rsid w:val="00FD4D49"/>
    <w:rsid w:val="00FD5C8A"/>
    <w:rsid w:val="00FE6B5F"/>
    <w:rsid w:val="00FE77B2"/>
    <w:rsid w:val="00FF5CF3"/>
    <w:rsid w:val="025A323B"/>
    <w:rsid w:val="035CF390"/>
    <w:rsid w:val="04705A48"/>
    <w:rsid w:val="06A043EA"/>
    <w:rsid w:val="06ACB855"/>
    <w:rsid w:val="0ACAD1BC"/>
    <w:rsid w:val="0ACD3E55"/>
    <w:rsid w:val="0AF40BAD"/>
    <w:rsid w:val="0B4707EE"/>
    <w:rsid w:val="0FB02AB0"/>
    <w:rsid w:val="0FE3DC9B"/>
    <w:rsid w:val="125F38D0"/>
    <w:rsid w:val="12D4E11F"/>
    <w:rsid w:val="17658829"/>
    <w:rsid w:val="1790394B"/>
    <w:rsid w:val="1EA037CB"/>
    <w:rsid w:val="215BC5DA"/>
    <w:rsid w:val="21641D3D"/>
    <w:rsid w:val="21857D63"/>
    <w:rsid w:val="23A9D742"/>
    <w:rsid w:val="26315393"/>
    <w:rsid w:val="26781490"/>
    <w:rsid w:val="2B15F06D"/>
    <w:rsid w:val="2B6B30F5"/>
    <w:rsid w:val="2DDF8383"/>
    <w:rsid w:val="2F0A5C54"/>
    <w:rsid w:val="30CA37A6"/>
    <w:rsid w:val="3233D9F8"/>
    <w:rsid w:val="324E1CB4"/>
    <w:rsid w:val="3330426A"/>
    <w:rsid w:val="36CB3C19"/>
    <w:rsid w:val="3733D553"/>
    <w:rsid w:val="373F9E68"/>
    <w:rsid w:val="3A71B3D5"/>
    <w:rsid w:val="40072154"/>
    <w:rsid w:val="4046C3A5"/>
    <w:rsid w:val="417C7037"/>
    <w:rsid w:val="41874CAC"/>
    <w:rsid w:val="4335FC01"/>
    <w:rsid w:val="449A5BC6"/>
    <w:rsid w:val="44A1A370"/>
    <w:rsid w:val="44F9118F"/>
    <w:rsid w:val="45379828"/>
    <w:rsid w:val="45E2E194"/>
    <w:rsid w:val="47A9C106"/>
    <w:rsid w:val="47C1ABEA"/>
    <w:rsid w:val="4871DC80"/>
    <w:rsid w:val="4C06B715"/>
    <w:rsid w:val="4C123212"/>
    <w:rsid w:val="4E681330"/>
    <w:rsid w:val="4F08BC4A"/>
    <w:rsid w:val="52CABC17"/>
    <w:rsid w:val="52F106C6"/>
    <w:rsid w:val="530B1086"/>
    <w:rsid w:val="53D40DED"/>
    <w:rsid w:val="56F42E23"/>
    <w:rsid w:val="57E422C1"/>
    <w:rsid w:val="586DF1A8"/>
    <w:rsid w:val="588ADA14"/>
    <w:rsid w:val="592E12AA"/>
    <w:rsid w:val="59529820"/>
    <w:rsid w:val="5AEB5FD6"/>
    <w:rsid w:val="5CE437AC"/>
    <w:rsid w:val="5E001447"/>
    <w:rsid w:val="5EDA4EE7"/>
    <w:rsid w:val="5F9C0B4B"/>
    <w:rsid w:val="603CA55A"/>
    <w:rsid w:val="61A26123"/>
    <w:rsid w:val="62D0B78C"/>
    <w:rsid w:val="6337E69F"/>
    <w:rsid w:val="64713E4B"/>
    <w:rsid w:val="66BF9BE4"/>
    <w:rsid w:val="66EDB36C"/>
    <w:rsid w:val="673792CD"/>
    <w:rsid w:val="6A0CC710"/>
    <w:rsid w:val="6AA169A2"/>
    <w:rsid w:val="6AC61157"/>
    <w:rsid w:val="6C6767F6"/>
    <w:rsid w:val="6E280E00"/>
    <w:rsid w:val="71D5BB74"/>
    <w:rsid w:val="72033458"/>
    <w:rsid w:val="7299BEE9"/>
    <w:rsid w:val="753736A8"/>
    <w:rsid w:val="758F8F8D"/>
    <w:rsid w:val="75A2482E"/>
    <w:rsid w:val="775E5569"/>
    <w:rsid w:val="79DE3F8A"/>
    <w:rsid w:val="7BF0BB08"/>
    <w:rsid w:val="7F2453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25D5E650-D8DF-455A-9118-3A629847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3D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character" w:customStyle="1" w:styleId="Heading4Char">
    <w:name w:val="Heading 4 Char"/>
    <w:basedOn w:val="DefaultParagraphFont"/>
    <w:link w:val="Heading4"/>
    <w:uiPriority w:val="9"/>
    <w:semiHidden/>
    <w:rsid w:val="00C73D6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403526243">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292514220">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media/site/staffnet/documents/RAG-Terms-of-Reference-Revised-April-2024.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365abdn.sharepoint.com/teams/ResilienceSite_GEN/SitePages/HOME-PAG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365abdn.sharepoint.com/teams/ResilienceSite_GEN/Shared%20Documents/Forms/AllItems.aspx?id=%2Fteams%2FResilienceSite%5FGEN%2FShared%20Documents%2FGeneral%2FRESILIENCE%20PLAN%20Final%20draft%2Epdf&amp;parent=%2Fteams%2FResilienceSite%5FGEN%2FShared%20Documents%2FGener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5bc78-4df6-4704-84f6-3a8326031168">
      <Terms xmlns="http://schemas.microsoft.com/office/infopath/2007/PartnerControls"/>
    </lcf76f155ced4ddcb4097134ff3c332f>
    <_Flow_SignoffStatus xmlns="ed85bc78-4df6-4704-84f6-3a8326031168" xsi:nil="true"/>
    <TaxCatchAll xmlns="2450a831-3a9d-4e0b-bbb4-d40fb62fbd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A8571FC2CE994398A40C7D9B64D4F7" ma:contentTypeVersion="16" ma:contentTypeDescription="Create a new document." ma:contentTypeScope="" ma:versionID="338879c8251cb80ce4f97f9fa5a9c2f9">
  <xsd:schema xmlns:xsd="http://www.w3.org/2001/XMLSchema" xmlns:xs="http://www.w3.org/2001/XMLSchema" xmlns:p="http://schemas.microsoft.com/office/2006/metadata/properties" xmlns:ns2="ed85bc78-4df6-4704-84f6-3a8326031168" xmlns:ns3="1497d2cc-e2b0-4bc1-94a6-6b81e8e060ea" xmlns:ns4="2450a831-3a9d-4e0b-bbb4-d40fb62fbd2b" targetNamespace="http://schemas.microsoft.com/office/2006/metadata/properties" ma:root="true" ma:fieldsID="88b5478977614a8185844e85666f1ab0" ns2:_="" ns3:_="" ns4:_="">
    <xsd:import namespace="ed85bc78-4df6-4704-84f6-3a8326031168"/>
    <xsd:import namespace="1497d2cc-e2b0-4bc1-94a6-6b81e8e060ea"/>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5bc78-4df6-4704-84f6-3a8326031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7d2cc-e2b0-4bc1-94a6-6b81e8e06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7da99dc-9fa2-44fd-a5fc-ef8bc7e2b948}" ma:internalName="TaxCatchAll" ma:showField="CatchAllData" ma:web="1497d2cc-e2b0-4bc1-94a6-6b81e8e06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2C116-512F-4F95-B82C-1334A7762E31}">
  <ds:schemaRefs>
    <ds:schemaRef ds:uri="http://schemas.microsoft.com/office/2006/metadata/properties"/>
    <ds:schemaRef ds:uri="http://schemas.microsoft.com/office/infopath/2007/PartnerControls"/>
    <ds:schemaRef ds:uri="ed85bc78-4df6-4704-84f6-3a8326031168"/>
    <ds:schemaRef ds:uri="2450a831-3a9d-4e0b-bbb4-d40fb62fbd2b"/>
  </ds:schemaRefs>
</ds:datastoreItem>
</file>

<file path=customXml/itemProps2.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customXml/itemProps3.xml><?xml version="1.0" encoding="utf-8"?>
<ds:datastoreItem xmlns:ds="http://schemas.openxmlformats.org/officeDocument/2006/customXml" ds:itemID="{238419D3-F7DE-411C-B3E1-E3F49C80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5bc78-4df6-4704-84f6-3a8326031168"/>
    <ds:schemaRef ds:uri="1497d2cc-e2b0-4bc1-94a6-6b81e8e060ea"/>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FFAB0-D34E-4CCF-B850-F7B93CC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11575</CharactersWithSpaces>
  <SharedDoc>false</SharedDoc>
  <HLinks>
    <vt:vector size="108" baseType="variant">
      <vt:variant>
        <vt:i4>2424872</vt:i4>
      </vt:variant>
      <vt:variant>
        <vt:i4>99</vt:i4>
      </vt:variant>
      <vt:variant>
        <vt:i4>0</vt:i4>
      </vt:variant>
      <vt:variant>
        <vt:i4>5</vt:i4>
      </vt:variant>
      <vt:variant>
        <vt:lpwstr>https://www.abdn.ac.uk/media/site/staffnet/documents/RAG-Terms-of-Reference-Revised-April-2024.docx</vt:lpwstr>
      </vt:variant>
      <vt:variant>
        <vt:lpwstr/>
      </vt:variant>
      <vt:variant>
        <vt:i4>7667776</vt:i4>
      </vt:variant>
      <vt:variant>
        <vt:i4>96</vt:i4>
      </vt:variant>
      <vt:variant>
        <vt:i4>0</vt:i4>
      </vt:variant>
      <vt:variant>
        <vt:i4>5</vt:i4>
      </vt:variant>
      <vt:variant>
        <vt:lpwstr>https://365abdn.sharepoint.com/teams/ResilienceSite_GEN/SitePages/HOME-PAGE.aspx</vt:lpwstr>
      </vt:variant>
      <vt:variant>
        <vt:lpwstr/>
      </vt:variant>
      <vt:variant>
        <vt:i4>1703999</vt:i4>
      </vt:variant>
      <vt:variant>
        <vt:i4>93</vt:i4>
      </vt:variant>
      <vt:variant>
        <vt:i4>0</vt:i4>
      </vt:variant>
      <vt:variant>
        <vt:i4>5</vt:i4>
      </vt:variant>
      <vt:variant>
        <vt:lpwstr>https://365abdn.sharepoint.com/teams/ResilienceSite_GEN/Shared Documents/Forms/AllItems.aspx?id=%2Fteams%2FResilienceSite%5FGEN%2FShared%20Documents%2FGeneral%2FRESILIENCE%20PLAN%20Final%20draft%2Epdf&amp;parent=%2Fteams%2FResilienceSite%5FGEN%2FShared%20Documents%2FGeneral</vt:lpwstr>
      </vt:variant>
      <vt:variant>
        <vt:lpwstr/>
      </vt:variant>
      <vt:variant>
        <vt:i4>1703988</vt:i4>
      </vt:variant>
      <vt:variant>
        <vt:i4>86</vt:i4>
      </vt:variant>
      <vt:variant>
        <vt:i4>0</vt:i4>
      </vt:variant>
      <vt:variant>
        <vt:i4>5</vt:i4>
      </vt:variant>
      <vt:variant>
        <vt:lpwstr/>
      </vt:variant>
      <vt:variant>
        <vt:lpwstr>_Toc210124494</vt:lpwstr>
      </vt:variant>
      <vt:variant>
        <vt:i4>1703988</vt:i4>
      </vt:variant>
      <vt:variant>
        <vt:i4>80</vt:i4>
      </vt:variant>
      <vt:variant>
        <vt:i4>0</vt:i4>
      </vt:variant>
      <vt:variant>
        <vt:i4>5</vt:i4>
      </vt:variant>
      <vt:variant>
        <vt:lpwstr/>
      </vt:variant>
      <vt:variant>
        <vt:lpwstr>_Toc210124493</vt:lpwstr>
      </vt:variant>
      <vt:variant>
        <vt:i4>1703988</vt:i4>
      </vt:variant>
      <vt:variant>
        <vt:i4>74</vt:i4>
      </vt:variant>
      <vt:variant>
        <vt:i4>0</vt:i4>
      </vt:variant>
      <vt:variant>
        <vt:i4>5</vt:i4>
      </vt:variant>
      <vt:variant>
        <vt:lpwstr/>
      </vt:variant>
      <vt:variant>
        <vt:lpwstr>_Toc210124492</vt:lpwstr>
      </vt:variant>
      <vt:variant>
        <vt:i4>1703988</vt:i4>
      </vt:variant>
      <vt:variant>
        <vt:i4>68</vt:i4>
      </vt:variant>
      <vt:variant>
        <vt:i4>0</vt:i4>
      </vt:variant>
      <vt:variant>
        <vt:i4>5</vt:i4>
      </vt:variant>
      <vt:variant>
        <vt:lpwstr/>
      </vt:variant>
      <vt:variant>
        <vt:lpwstr>_Toc210124491</vt:lpwstr>
      </vt:variant>
      <vt:variant>
        <vt:i4>1703988</vt:i4>
      </vt:variant>
      <vt:variant>
        <vt:i4>62</vt:i4>
      </vt:variant>
      <vt:variant>
        <vt:i4>0</vt:i4>
      </vt:variant>
      <vt:variant>
        <vt:i4>5</vt:i4>
      </vt:variant>
      <vt:variant>
        <vt:lpwstr/>
      </vt:variant>
      <vt:variant>
        <vt:lpwstr>_Toc210124490</vt:lpwstr>
      </vt:variant>
      <vt:variant>
        <vt:i4>1769524</vt:i4>
      </vt:variant>
      <vt:variant>
        <vt:i4>56</vt:i4>
      </vt:variant>
      <vt:variant>
        <vt:i4>0</vt:i4>
      </vt:variant>
      <vt:variant>
        <vt:i4>5</vt:i4>
      </vt:variant>
      <vt:variant>
        <vt:lpwstr/>
      </vt:variant>
      <vt:variant>
        <vt:lpwstr>_Toc210124489</vt:lpwstr>
      </vt:variant>
      <vt:variant>
        <vt:i4>1769524</vt:i4>
      </vt:variant>
      <vt:variant>
        <vt:i4>50</vt:i4>
      </vt:variant>
      <vt:variant>
        <vt:i4>0</vt:i4>
      </vt:variant>
      <vt:variant>
        <vt:i4>5</vt:i4>
      </vt:variant>
      <vt:variant>
        <vt:lpwstr/>
      </vt:variant>
      <vt:variant>
        <vt:lpwstr>_Toc210124488</vt:lpwstr>
      </vt:variant>
      <vt:variant>
        <vt:i4>1769524</vt:i4>
      </vt:variant>
      <vt:variant>
        <vt:i4>44</vt:i4>
      </vt:variant>
      <vt:variant>
        <vt:i4>0</vt:i4>
      </vt:variant>
      <vt:variant>
        <vt:i4>5</vt:i4>
      </vt:variant>
      <vt:variant>
        <vt:lpwstr/>
      </vt:variant>
      <vt:variant>
        <vt:lpwstr>_Toc210124487</vt:lpwstr>
      </vt:variant>
      <vt:variant>
        <vt:i4>1769524</vt:i4>
      </vt:variant>
      <vt:variant>
        <vt:i4>38</vt:i4>
      </vt:variant>
      <vt:variant>
        <vt:i4>0</vt:i4>
      </vt:variant>
      <vt:variant>
        <vt:i4>5</vt:i4>
      </vt:variant>
      <vt:variant>
        <vt:lpwstr/>
      </vt:variant>
      <vt:variant>
        <vt:lpwstr>_Toc210124486</vt:lpwstr>
      </vt:variant>
      <vt:variant>
        <vt:i4>1769524</vt:i4>
      </vt:variant>
      <vt:variant>
        <vt:i4>32</vt:i4>
      </vt:variant>
      <vt:variant>
        <vt:i4>0</vt:i4>
      </vt:variant>
      <vt:variant>
        <vt:i4>5</vt:i4>
      </vt:variant>
      <vt:variant>
        <vt:lpwstr/>
      </vt:variant>
      <vt:variant>
        <vt:lpwstr>_Toc210124485</vt:lpwstr>
      </vt:variant>
      <vt:variant>
        <vt:i4>1769524</vt:i4>
      </vt:variant>
      <vt:variant>
        <vt:i4>26</vt:i4>
      </vt:variant>
      <vt:variant>
        <vt:i4>0</vt:i4>
      </vt:variant>
      <vt:variant>
        <vt:i4>5</vt:i4>
      </vt:variant>
      <vt:variant>
        <vt:lpwstr/>
      </vt:variant>
      <vt:variant>
        <vt:lpwstr>_Toc210124480</vt:lpwstr>
      </vt:variant>
      <vt:variant>
        <vt:i4>1310772</vt:i4>
      </vt:variant>
      <vt:variant>
        <vt:i4>20</vt:i4>
      </vt:variant>
      <vt:variant>
        <vt:i4>0</vt:i4>
      </vt:variant>
      <vt:variant>
        <vt:i4>5</vt:i4>
      </vt:variant>
      <vt:variant>
        <vt:lpwstr/>
      </vt:variant>
      <vt:variant>
        <vt:lpwstr>_Toc210124479</vt:lpwstr>
      </vt:variant>
      <vt:variant>
        <vt:i4>1310772</vt:i4>
      </vt:variant>
      <vt:variant>
        <vt:i4>14</vt:i4>
      </vt:variant>
      <vt:variant>
        <vt:i4>0</vt:i4>
      </vt:variant>
      <vt:variant>
        <vt:i4>5</vt:i4>
      </vt:variant>
      <vt:variant>
        <vt:lpwstr/>
      </vt:variant>
      <vt:variant>
        <vt:lpwstr>_Toc210124478</vt:lpwstr>
      </vt:variant>
      <vt:variant>
        <vt:i4>1310772</vt:i4>
      </vt:variant>
      <vt:variant>
        <vt:i4>8</vt:i4>
      </vt:variant>
      <vt:variant>
        <vt:i4>0</vt:i4>
      </vt:variant>
      <vt:variant>
        <vt:i4>5</vt:i4>
      </vt:variant>
      <vt:variant>
        <vt:lpwstr/>
      </vt:variant>
      <vt:variant>
        <vt:lpwstr>_Toc210124477</vt:lpwstr>
      </vt:variant>
      <vt:variant>
        <vt:i4>1310772</vt:i4>
      </vt:variant>
      <vt:variant>
        <vt:i4>2</vt:i4>
      </vt:variant>
      <vt:variant>
        <vt:i4>0</vt:i4>
      </vt:variant>
      <vt:variant>
        <vt:i4>5</vt:i4>
      </vt:variant>
      <vt:variant>
        <vt:lpwstr/>
      </vt:variant>
      <vt:variant>
        <vt:lpwstr>_Toc210124476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dc:description/>
  <cp:lastModifiedBy>Johnston, Joe</cp:lastModifiedBy>
  <cp:revision>10</cp:revision>
  <dcterms:created xsi:type="dcterms:W3CDTF">2025-10-01T07:11:00Z</dcterms:created>
  <dcterms:modified xsi:type="dcterms:W3CDTF">2026-01-20T09:28:00Z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0x01010064A8571FC2CE994398A40C7D9B64D4F7</vt:lpwstr>
  </property>
  <property fmtid="{D5CDD505-2E9C-101B-9397-08002B2CF9AE}" pid="3" name="MediaServiceImageTags">
    <vt:lpwstr/>
  </property>
</Properties>
</file>