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F578" w14:textId="1F35735F" w:rsidR="00F053FA" w:rsidRPr="00E203F1" w:rsidRDefault="00673341" w:rsidP="00801D07">
      <w:pPr>
        <w:pStyle w:val="Heading1"/>
        <w:spacing w:before="81" w:line="300" w:lineRule="auto"/>
        <w:ind w:left="716" w:right="717" w:firstLine="1039"/>
        <w:jc w:val="center"/>
      </w:pPr>
      <w:r w:rsidRPr="00E203F1">
        <w:t xml:space="preserve">University of Aberdeen Research Data Management Policy </w:t>
      </w:r>
      <w:bookmarkStart w:id="0" w:name="Supporting_Researcher-Centred_Data_Manag"/>
      <w:bookmarkEnd w:id="0"/>
    </w:p>
    <w:p w14:paraId="2DA2BBE9" w14:textId="77777777" w:rsidR="00F053FA" w:rsidRPr="00E203F1" w:rsidRDefault="00F053FA" w:rsidP="105DB403">
      <w:pPr>
        <w:pStyle w:val="BodyText"/>
        <w:spacing w:before="200"/>
        <w:rPr>
          <w:b/>
          <w:bCs/>
        </w:rPr>
      </w:pPr>
    </w:p>
    <w:p w14:paraId="20CC8F77" w14:textId="668F5BF6" w:rsidR="2DC5542F" w:rsidRDefault="2DC5542F" w:rsidP="00801D07">
      <w:pPr>
        <w:pStyle w:val="BodyText"/>
        <w:numPr>
          <w:ilvl w:val="0"/>
          <w:numId w:val="1"/>
        </w:numPr>
        <w:spacing w:before="200"/>
        <w:ind w:left="360"/>
        <w:rPr>
          <w:b/>
          <w:bCs/>
        </w:rPr>
      </w:pPr>
      <w:r w:rsidRPr="105DB403">
        <w:rPr>
          <w:b/>
          <w:bCs/>
        </w:rPr>
        <w:t>INTRODUCTION</w:t>
      </w:r>
    </w:p>
    <w:p w14:paraId="2C095B2C" w14:textId="1FAFF1A0" w:rsidR="2DC5542F" w:rsidRDefault="2DC5542F" w:rsidP="00801D07">
      <w:pPr>
        <w:pStyle w:val="BodyText"/>
        <w:spacing w:before="200"/>
        <w:ind w:left="270" w:hanging="270"/>
        <w:rPr>
          <w:b/>
          <w:bCs/>
        </w:rPr>
      </w:pPr>
      <w:r w:rsidRPr="105DB403">
        <w:rPr>
          <w:b/>
          <w:bCs/>
        </w:rPr>
        <w:t xml:space="preserve">1.1 </w:t>
      </w:r>
      <w:r w:rsidR="45A0D7D0" w:rsidRPr="105DB403">
        <w:rPr>
          <w:b/>
          <w:bCs/>
        </w:rPr>
        <w:t>Purpose</w:t>
      </w:r>
    </w:p>
    <w:p w14:paraId="4A15C763" w14:textId="6C8C2FB6" w:rsidR="105DB403" w:rsidRDefault="105DB403" w:rsidP="00801D07">
      <w:pPr>
        <w:pStyle w:val="BodyText"/>
        <w:ind w:left="23" w:right="23"/>
      </w:pPr>
    </w:p>
    <w:p w14:paraId="0D716FBC" w14:textId="7C3061F8" w:rsidR="00F053FA" w:rsidRPr="00E203F1" w:rsidRDefault="00801D07" w:rsidP="00801D07">
      <w:pPr>
        <w:pStyle w:val="BodyText"/>
        <w:ind w:left="567" w:right="23" w:hanging="544"/>
      </w:pPr>
      <w:r>
        <w:t xml:space="preserve">1.1.1 </w:t>
      </w:r>
      <w:r>
        <w:tab/>
      </w:r>
      <w:r w:rsidR="70DA09D0" w:rsidRPr="00E203F1">
        <w:t>As</w:t>
      </w:r>
      <w:r w:rsidR="70DA09D0" w:rsidRPr="00E203F1">
        <w:rPr>
          <w:spacing w:val="-10"/>
        </w:rPr>
        <w:t xml:space="preserve"> </w:t>
      </w:r>
      <w:r w:rsidR="70DA09D0" w:rsidRPr="00E203F1">
        <w:t>an</w:t>
      </w:r>
      <w:r w:rsidR="70DA09D0" w:rsidRPr="00E203F1">
        <w:rPr>
          <w:spacing w:val="-11"/>
        </w:rPr>
        <w:t xml:space="preserve"> </w:t>
      </w:r>
      <w:r w:rsidR="70DA09D0" w:rsidRPr="00E203F1">
        <w:t>organisation</w:t>
      </w:r>
      <w:r w:rsidR="70DA09D0" w:rsidRPr="00E203F1">
        <w:rPr>
          <w:spacing w:val="-11"/>
        </w:rPr>
        <w:t xml:space="preserve"> </w:t>
      </w:r>
      <w:r w:rsidR="70DA09D0" w:rsidRPr="00E203F1">
        <w:t>which</w:t>
      </w:r>
      <w:r w:rsidR="70DA09D0" w:rsidRPr="00E203F1">
        <w:rPr>
          <w:spacing w:val="-11"/>
        </w:rPr>
        <w:t xml:space="preserve"> </w:t>
      </w:r>
      <w:r w:rsidR="70DA09D0" w:rsidRPr="00E203F1">
        <w:t>creates</w:t>
      </w:r>
      <w:r w:rsidR="70DA09D0" w:rsidRPr="00E203F1">
        <w:rPr>
          <w:spacing w:val="-10"/>
        </w:rPr>
        <w:t xml:space="preserve"> </w:t>
      </w:r>
      <w:r w:rsidR="70DA09D0" w:rsidRPr="00E203F1">
        <w:t>and</w:t>
      </w:r>
      <w:r w:rsidR="70DA09D0" w:rsidRPr="00E203F1">
        <w:rPr>
          <w:spacing w:val="-11"/>
        </w:rPr>
        <w:t xml:space="preserve"> </w:t>
      </w:r>
      <w:r w:rsidR="70DA09D0" w:rsidRPr="00E203F1">
        <w:t>uses</w:t>
      </w:r>
      <w:r w:rsidR="70DA09D0" w:rsidRPr="00E203F1">
        <w:rPr>
          <w:spacing w:val="-10"/>
        </w:rPr>
        <w:t xml:space="preserve"> </w:t>
      </w:r>
      <w:r w:rsidR="70DA09D0" w:rsidRPr="00E203F1">
        <w:t>knowledge</w:t>
      </w:r>
      <w:r w:rsidR="70DA09D0" w:rsidRPr="00E203F1">
        <w:rPr>
          <w:spacing w:val="-11"/>
        </w:rPr>
        <w:t xml:space="preserve"> </w:t>
      </w:r>
      <w:r w:rsidR="0D83EEA3" w:rsidRPr="00E203F1">
        <w:t>for the benefit of society</w:t>
      </w:r>
      <w:r w:rsidR="70DA09D0" w:rsidRPr="00E203F1">
        <w:t>,</w:t>
      </w:r>
      <w:r w:rsidR="70DA09D0" w:rsidRPr="00E203F1">
        <w:rPr>
          <w:spacing w:val="-11"/>
        </w:rPr>
        <w:t xml:space="preserve"> </w:t>
      </w:r>
      <w:r w:rsidR="70DA09D0" w:rsidRPr="00E203F1">
        <w:t>the</w:t>
      </w:r>
      <w:r w:rsidR="70DA09D0" w:rsidRPr="00E203F1">
        <w:rPr>
          <w:spacing w:val="-11"/>
        </w:rPr>
        <w:t xml:space="preserve"> </w:t>
      </w:r>
      <w:r w:rsidR="70DA09D0" w:rsidRPr="00E203F1">
        <w:t>University</w:t>
      </w:r>
      <w:r w:rsidR="70DA09D0" w:rsidRPr="00E203F1">
        <w:rPr>
          <w:spacing w:val="-10"/>
        </w:rPr>
        <w:t xml:space="preserve"> </w:t>
      </w:r>
      <w:r w:rsidR="70DA09D0" w:rsidRPr="00E203F1">
        <w:t>of</w:t>
      </w:r>
      <w:r w:rsidR="70DA09D0" w:rsidRPr="00E203F1">
        <w:rPr>
          <w:spacing w:val="-11"/>
        </w:rPr>
        <w:t xml:space="preserve"> </w:t>
      </w:r>
      <w:r w:rsidR="70DA09D0" w:rsidRPr="00E203F1">
        <w:t>Aberdeen wishes</w:t>
      </w:r>
      <w:r w:rsidR="70DA09D0" w:rsidRPr="00E203F1">
        <w:rPr>
          <w:spacing w:val="-5"/>
        </w:rPr>
        <w:t xml:space="preserve"> </w:t>
      </w:r>
      <w:r w:rsidR="70DA09D0" w:rsidRPr="00E203F1">
        <w:t>to</w:t>
      </w:r>
      <w:r w:rsidR="70DA09D0" w:rsidRPr="00E203F1">
        <w:rPr>
          <w:spacing w:val="-4"/>
        </w:rPr>
        <w:t xml:space="preserve"> </w:t>
      </w:r>
      <w:r w:rsidR="70DA09D0" w:rsidRPr="00E203F1">
        <w:t>make</w:t>
      </w:r>
      <w:r w:rsidR="70DA09D0" w:rsidRPr="00E203F1">
        <w:rPr>
          <w:spacing w:val="-4"/>
        </w:rPr>
        <w:t xml:space="preserve"> </w:t>
      </w:r>
      <w:r w:rsidR="70DA09D0" w:rsidRPr="00E203F1">
        <w:t>its</w:t>
      </w:r>
      <w:r w:rsidR="70DA09D0" w:rsidRPr="00E203F1">
        <w:rPr>
          <w:spacing w:val="-5"/>
        </w:rPr>
        <w:t xml:space="preserve"> </w:t>
      </w:r>
      <w:r w:rsidR="70DA09D0" w:rsidRPr="00E203F1">
        <w:t>research</w:t>
      </w:r>
      <w:r w:rsidR="70DA09D0" w:rsidRPr="00E203F1">
        <w:rPr>
          <w:spacing w:val="-7"/>
        </w:rPr>
        <w:t xml:space="preserve"> </w:t>
      </w:r>
      <w:r w:rsidR="70DA09D0" w:rsidRPr="00E203F1">
        <w:t>outputs</w:t>
      </w:r>
      <w:r w:rsidR="70DA09D0" w:rsidRPr="00E203F1">
        <w:rPr>
          <w:spacing w:val="-5"/>
        </w:rPr>
        <w:t xml:space="preserve"> </w:t>
      </w:r>
      <w:r w:rsidR="70DA09D0" w:rsidRPr="00E203F1">
        <w:t>(publications</w:t>
      </w:r>
      <w:r w:rsidR="70DA09D0" w:rsidRPr="00E203F1">
        <w:rPr>
          <w:spacing w:val="-5"/>
        </w:rPr>
        <w:t xml:space="preserve"> </w:t>
      </w:r>
      <w:r w:rsidR="70DA09D0" w:rsidRPr="00E203F1">
        <w:t>and</w:t>
      </w:r>
      <w:r w:rsidR="70DA09D0" w:rsidRPr="00E203F1">
        <w:rPr>
          <w:spacing w:val="-4"/>
        </w:rPr>
        <w:t xml:space="preserve"> </w:t>
      </w:r>
      <w:r w:rsidR="70DA09D0" w:rsidRPr="00E203F1">
        <w:t>the</w:t>
      </w:r>
      <w:r w:rsidR="70DA09D0" w:rsidRPr="00E203F1">
        <w:rPr>
          <w:spacing w:val="-7"/>
        </w:rPr>
        <w:t xml:space="preserve"> </w:t>
      </w:r>
      <w:r w:rsidR="70DA09D0" w:rsidRPr="00E203F1">
        <w:t>underlying</w:t>
      </w:r>
      <w:r w:rsidR="70DA09D0" w:rsidRPr="00E203F1">
        <w:rPr>
          <w:spacing w:val="-7"/>
        </w:rPr>
        <w:t xml:space="preserve"> </w:t>
      </w:r>
      <w:r w:rsidR="70DA09D0" w:rsidRPr="00E203F1">
        <w:t>research</w:t>
      </w:r>
      <w:r w:rsidR="70DA09D0" w:rsidRPr="00E203F1">
        <w:rPr>
          <w:spacing w:val="-7"/>
        </w:rPr>
        <w:t xml:space="preserve"> </w:t>
      </w:r>
      <w:r w:rsidR="70DA09D0" w:rsidRPr="00E203F1">
        <w:t>data)</w:t>
      </w:r>
      <w:r w:rsidR="70DA09D0" w:rsidRPr="00E203F1">
        <w:rPr>
          <w:spacing w:val="-5"/>
        </w:rPr>
        <w:t xml:space="preserve"> </w:t>
      </w:r>
      <w:r w:rsidR="70DA09D0" w:rsidRPr="00E203F1">
        <w:t>as</w:t>
      </w:r>
      <w:r w:rsidR="70DA09D0" w:rsidRPr="00E203F1">
        <w:rPr>
          <w:spacing w:val="-5"/>
        </w:rPr>
        <w:t xml:space="preserve"> </w:t>
      </w:r>
      <w:r w:rsidR="70DA09D0" w:rsidRPr="00E203F1">
        <w:t>freely</w:t>
      </w:r>
      <w:r w:rsidR="70DA09D0" w:rsidRPr="00E203F1">
        <w:rPr>
          <w:spacing w:val="-5"/>
        </w:rPr>
        <w:t xml:space="preserve"> </w:t>
      </w:r>
      <w:r w:rsidR="70DA09D0" w:rsidRPr="00E203F1">
        <w:t>available as possible, with the minimum of delay.</w:t>
      </w:r>
      <w:r w:rsidR="70DA09D0" w:rsidRPr="00E203F1">
        <w:rPr>
          <w:spacing w:val="40"/>
        </w:rPr>
        <w:t xml:space="preserve"> </w:t>
      </w:r>
      <w:r w:rsidR="70DA09D0" w:rsidRPr="00E203F1">
        <w:t>At the same time, we ensure that we meet all legislative and ethical obligations to protect the rights and privacy of individuals and minimi</w:t>
      </w:r>
      <w:r w:rsidR="00E203F1" w:rsidRPr="00E203F1">
        <w:t>s</w:t>
      </w:r>
      <w:r w:rsidR="70DA09D0" w:rsidRPr="00E203F1">
        <w:t xml:space="preserve">e the potential for harm. We comply with </w:t>
      </w:r>
      <w:hyperlink r:id="rId11" w:history="1">
        <w:r w:rsidR="70DA09D0" w:rsidRPr="00E203F1">
          <w:rPr>
            <w:rStyle w:val="Hyperlink"/>
          </w:rPr>
          <w:t xml:space="preserve">UKRI’s Common Principles on </w:t>
        </w:r>
        <w:r w:rsidR="00765C41">
          <w:rPr>
            <w:rStyle w:val="Hyperlink"/>
          </w:rPr>
          <w:t xml:space="preserve">Research </w:t>
        </w:r>
        <w:r w:rsidR="70DA09D0" w:rsidRPr="00E203F1">
          <w:rPr>
            <w:rStyle w:val="Hyperlink"/>
          </w:rPr>
          <w:t>Data</w:t>
        </w:r>
      </w:hyperlink>
      <w:r w:rsidR="70DA09D0" w:rsidRPr="00E203F1">
        <w:t xml:space="preserve"> and the </w:t>
      </w:r>
      <w:hyperlink r:id="rId12" w:anchor=":~:text=This%20concordat%20will%20help%20to%20ensure%20research%20data,and%20with%20due%20regard%20to%20the%20costs%20involved." w:history="1">
        <w:r w:rsidR="70DA09D0" w:rsidRPr="00E203F1">
          <w:rPr>
            <w:rStyle w:val="Hyperlink"/>
          </w:rPr>
          <w:t>Concordat on Open Research Data</w:t>
        </w:r>
      </w:hyperlink>
      <w:r w:rsidR="00E203F1" w:rsidRPr="00E203F1">
        <w:t xml:space="preserve">. </w:t>
      </w:r>
      <w:r w:rsidR="00673341" w:rsidRPr="00E203F1">
        <w:t>Managing and sharing research data effectively is fundamental to facilitating high quality research practice, supporting our commitment to research excellence and good research governance.</w:t>
      </w:r>
    </w:p>
    <w:p w14:paraId="0E37F123" w14:textId="77777777" w:rsidR="00E203F1" w:rsidRPr="00E203F1" w:rsidRDefault="00E203F1" w:rsidP="00801D07">
      <w:pPr>
        <w:pStyle w:val="BodyText"/>
        <w:ind w:left="567" w:right="23" w:hanging="544"/>
      </w:pPr>
    </w:p>
    <w:p w14:paraId="53D83BFD" w14:textId="2191CBED" w:rsidR="00F053FA" w:rsidRDefault="00801D07" w:rsidP="00801D07">
      <w:pPr>
        <w:pStyle w:val="BodyText"/>
        <w:ind w:left="567" w:right="21" w:hanging="544"/>
      </w:pPr>
      <w:r>
        <w:t>1.1.2</w:t>
      </w:r>
      <w:r>
        <w:tab/>
      </w:r>
      <w:r w:rsidR="70DA09D0" w:rsidRPr="00E203F1">
        <w:t xml:space="preserve">The University outlines below the main principles of the </w:t>
      </w:r>
      <w:r w:rsidR="000A1CC3">
        <w:t>P</w:t>
      </w:r>
      <w:r w:rsidR="70DA09D0" w:rsidRPr="00E203F1">
        <w:t>olicy for the appropriate management and sharing</w:t>
      </w:r>
      <w:r w:rsidR="70DA09D0" w:rsidRPr="00801D07">
        <w:t xml:space="preserve"> </w:t>
      </w:r>
      <w:r w:rsidR="70DA09D0" w:rsidRPr="00E203F1">
        <w:t>of</w:t>
      </w:r>
      <w:r w:rsidR="70DA09D0" w:rsidRPr="00801D07">
        <w:t xml:space="preserve"> </w:t>
      </w:r>
      <w:r w:rsidR="70DA09D0" w:rsidRPr="00E203F1">
        <w:t>all</w:t>
      </w:r>
      <w:r w:rsidR="70DA09D0" w:rsidRPr="00801D07">
        <w:t xml:space="preserve"> </w:t>
      </w:r>
      <w:r w:rsidR="70DA09D0" w:rsidRPr="00E203F1">
        <w:t>research</w:t>
      </w:r>
      <w:r w:rsidR="70DA09D0" w:rsidRPr="00801D07">
        <w:t xml:space="preserve"> </w:t>
      </w:r>
      <w:r w:rsidR="70DA09D0" w:rsidRPr="00E203F1">
        <w:t xml:space="preserve">data </w:t>
      </w:r>
      <w:r w:rsidR="00E203F1">
        <w:t xml:space="preserve">that </w:t>
      </w:r>
      <w:r w:rsidR="70DA09D0" w:rsidRPr="00801D07">
        <w:t>is</w:t>
      </w:r>
      <w:r w:rsidR="70DA09D0" w:rsidRPr="00E203F1">
        <w:t xml:space="preserve"> </w:t>
      </w:r>
      <w:r w:rsidR="70DA09D0" w:rsidRPr="00801D07">
        <w:t>generated</w:t>
      </w:r>
      <w:r w:rsidR="70DA09D0" w:rsidRPr="00E203F1">
        <w:t xml:space="preserve"> </w:t>
      </w:r>
      <w:r w:rsidR="70DA09D0" w:rsidRPr="00801D07">
        <w:t>as</w:t>
      </w:r>
      <w:r w:rsidR="70DA09D0" w:rsidRPr="00E203F1">
        <w:t xml:space="preserve"> </w:t>
      </w:r>
      <w:r w:rsidR="70DA09D0" w:rsidRPr="00801D07">
        <w:t>a</w:t>
      </w:r>
      <w:r w:rsidR="70DA09D0" w:rsidRPr="00E203F1">
        <w:t xml:space="preserve"> </w:t>
      </w:r>
      <w:r w:rsidR="70DA09D0" w:rsidRPr="00801D07">
        <w:t>result</w:t>
      </w:r>
      <w:r w:rsidR="70DA09D0" w:rsidRPr="00E203F1">
        <w:t xml:space="preserve"> </w:t>
      </w:r>
      <w:r w:rsidR="70DA09D0" w:rsidRPr="00801D07">
        <w:t>of</w:t>
      </w:r>
      <w:r w:rsidR="70DA09D0" w:rsidRPr="00E203F1">
        <w:t xml:space="preserve"> </w:t>
      </w:r>
      <w:r w:rsidR="70DA09D0" w:rsidRPr="00801D07">
        <w:t>University</w:t>
      </w:r>
      <w:r w:rsidR="70DA09D0" w:rsidRPr="00E203F1">
        <w:t xml:space="preserve"> </w:t>
      </w:r>
      <w:r w:rsidR="70DA09D0" w:rsidRPr="00801D07">
        <w:t>research</w:t>
      </w:r>
      <w:r w:rsidR="70DA09D0" w:rsidRPr="00E203F1">
        <w:t xml:space="preserve"> </w:t>
      </w:r>
      <w:r w:rsidR="70DA09D0" w:rsidRPr="00801D07">
        <w:t>activity,</w:t>
      </w:r>
      <w:r w:rsidR="70DA09D0" w:rsidRPr="00E203F1">
        <w:t xml:space="preserve"> </w:t>
      </w:r>
      <w:r w:rsidR="70DA09D0" w:rsidRPr="00801D07">
        <w:t>throughout</w:t>
      </w:r>
      <w:r w:rsidR="70DA09D0" w:rsidRPr="00E203F1">
        <w:t xml:space="preserve"> the life of the project and beyond, to ensure </w:t>
      </w:r>
      <w:r w:rsidR="70DA09D0" w:rsidRPr="00542AAA">
        <w:t>that researchers comply</w:t>
      </w:r>
      <w:r w:rsidR="70DA09D0" w:rsidRPr="00E203F1">
        <w:t xml:space="preserve"> with legislative, funding body, data owner, and internal policy and audit requirements, and that, where appropriate, the data remains discoverable, available and usable over time, for future validation, access and re-use.</w:t>
      </w:r>
    </w:p>
    <w:p w14:paraId="5B0EFED1" w14:textId="77777777" w:rsidR="00E203F1" w:rsidRPr="00E203F1" w:rsidRDefault="00E203F1" w:rsidP="00801D07">
      <w:pPr>
        <w:pStyle w:val="BodyText"/>
        <w:ind w:left="567" w:right="21" w:hanging="544"/>
      </w:pPr>
    </w:p>
    <w:p w14:paraId="298237B2" w14:textId="0D7326F1" w:rsidR="00F053FA" w:rsidRPr="00E203F1" w:rsidRDefault="00801D07" w:rsidP="00801D07">
      <w:pPr>
        <w:pStyle w:val="BodyText"/>
        <w:ind w:left="567" w:right="21" w:hanging="544"/>
      </w:pPr>
      <w:r>
        <w:t>1.1.3</w:t>
      </w:r>
      <w:r>
        <w:tab/>
      </w:r>
      <w:r w:rsidR="00673341" w:rsidRPr="00E203F1">
        <w:t>The</w:t>
      </w:r>
      <w:r w:rsidR="00673341" w:rsidRPr="00E203F1">
        <w:rPr>
          <w:spacing w:val="-1"/>
        </w:rPr>
        <w:t xml:space="preserve"> </w:t>
      </w:r>
      <w:r w:rsidR="00673341" w:rsidRPr="00E203F1">
        <w:t>University aims to</w:t>
      </w:r>
      <w:r w:rsidR="00673341" w:rsidRPr="00E203F1">
        <w:rPr>
          <w:spacing w:val="-1"/>
        </w:rPr>
        <w:t xml:space="preserve"> </w:t>
      </w:r>
      <w:r w:rsidR="00673341" w:rsidRPr="00E203F1">
        <w:t>support</w:t>
      </w:r>
      <w:r w:rsidR="00673341" w:rsidRPr="00E203F1">
        <w:rPr>
          <w:spacing w:val="-1"/>
        </w:rPr>
        <w:t xml:space="preserve"> </w:t>
      </w:r>
      <w:r w:rsidR="00673341" w:rsidRPr="00E203F1">
        <w:t>the</w:t>
      </w:r>
      <w:r w:rsidR="00673341" w:rsidRPr="00E203F1">
        <w:rPr>
          <w:spacing w:val="-1"/>
        </w:rPr>
        <w:t xml:space="preserve"> </w:t>
      </w:r>
      <w:r w:rsidR="00673341" w:rsidRPr="00E203F1">
        <w:t>open research agenda</w:t>
      </w:r>
      <w:r w:rsidR="00673341" w:rsidRPr="00E203F1">
        <w:rPr>
          <w:spacing w:val="-1"/>
        </w:rPr>
        <w:t xml:space="preserve"> </w:t>
      </w:r>
      <w:r w:rsidR="00673341" w:rsidRPr="00E203F1">
        <w:t>for both data</w:t>
      </w:r>
      <w:r w:rsidR="00673341" w:rsidRPr="00E203F1">
        <w:rPr>
          <w:spacing w:val="-1"/>
        </w:rPr>
        <w:t xml:space="preserve"> </w:t>
      </w:r>
      <w:r w:rsidR="00673341" w:rsidRPr="00E203F1">
        <w:t>and</w:t>
      </w:r>
      <w:r w:rsidR="00673341" w:rsidRPr="00E203F1">
        <w:rPr>
          <w:spacing w:val="-1"/>
        </w:rPr>
        <w:t xml:space="preserve"> </w:t>
      </w:r>
      <w:r w:rsidR="00673341" w:rsidRPr="00E203F1">
        <w:t xml:space="preserve">publications to make data more accessible </w:t>
      </w:r>
      <w:r w:rsidR="00673341" w:rsidRPr="00542AAA">
        <w:t>to researchers and</w:t>
      </w:r>
      <w:r w:rsidR="00673341" w:rsidRPr="00E203F1">
        <w:t xml:space="preserve"> to share resources across institutions </w:t>
      </w:r>
      <w:proofErr w:type="gramStart"/>
      <w:r w:rsidR="00673341" w:rsidRPr="00E203F1">
        <w:t>in order to</w:t>
      </w:r>
      <w:proofErr w:type="gramEnd"/>
      <w:r w:rsidR="00673341" w:rsidRPr="00E203F1">
        <w:t xml:space="preserve"> create impact, recognition, curation, and influence, and ensure longevity and visibility.</w:t>
      </w:r>
    </w:p>
    <w:p w14:paraId="039F78E4" w14:textId="77777777" w:rsidR="00F053FA" w:rsidRPr="00E203F1" w:rsidRDefault="00F053FA" w:rsidP="00801D07">
      <w:pPr>
        <w:pStyle w:val="BodyText"/>
      </w:pPr>
    </w:p>
    <w:p w14:paraId="17ED7269" w14:textId="0E031CAD" w:rsidR="00F053FA" w:rsidRDefault="135FB28C" w:rsidP="00801D07">
      <w:pPr>
        <w:pStyle w:val="Heading1"/>
        <w:ind w:left="22"/>
      </w:pPr>
      <w:bookmarkStart w:id="1" w:name="Scope"/>
      <w:bookmarkEnd w:id="1"/>
      <w:r w:rsidRPr="00E203F1">
        <w:rPr>
          <w:spacing w:val="-4"/>
        </w:rPr>
        <w:t xml:space="preserve">1.2 </w:t>
      </w:r>
      <w:r w:rsidR="00673341" w:rsidRPr="00E203F1">
        <w:rPr>
          <w:spacing w:val="-4"/>
        </w:rPr>
        <w:t>Scope</w:t>
      </w:r>
    </w:p>
    <w:p w14:paraId="108FFCC8" w14:textId="77777777" w:rsidR="00E529FD" w:rsidRPr="00E203F1" w:rsidRDefault="00E529FD" w:rsidP="00801D07">
      <w:pPr>
        <w:pStyle w:val="Heading1"/>
        <w:ind w:left="22"/>
      </w:pPr>
    </w:p>
    <w:p w14:paraId="0B4AE6BC" w14:textId="6E31B86C" w:rsidR="00F053FA" w:rsidRPr="00E203F1" w:rsidRDefault="00801D07" w:rsidP="00801D07">
      <w:pPr>
        <w:pStyle w:val="BodyText"/>
        <w:ind w:left="567" w:right="18" w:hanging="545"/>
      </w:pPr>
      <w:r>
        <w:t>1.2.1</w:t>
      </w:r>
      <w:r>
        <w:tab/>
      </w:r>
      <w:r w:rsidR="70DA09D0" w:rsidRPr="00E203F1">
        <w:t>The</w:t>
      </w:r>
      <w:r w:rsidR="70DA09D0" w:rsidRPr="00801D07">
        <w:t xml:space="preserve"> </w:t>
      </w:r>
      <w:r w:rsidR="70DA09D0" w:rsidRPr="00E203F1">
        <w:t>policy</w:t>
      </w:r>
      <w:r w:rsidR="70DA09D0" w:rsidRPr="00801D07">
        <w:t xml:space="preserve"> </w:t>
      </w:r>
      <w:r w:rsidR="70DA09D0" w:rsidRPr="00E203F1">
        <w:t>applies</w:t>
      </w:r>
      <w:r w:rsidR="70DA09D0" w:rsidRPr="00801D07">
        <w:t xml:space="preserve"> </w:t>
      </w:r>
      <w:r w:rsidR="70DA09D0" w:rsidRPr="00E203F1">
        <w:t>to</w:t>
      </w:r>
      <w:r w:rsidR="70DA09D0" w:rsidRPr="00801D07">
        <w:t xml:space="preserve"> </w:t>
      </w:r>
      <w:r w:rsidR="70DA09D0" w:rsidRPr="00E203F1">
        <w:t>all</w:t>
      </w:r>
      <w:r w:rsidR="70DA09D0" w:rsidRPr="00801D07">
        <w:t xml:space="preserve"> </w:t>
      </w:r>
      <w:r w:rsidR="70DA09D0" w:rsidRPr="00E203F1">
        <w:t>staff</w:t>
      </w:r>
      <w:r w:rsidR="70DA09D0" w:rsidRPr="00801D07">
        <w:t xml:space="preserve"> </w:t>
      </w:r>
      <w:r w:rsidR="70DA09D0" w:rsidRPr="00E203F1">
        <w:t>that</w:t>
      </w:r>
      <w:r w:rsidR="70DA09D0" w:rsidRPr="00801D07">
        <w:t xml:space="preserve"> </w:t>
      </w:r>
      <w:r w:rsidR="70DA09D0" w:rsidRPr="00E203F1">
        <w:t>are</w:t>
      </w:r>
      <w:r w:rsidR="70DA09D0" w:rsidRPr="00801D07">
        <w:t xml:space="preserve"> </w:t>
      </w:r>
      <w:r w:rsidR="70DA09D0" w:rsidRPr="00E203F1">
        <w:t>authorised</w:t>
      </w:r>
      <w:r w:rsidR="70DA09D0" w:rsidRPr="00801D07">
        <w:t xml:space="preserve"> </w:t>
      </w:r>
      <w:r w:rsidR="70DA09D0" w:rsidRPr="00E203F1">
        <w:t>to</w:t>
      </w:r>
      <w:r w:rsidR="70DA09D0" w:rsidRPr="00801D07">
        <w:t xml:space="preserve"> </w:t>
      </w:r>
      <w:r w:rsidR="70DA09D0" w:rsidRPr="00E203F1">
        <w:t>use</w:t>
      </w:r>
      <w:r w:rsidR="70DA09D0" w:rsidRPr="00801D07">
        <w:t xml:space="preserve"> </w:t>
      </w:r>
      <w:r w:rsidR="70DA09D0" w:rsidRPr="00E203F1">
        <w:t>the</w:t>
      </w:r>
      <w:r w:rsidR="70DA09D0" w:rsidRPr="00801D07">
        <w:t xml:space="preserve"> </w:t>
      </w:r>
      <w:r w:rsidR="70DA09D0" w:rsidRPr="00E203F1">
        <w:t>University’s</w:t>
      </w:r>
      <w:r w:rsidR="70DA09D0" w:rsidRPr="00801D07">
        <w:t xml:space="preserve"> </w:t>
      </w:r>
      <w:r w:rsidR="70DA09D0" w:rsidRPr="00E203F1">
        <w:t>name</w:t>
      </w:r>
      <w:r w:rsidR="70DA09D0" w:rsidRPr="00801D07">
        <w:t xml:space="preserve"> </w:t>
      </w:r>
      <w:r w:rsidR="70DA09D0" w:rsidRPr="00E203F1">
        <w:t>and</w:t>
      </w:r>
      <w:r w:rsidR="70DA09D0" w:rsidRPr="00801D07">
        <w:t xml:space="preserve"> </w:t>
      </w:r>
      <w:r w:rsidR="70DA09D0" w:rsidRPr="00E203F1">
        <w:t>services</w:t>
      </w:r>
      <w:r w:rsidR="70DA09D0" w:rsidRPr="00801D07">
        <w:t xml:space="preserve"> </w:t>
      </w:r>
      <w:proofErr w:type="gramStart"/>
      <w:r w:rsidR="70DA09D0" w:rsidRPr="00E203F1">
        <w:t>in</w:t>
      </w:r>
      <w:r w:rsidR="70DA09D0" w:rsidRPr="00801D07">
        <w:t xml:space="preserve"> </w:t>
      </w:r>
      <w:r w:rsidR="70DA09D0" w:rsidRPr="00E203F1">
        <w:t>the</w:t>
      </w:r>
      <w:r w:rsidR="70DA09D0" w:rsidRPr="00E203F1">
        <w:rPr>
          <w:spacing w:val="-13"/>
        </w:rPr>
        <w:t xml:space="preserve"> </w:t>
      </w:r>
      <w:r w:rsidR="70DA09D0" w:rsidRPr="00E203F1">
        <w:t>course of</w:t>
      </w:r>
      <w:proofErr w:type="gramEnd"/>
      <w:r w:rsidR="70DA09D0" w:rsidRPr="00E203F1">
        <w:t xml:space="preserve"> their research, including postgraduate </w:t>
      </w:r>
      <w:r w:rsidR="274E7593" w:rsidRPr="00E203F1">
        <w:t xml:space="preserve">research </w:t>
      </w:r>
      <w:r w:rsidR="70DA09D0" w:rsidRPr="00E203F1">
        <w:t>students</w:t>
      </w:r>
      <w:r w:rsidR="274E7593" w:rsidRPr="00E203F1">
        <w:t xml:space="preserve"> (PGR)</w:t>
      </w:r>
      <w:r w:rsidR="70DA09D0" w:rsidRPr="00E203F1">
        <w:t xml:space="preserve"> and visiting, honorary, and emeritus staff.</w:t>
      </w:r>
      <w:r w:rsidR="70DA09D0" w:rsidRPr="00E203F1">
        <w:rPr>
          <w:spacing w:val="40"/>
        </w:rPr>
        <w:t xml:space="preserve"> </w:t>
      </w:r>
      <w:r w:rsidR="70DA09D0" w:rsidRPr="00E203F1">
        <w:t>It also applies</w:t>
      </w:r>
      <w:r w:rsidR="70DA09D0" w:rsidRPr="00E203F1">
        <w:rPr>
          <w:spacing w:val="-7"/>
        </w:rPr>
        <w:t xml:space="preserve"> </w:t>
      </w:r>
      <w:r w:rsidR="70DA09D0" w:rsidRPr="00E203F1">
        <w:t>to</w:t>
      </w:r>
      <w:r w:rsidR="70DA09D0" w:rsidRPr="00E203F1">
        <w:rPr>
          <w:spacing w:val="-9"/>
        </w:rPr>
        <w:t xml:space="preserve"> </w:t>
      </w:r>
      <w:r w:rsidR="70DA09D0" w:rsidRPr="00E203F1">
        <w:t>staff</w:t>
      </w:r>
      <w:r w:rsidR="70DA09D0" w:rsidRPr="00E203F1">
        <w:rPr>
          <w:spacing w:val="-9"/>
        </w:rPr>
        <w:t xml:space="preserve"> </w:t>
      </w:r>
      <w:r w:rsidR="70DA09D0" w:rsidRPr="00E203F1">
        <w:t>supervising</w:t>
      </w:r>
      <w:r w:rsidR="70DA09D0" w:rsidRPr="00E203F1">
        <w:rPr>
          <w:spacing w:val="-7"/>
        </w:rPr>
        <w:t xml:space="preserve"> </w:t>
      </w:r>
      <w:r w:rsidR="1DC36A6A" w:rsidRPr="00E203F1">
        <w:t xml:space="preserve">PGR </w:t>
      </w:r>
      <w:r w:rsidR="70DA09D0" w:rsidRPr="00E203F1">
        <w:t>student</w:t>
      </w:r>
      <w:r w:rsidR="70DA09D0" w:rsidRPr="00E203F1">
        <w:rPr>
          <w:spacing w:val="-9"/>
        </w:rPr>
        <w:t xml:space="preserve"> </w:t>
      </w:r>
      <w:r w:rsidR="70DA09D0" w:rsidRPr="00E203F1">
        <w:t>research</w:t>
      </w:r>
      <w:r w:rsidR="70DA09D0" w:rsidRPr="00E203F1">
        <w:rPr>
          <w:spacing w:val="-9"/>
        </w:rPr>
        <w:t xml:space="preserve"> </w:t>
      </w:r>
      <w:r w:rsidR="70DA09D0" w:rsidRPr="00E203F1">
        <w:t>projects.</w:t>
      </w:r>
      <w:r w:rsidR="70DA09D0" w:rsidRPr="00E203F1">
        <w:rPr>
          <w:spacing w:val="-6"/>
        </w:rPr>
        <w:t xml:space="preserve"> </w:t>
      </w:r>
      <w:r w:rsidR="70DA09D0" w:rsidRPr="00E203F1">
        <w:t>University</w:t>
      </w:r>
      <w:r w:rsidR="70DA09D0" w:rsidRPr="00E203F1">
        <w:rPr>
          <w:spacing w:val="-7"/>
        </w:rPr>
        <w:t xml:space="preserve"> </w:t>
      </w:r>
      <w:r w:rsidR="70DA09D0" w:rsidRPr="00E203F1">
        <w:t>use</w:t>
      </w:r>
      <w:r w:rsidR="70DA09D0" w:rsidRPr="00E203F1">
        <w:rPr>
          <w:spacing w:val="-7"/>
        </w:rPr>
        <w:t xml:space="preserve"> </w:t>
      </w:r>
      <w:r w:rsidR="70DA09D0" w:rsidRPr="00E203F1">
        <w:t>of</w:t>
      </w:r>
      <w:r w:rsidR="70DA09D0" w:rsidRPr="00E203F1">
        <w:rPr>
          <w:spacing w:val="-9"/>
        </w:rPr>
        <w:t xml:space="preserve"> </w:t>
      </w:r>
      <w:r w:rsidR="70DA09D0" w:rsidRPr="00E203F1">
        <w:t>NHS</w:t>
      </w:r>
      <w:r w:rsidR="70DA09D0" w:rsidRPr="00E203F1">
        <w:rPr>
          <w:spacing w:val="-10"/>
        </w:rPr>
        <w:t xml:space="preserve"> </w:t>
      </w:r>
      <w:r w:rsidR="70DA09D0" w:rsidRPr="00E203F1">
        <w:t>and</w:t>
      </w:r>
      <w:r w:rsidR="70DA09D0" w:rsidRPr="00E203F1">
        <w:rPr>
          <w:spacing w:val="-7"/>
        </w:rPr>
        <w:t xml:space="preserve"> </w:t>
      </w:r>
      <w:r w:rsidR="70DA09D0" w:rsidRPr="00E203F1">
        <w:t>clinical</w:t>
      </w:r>
      <w:r w:rsidR="70DA09D0" w:rsidRPr="00E203F1">
        <w:rPr>
          <w:spacing w:val="-10"/>
        </w:rPr>
        <w:t xml:space="preserve"> </w:t>
      </w:r>
      <w:r w:rsidR="70DA09D0" w:rsidRPr="00E203F1">
        <w:t>data</w:t>
      </w:r>
      <w:r w:rsidR="70DA09D0" w:rsidRPr="00E203F1">
        <w:rPr>
          <w:spacing w:val="-7"/>
        </w:rPr>
        <w:t xml:space="preserve"> </w:t>
      </w:r>
      <w:r w:rsidR="70DA09D0" w:rsidRPr="00E203F1">
        <w:t>is</w:t>
      </w:r>
      <w:r w:rsidR="70DA09D0" w:rsidRPr="00E203F1">
        <w:rPr>
          <w:spacing w:val="-7"/>
        </w:rPr>
        <w:t xml:space="preserve"> </w:t>
      </w:r>
      <w:r w:rsidR="70DA09D0" w:rsidRPr="00E203F1">
        <w:t xml:space="preserve">subject to </w:t>
      </w:r>
      <w:hyperlink r:id="rId13" w:history="1">
        <w:r w:rsidR="70DA09D0" w:rsidRPr="0068412A">
          <w:rPr>
            <w:rStyle w:val="Hyperlink"/>
          </w:rPr>
          <w:t>additional governance</w:t>
        </w:r>
      </w:hyperlink>
      <w:r w:rsidR="70DA09D0" w:rsidRPr="00E203F1">
        <w:t>.</w:t>
      </w:r>
    </w:p>
    <w:p w14:paraId="4102F61E" w14:textId="39DEEC89" w:rsidR="0743D410" w:rsidRPr="00E203F1" w:rsidRDefault="0743D410" w:rsidP="00801D07">
      <w:pPr>
        <w:pStyle w:val="Heading1"/>
        <w:ind w:left="22"/>
      </w:pPr>
    </w:p>
    <w:p w14:paraId="538283CD" w14:textId="01D79769" w:rsidR="00F053FA" w:rsidRDefault="4F8EE4BB" w:rsidP="00E529FD">
      <w:pPr>
        <w:pStyle w:val="Heading1"/>
        <w:ind w:left="0"/>
      </w:pPr>
      <w:r>
        <w:t xml:space="preserve">1.3 </w:t>
      </w:r>
      <w:r w:rsidR="250EAA63">
        <w:t>Definition</w:t>
      </w:r>
      <w:r w:rsidR="65E6EA2E">
        <w:t>s</w:t>
      </w:r>
    </w:p>
    <w:p w14:paraId="39C70AFB" w14:textId="77777777" w:rsidR="00E529FD" w:rsidRPr="00E203F1" w:rsidRDefault="00E529FD" w:rsidP="00E529FD">
      <w:pPr>
        <w:pStyle w:val="Heading1"/>
        <w:ind w:left="0"/>
      </w:pPr>
    </w:p>
    <w:p w14:paraId="2B8A2125" w14:textId="3042DF27" w:rsidR="65E6EA2E" w:rsidRPr="0068412A" w:rsidRDefault="00801D07" w:rsidP="00801D07">
      <w:pPr>
        <w:ind w:left="567" w:right="70" w:hanging="545"/>
        <w:rPr>
          <w:sz w:val="20"/>
          <w:szCs w:val="20"/>
        </w:rPr>
      </w:pPr>
      <w:r w:rsidRPr="00801D07">
        <w:rPr>
          <w:rFonts w:eastAsiaTheme="minorEastAsia"/>
          <w:sz w:val="20"/>
          <w:szCs w:val="20"/>
        </w:rPr>
        <w:t>1.3.1</w:t>
      </w:r>
      <w:r>
        <w:rPr>
          <w:rFonts w:eastAsiaTheme="minorEastAsia"/>
          <w:b/>
          <w:bCs/>
          <w:sz w:val="20"/>
          <w:szCs w:val="20"/>
        </w:rPr>
        <w:tab/>
      </w:r>
      <w:r w:rsidR="65E6EA2E" w:rsidRPr="3471ADF1">
        <w:rPr>
          <w:rFonts w:eastAsiaTheme="minorEastAsia"/>
          <w:b/>
          <w:bCs/>
          <w:sz w:val="20"/>
          <w:szCs w:val="20"/>
        </w:rPr>
        <w:t xml:space="preserve">Research Data: </w:t>
      </w:r>
      <w:r w:rsidR="250EAA63" w:rsidRPr="3471ADF1">
        <w:rPr>
          <w:rFonts w:eastAsiaTheme="minorEastAsia"/>
          <w:sz w:val="20"/>
          <w:szCs w:val="20"/>
        </w:rPr>
        <w:t xml:space="preserve">The University </w:t>
      </w:r>
      <w:r w:rsidR="250EAA63" w:rsidRPr="00801D07">
        <w:rPr>
          <w:rFonts w:eastAsiaTheme="minorEastAsia"/>
          <w:sz w:val="20"/>
          <w:szCs w:val="20"/>
        </w:rPr>
        <w:t>s</w:t>
      </w:r>
      <w:r w:rsidR="250EAA63" w:rsidRPr="3471ADF1">
        <w:rPr>
          <w:sz w:val="20"/>
          <w:szCs w:val="20"/>
        </w:rPr>
        <w:t>ubscribes to the definition of Research Data as articulated in the Concordat on Open Research Data – “</w:t>
      </w:r>
      <w:r w:rsidR="250EAA63" w:rsidRPr="3471ADF1">
        <w:rPr>
          <w:b/>
          <w:bCs/>
          <w:sz w:val="20"/>
          <w:szCs w:val="20"/>
        </w:rPr>
        <w:t xml:space="preserve">Research data </w:t>
      </w:r>
      <w:r w:rsidR="250EAA63" w:rsidRPr="3471ADF1">
        <w:rPr>
          <w:sz w:val="20"/>
          <w:szCs w:val="20"/>
        </w:rPr>
        <w:t xml:space="preserve">are the evidence that underpins the answer to the research </w:t>
      </w:r>
      <w:r w:rsidR="0068412A" w:rsidRPr="3471ADF1">
        <w:rPr>
          <w:sz w:val="20"/>
          <w:szCs w:val="20"/>
        </w:rPr>
        <w:t>question and</w:t>
      </w:r>
      <w:r w:rsidR="250EAA63" w:rsidRPr="3471ADF1">
        <w:rPr>
          <w:sz w:val="20"/>
          <w:szCs w:val="20"/>
        </w:rPr>
        <w:t xml:space="preserve"> can be used to validate findings regardless of its form (e.g. print, digital, or physical). These might be quantitative information or qualitative statements collected </w:t>
      </w:r>
      <w:r w:rsidR="250EAA63" w:rsidRPr="00542AAA">
        <w:rPr>
          <w:sz w:val="20"/>
          <w:szCs w:val="20"/>
        </w:rPr>
        <w:t>by researchers in the course of their work by experimentation, observation, modelling, interview or other methods, or information derived from existing evidence. Data may be raw or primary (e.g. direct from measurement or collection) or derived from primary data for subsequent analysis or interpretation (e.g. cleaned up or as an extract from a larger data set</w:t>
      </w:r>
      <w:r w:rsidR="0068412A" w:rsidRPr="00542AAA">
        <w:rPr>
          <w:sz w:val="20"/>
          <w:szCs w:val="20"/>
        </w:rPr>
        <w:t>) or</w:t>
      </w:r>
      <w:r w:rsidR="250EAA63" w:rsidRPr="00542AAA">
        <w:rPr>
          <w:sz w:val="20"/>
          <w:szCs w:val="20"/>
        </w:rPr>
        <w:t xml:space="preserve"> derived from existing sources where the rights may be held by others. Data may be defined as ‘relational’ or ‘functional’ components of research, thus signalling that their identification and value lies in whether and how researchers use them as evidence for claims. </w:t>
      </w:r>
      <w:r w:rsidR="250EAA63" w:rsidRPr="00542AAA">
        <w:rPr>
          <w:b/>
          <w:bCs/>
          <w:sz w:val="20"/>
          <w:szCs w:val="20"/>
        </w:rPr>
        <w:t>They may include</w:t>
      </w:r>
      <w:r w:rsidR="250EAA63" w:rsidRPr="00542AAA">
        <w:rPr>
          <w:sz w:val="20"/>
          <w:szCs w:val="20"/>
        </w:rPr>
        <w:t>, for example, statistics, collections of digital</w:t>
      </w:r>
      <w:r w:rsidR="250EAA63" w:rsidRPr="3471ADF1">
        <w:rPr>
          <w:sz w:val="20"/>
          <w:szCs w:val="20"/>
        </w:rPr>
        <w:t xml:space="preserve"> images, sound recordings, transcripts of interviews, survey data and fieldwork observations with appropriate annotations, an interpretation, an artwork, archives, found objects, published texts or a manuscript.”</w:t>
      </w:r>
    </w:p>
    <w:p w14:paraId="2B0C8D83" w14:textId="10492ECF" w:rsidR="0743D410" w:rsidRPr="0068412A" w:rsidRDefault="0743D410" w:rsidP="00801D07">
      <w:pPr>
        <w:ind w:left="567" w:right="70" w:hanging="545"/>
        <w:rPr>
          <w:sz w:val="20"/>
          <w:szCs w:val="20"/>
        </w:rPr>
      </w:pPr>
    </w:p>
    <w:p w14:paraId="23388630" w14:textId="64A1D8F5" w:rsidR="3B4D0F3D" w:rsidRPr="0068412A" w:rsidRDefault="00801D07" w:rsidP="00801D07">
      <w:pPr>
        <w:ind w:left="567" w:hanging="545"/>
        <w:rPr>
          <w:sz w:val="20"/>
          <w:szCs w:val="20"/>
        </w:rPr>
      </w:pPr>
      <w:r>
        <w:rPr>
          <w:sz w:val="20"/>
          <w:szCs w:val="20"/>
        </w:rPr>
        <w:t>1.3.2</w:t>
      </w:r>
      <w:r>
        <w:rPr>
          <w:sz w:val="20"/>
          <w:szCs w:val="20"/>
        </w:rPr>
        <w:tab/>
      </w:r>
      <w:r w:rsidR="3B4D0F3D" w:rsidRPr="105DB403">
        <w:rPr>
          <w:b/>
          <w:bCs/>
          <w:sz w:val="20"/>
          <w:szCs w:val="20"/>
        </w:rPr>
        <w:t xml:space="preserve">Research Data Management: </w:t>
      </w:r>
      <w:r w:rsidR="7B3ACEB7" w:rsidRPr="105DB403">
        <w:rPr>
          <w:b/>
          <w:bCs/>
          <w:sz w:val="20"/>
          <w:szCs w:val="20"/>
        </w:rPr>
        <w:t>“</w:t>
      </w:r>
      <w:r w:rsidR="3B4D0F3D" w:rsidRPr="105DB403">
        <w:rPr>
          <w:sz w:val="20"/>
          <w:szCs w:val="20"/>
        </w:rPr>
        <w:t xml:space="preserve">Research data management concerns the organisation of data, from its entry to the research cycle through to the dissemination </w:t>
      </w:r>
      <w:r w:rsidR="3B4D0F3D" w:rsidRPr="105DB403">
        <w:rPr>
          <w:color w:val="333333"/>
          <w:sz w:val="20"/>
          <w:szCs w:val="20"/>
        </w:rPr>
        <w:t xml:space="preserve">and archiving of valuable results. It aims to ensure reliable verification of results and permits new and innovative research built on existing information." (Whyte, A., </w:t>
      </w:r>
      <w:proofErr w:type="spellStart"/>
      <w:r w:rsidR="3B4D0F3D" w:rsidRPr="105DB403">
        <w:rPr>
          <w:color w:val="333333"/>
          <w:sz w:val="20"/>
          <w:szCs w:val="20"/>
        </w:rPr>
        <w:t>Tedds</w:t>
      </w:r>
      <w:proofErr w:type="spellEnd"/>
      <w:r w:rsidR="3B4D0F3D" w:rsidRPr="105DB403">
        <w:rPr>
          <w:color w:val="333333"/>
          <w:sz w:val="20"/>
          <w:szCs w:val="20"/>
        </w:rPr>
        <w:t xml:space="preserve">, J. (2011). ‘Making the Case for Research Data Management’. DCC Briefing Papers. Edinburgh: Digital Curation Centre. </w:t>
      </w:r>
      <w:hyperlink r:id="rId14">
        <w:r w:rsidR="3B4D0F3D" w:rsidRPr="105DB403">
          <w:rPr>
            <w:b/>
            <w:bCs/>
            <w:color w:val="663399"/>
            <w:sz w:val="20"/>
            <w:szCs w:val="20"/>
            <w:u w:val="single"/>
          </w:rPr>
          <w:t>Available online</w:t>
        </w:r>
      </w:hyperlink>
      <w:r w:rsidR="3B4D0F3D" w:rsidRPr="105DB403">
        <w:rPr>
          <w:color w:val="333333"/>
          <w:sz w:val="20"/>
          <w:szCs w:val="20"/>
        </w:rPr>
        <w:t>).</w:t>
      </w:r>
    </w:p>
    <w:p w14:paraId="47214951" w14:textId="499C1E2C" w:rsidR="0743D410" w:rsidRPr="0068412A" w:rsidRDefault="0743D410" w:rsidP="00801D07">
      <w:pPr>
        <w:ind w:left="567" w:hanging="545"/>
        <w:rPr>
          <w:color w:val="333333"/>
          <w:sz w:val="20"/>
          <w:szCs w:val="20"/>
        </w:rPr>
      </w:pPr>
    </w:p>
    <w:p w14:paraId="48530E71" w14:textId="03176E92" w:rsidR="2B590C05" w:rsidRPr="0068412A" w:rsidRDefault="00801D07" w:rsidP="00801D07">
      <w:pPr>
        <w:ind w:left="567" w:hanging="545"/>
        <w:rPr>
          <w:sz w:val="20"/>
          <w:szCs w:val="20"/>
        </w:rPr>
      </w:pPr>
      <w:r>
        <w:rPr>
          <w:color w:val="333333"/>
          <w:sz w:val="20"/>
          <w:szCs w:val="20"/>
        </w:rPr>
        <w:t>1.3.3</w:t>
      </w:r>
      <w:r>
        <w:rPr>
          <w:color w:val="333333"/>
          <w:sz w:val="20"/>
          <w:szCs w:val="20"/>
        </w:rPr>
        <w:tab/>
      </w:r>
      <w:r w:rsidR="2B590C05" w:rsidRPr="0068412A">
        <w:rPr>
          <w:b/>
          <w:bCs/>
          <w:color w:val="333333"/>
          <w:sz w:val="20"/>
          <w:szCs w:val="20"/>
        </w:rPr>
        <w:t>Research Data Management Practice</w:t>
      </w:r>
      <w:r w:rsidR="14A957E7" w:rsidRPr="0068412A">
        <w:rPr>
          <w:b/>
          <w:bCs/>
          <w:color w:val="333333"/>
          <w:sz w:val="20"/>
          <w:szCs w:val="20"/>
        </w:rPr>
        <w:t xml:space="preserve">: </w:t>
      </w:r>
      <w:r w:rsidR="14A957E7" w:rsidRPr="0068412A">
        <w:rPr>
          <w:color w:val="333333"/>
          <w:sz w:val="20"/>
          <w:szCs w:val="20"/>
        </w:rPr>
        <w:t xml:space="preserve">From a practical perspective, </w:t>
      </w:r>
      <w:r w:rsidR="14A957E7" w:rsidRPr="0068412A">
        <w:rPr>
          <w:sz w:val="20"/>
          <w:szCs w:val="20"/>
        </w:rPr>
        <w:t xml:space="preserve">research data management practice includes </w:t>
      </w:r>
      <w:r w:rsidR="14A957E7" w:rsidRPr="0068412A">
        <w:rPr>
          <w:color w:val="333333"/>
          <w:sz w:val="20"/>
          <w:szCs w:val="20"/>
        </w:rPr>
        <w:t>planning, recording decisions (e.g. in a</w:t>
      </w:r>
      <w:r w:rsidR="00965823">
        <w:rPr>
          <w:color w:val="333333"/>
          <w:sz w:val="20"/>
          <w:szCs w:val="20"/>
        </w:rPr>
        <w:t xml:space="preserve"> Data Management Plan</w:t>
      </w:r>
      <w:r w:rsidR="14A957E7" w:rsidRPr="0068412A">
        <w:rPr>
          <w:color w:val="333333"/>
          <w:sz w:val="20"/>
          <w:szCs w:val="20"/>
        </w:rPr>
        <w:t xml:space="preserve"> DMP), compliance, data generation, collection, analysis, verification, risk assessment, classification, development of metadata, managing access, storage, data sharing, </w:t>
      </w:r>
      <w:r w:rsidR="14A957E7" w:rsidRPr="0068412A">
        <w:rPr>
          <w:color w:val="333333"/>
          <w:sz w:val="20"/>
          <w:szCs w:val="20"/>
        </w:rPr>
        <w:lastRenderedPageBreak/>
        <w:t>dissemination, publication, archive, curation, deletion, destruction, facilitation of audit.</w:t>
      </w:r>
    </w:p>
    <w:p w14:paraId="44A2EE13" w14:textId="19E0F7C5" w:rsidR="0743D410" w:rsidRPr="0068412A" w:rsidRDefault="0743D410" w:rsidP="00801D07">
      <w:pPr>
        <w:ind w:left="567" w:hanging="545"/>
        <w:rPr>
          <w:sz w:val="20"/>
          <w:szCs w:val="20"/>
        </w:rPr>
      </w:pPr>
    </w:p>
    <w:p w14:paraId="6AF75D7E" w14:textId="52FBB372" w:rsidR="14A957E7" w:rsidRPr="0068412A" w:rsidRDefault="00801D07" w:rsidP="00801D07">
      <w:pPr>
        <w:ind w:left="567" w:hanging="545"/>
        <w:rPr>
          <w:sz w:val="20"/>
          <w:szCs w:val="20"/>
        </w:rPr>
      </w:pPr>
      <w:r>
        <w:rPr>
          <w:sz w:val="20"/>
          <w:szCs w:val="20"/>
        </w:rPr>
        <w:t>1.3.4</w:t>
      </w:r>
      <w:r>
        <w:rPr>
          <w:sz w:val="20"/>
          <w:szCs w:val="20"/>
        </w:rPr>
        <w:tab/>
      </w:r>
      <w:r w:rsidR="14A957E7" w:rsidRPr="0068412A">
        <w:rPr>
          <w:b/>
          <w:bCs/>
          <w:sz w:val="20"/>
          <w:szCs w:val="20"/>
        </w:rPr>
        <w:t>Personal Data:</w:t>
      </w:r>
      <w:r w:rsidR="14A957E7" w:rsidRPr="0068412A">
        <w:rPr>
          <w:sz w:val="20"/>
          <w:szCs w:val="20"/>
        </w:rPr>
        <w:t xml:space="preserve"> Any data relating to an identified or identifiable living person (</w:t>
      </w:r>
      <w:hyperlink r:id="rId15" w:history="1">
        <w:r w:rsidR="00FD3E63" w:rsidRPr="00FD3E63">
          <w:rPr>
            <w:rStyle w:val="Hyperlink"/>
            <w:sz w:val="20"/>
            <w:szCs w:val="20"/>
          </w:rPr>
          <w:t>University of Aberdeen Data Protection Policy</w:t>
        </w:r>
      </w:hyperlink>
      <w:r w:rsidR="14A957E7" w:rsidRPr="0068412A">
        <w:rPr>
          <w:sz w:val="20"/>
          <w:szCs w:val="20"/>
        </w:rPr>
        <w:t>)</w:t>
      </w:r>
    </w:p>
    <w:p w14:paraId="7802B957" w14:textId="77777777" w:rsidR="00801D07" w:rsidRDefault="00801D07" w:rsidP="00057567">
      <w:pPr>
        <w:pStyle w:val="Heading1"/>
        <w:ind w:left="0"/>
        <w:jc w:val="both"/>
      </w:pPr>
    </w:p>
    <w:p w14:paraId="51073094" w14:textId="6CEC6136" w:rsidR="00F053FA" w:rsidRPr="00801D07" w:rsidRDefault="00673341" w:rsidP="00801D07">
      <w:pPr>
        <w:pStyle w:val="BodyText"/>
        <w:numPr>
          <w:ilvl w:val="0"/>
          <w:numId w:val="1"/>
        </w:numPr>
        <w:spacing w:before="200"/>
        <w:ind w:left="360"/>
        <w:rPr>
          <w:b/>
          <w:bCs/>
        </w:rPr>
      </w:pPr>
      <w:r w:rsidRPr="00801D07">
        <w:rPr>
          <w:b/>
          <w:bCs/>
        </w:rPr>
        <w:t>R</w:t>
      </w:r>
      <w:r w:rsidR="5B6E505F" w:rsidRPr="00801D07">
        <w:rPr>
          <w:b/>
          <w:bCs/>
        </w:rPr>
        <w:t>OLES AND RESPONSIBILITIES</w:t>
      </w:r>
    </w:p>
    <w:p w14:paraId="014970BF" w14:textId="77777777" w:rsidR="00E529FD" w:rsidRPr="0068412A" w:rsidRDefault="00E529FD" w:rsidP="000C2460">
      <w:pPr>
        <w:pStyle w:val="Heading1"/>
        <w:jc w:val="both"/>
      </w:pPr>
    </w:p>
    <w:p w14:paraId="1CAC7A02" w14:textId="48E1B86B" w:rsidR="00E529FD" w:rsidRDefault="012DC73C" w:rsidP="00801D07">
      <w:pPr>
        <w:ind w:left="567" w:right="19" w:hanging="567"/>
        <w:rPr>
          <w:sz w:val="20"/>
          <w:szCs w:val="20"/>
        </w:rPr>
      </w:pPr>
      <w:r w:rsidRPr="00801D07">
        <w:rPr>
          <w:sz w:val="20"/>
          <w:szCs w:val="20"/>
        </w:rPr>
        <w:t>2.</w:t>
      </w:r>
      <w:r w:rsidR="3E1E068D" w:rsidRPr="00801D07">
        <w:rPr>
          <w:sz w:val="20"/>
          <w:szCs w:val="20"/>
        </w:rPr>
        <w:t xml:space="preserve">1 </w:t>
      </w:r>
      <w:r w:rsidR="00801D07">
        <w:rPr>
          <w:sz w:val="20"/>
          <w:szCs w:val="20"/>
        </w:rPr>
        <w:tab/>
      </w:r>
      <w:r w:rsidR="70DA09D0" w:rsidRPr="00801D07">
        <w:rPr>
          <w:sz w:val="20"/>
          <w:szCs w:val="20"/>
        </w:rPr>
        <w:t xml:space="preserve">The </w:t>
      </w:r>
      <w:r w:rsidR="70DA09D0" w:rsidRPr="00542AAA">
        <w:rPr>
          <w:sz w:val="20"/>
          <w:szCs w:val="20"/>
        </w:rPr>
        <w:t>Principal Investigator (PI) is responsible for compliance with this and related policies, research data management practice</w:t>
      </w:r>
      <w:r w:rsidR="0619547F" w:rsidRPr="00542AAA">
        <w:rPr>
          <w:sz w:val="20"/>
          <w:szCs w:val="20"/>
        </w:rPr>
        <w:t>,</w:t>
      </w:r>
      <w:r w:rsidR="00E529FD" w:rsidRPr="00542AAA">
        <w:rPr>
          <w:sz w:val="20"/>
          <w:szCs w:val="20"/>
        </w:rPr>
        <w:t xml:space="preserve"> </w:t>
      </w:r>
      <w:r w:rsidR="00673341" w:rsidRPr="00542AAA">
        <w:rPr>
          <w:sz w:val="20"/>
          <w:szCs w:val="20"/>
        </w:rPr>
        <w:t xml:space="preserve">deposition and publication, in accordance with relevant University policies, legislation, funder, and data owner terms and conditions. Where the research is externally funded, and the funders allow, the </w:t>
      </w:r>
      <w:r w:rsidR="002E28FD" w:rsidRPr="00542AAA">
        <w:rPr>
          <w:sz w:val="20"/>
          <w:szCs w:val="20"/>
        </w:rPr>
        <w:t>PI</w:t>
      </w:r>
      <w:r w:rsidR="00673341" w:rsidRPr="00542AAA">
        <w:rPr>
          <w:sz w:val="20"/>
          <w:szCs w:val="20"/>
        </w:rPr>
        <w:t xml:space="preserve"> is responsible for the recovery of costs of data storage and curation. </w:t>
      </w:r>
      <w:r w:rsidR="002E28FD" w:rsidRPr="00542AAA">
        <w:rPr>
          <w:sz w:val="20"/>
          <w:szCs w:val="20"/>
        </w:rPr>
        <w:t>PIs</w:t>
      </w:r>
      <w:r w:rsidR="00673341" w:rsidRPr="00542AAA">
        <w:rPr>
          <w:sz w:val="20"/>
          <w:szCs w:val="20"/>
        </w:rPr>
        <w:t xml:space="preserve"> are also required to participate in</w:t>
      </w:r>
      <w:r w:rsidR="00673341" w:rsidRPr="00801D07">
        <w:rPr>
          <w:sz w:val="20"/>
          <w:szCs w:val="20"/>
        </w:rPr>
        <w:t xml:space="preserve"> relevant training offered by the University of Aberdeen.</w:t>
      </w:r>
      <w:r w:rsidR="70DA09D0" w:rsidRPr="00801D07">
        <w:rPr>
          <w:sz w:val="20"/>
          <w:szCs w:val="20"/>
        </w:rPr>
        <w:t xml:space="preserve"> </w:t>
      </w:r>
    </w:p>
    <w:p w14:paraId="3E2DC571" w14:textId="77777777" w:rsidR="00801D07" w:rsidRPr="00801D07" w:rsidRDefault="00801D07" w:rsidP="00801D07">
      <w:pPr>
        <w:ind w:left="567" w:right="19" w:hanging="567"/>
        <w:rPr>
          <w:sz w:val="20"/>
          <w:szCs w:val="20"/>
        </w:rPr>
      </w:pPr>
    </w:p>
    <w:p w14:paraId="69522C14" w14:textId="0E5651D8" w:rsidR="00F053FA" w:rsidRPr="00E529FD" w:rsidRDefault="1BEF2270" w:rsidP="00C27618">
      <w:pPr>
        <w:pStyle w:val="ListParagraph"/>
        <w:ind w:left="567" w:right="19" w:hanging="545"/>
        <w:jc w:val="left"/>
        <w:rPr>
          <w:sz w:val="20"/>
          <w:szCs w:val="20"/>
        </w:rPr>
      </w:pPr>
      <w:r w:rsidRPr="105DB403">
        <w:rPr>
          <w:sz w:val="20"/>
          <w:szCs w:val="20"/>
        </w:rPr>
        <w:t>2.</w:t>
      </w:r>
      <w:r w:rsidR="0782FED9" w:rsidRPr="105DB403">
        <w:rPr>
          <w:sz w:val="20"/>
          <w:szCs w:val="20"/>
        </w:rPr>
        <w:t>2</w:t>
      </w:r>
      <w:r w:rsidR="00801D07">
        <w:rPr>
          <w:sz w:val="20"/>
          <w:szCs w:val="20"/>
        </w:rPr>
        <w:tab/>
      </w:r>
      <w:r w:rsidR="00E529FD" w:rsidRPr="105DB403">
        <w:rPr>
          <w:sz w:val="20"/>
          <w:szCs w:val="20"/>
        </w:rPr>
        <w:t xml:space="preserve">All research data gathered by PGR students during their study are the responsibility of the supervising staff </w:t>
      </w:r>
      <w:r w:rsidR="00E529FD" w:rsidRPr="00542AAA">
        <w:rPr>
          <w:sz w:val="20"/>
          <w:szCs w:val="20"/>
        </w:rPr>
        <w:t>member (PI/lead</w:t>
      </w:r>
      <w:r w:rsidR="00E529FD" w:rsidRPr="105DB403">
        <w:rPr>
          <w:sz w:val="20"/>
          <w:szCs w:val="20"/>
        </w:rPr>
        <w:t xml:space="preserve"> supervisor), to manage in accordance with the requirements of this policy and institutional guidance. </w:t>
      </w:r>
    </w:p>
    <w:p w14:paraId="7DBDD3CD" w14:textId="77777777" w:rsidR="00F053FA" w:rsidRPr="0068412A" w:rsidRDefault="00F053FA" w:rsidP="000C2460">
      <w:pPr>
        <w:pStyle w:val="BodyText"/>
      </w:pPr>
    </w:p>
    <w:p w14:paraId="146880D4" w14:textId="176A2329" w:rsidR="00F053FA" w:rsidRPr="00801D07" w:rsidRDefault="34CD4DA1" w:rsidP="00801D07">
      <w:pPr>
        <w:ind w:left="567" w:right="25" w:hanging="567"/>
        <w:rPr>
          <w:sz w:val="20"/>
          <w:szCs w:val="20"/>
        </w:rPr>
      </w:pPr>
      <w:r w:rsidRPr="00801D07">
        <w:rPr>
          <w:sz w:val="20"/>
          <w:szCs w:val="20"/>
        </w:rPr>
        <w:t>2</w:t>
      </w:r>
      <w:r w:rsidR="75168EAA" w:rsidRPr="00801D07">
        <w:rPr>
          <w:sz w:val="20"/>
          <w:szCs w:val="20"/>
        </w:rPr>
        <w:t>.3</w:t>
      </w:r>
      <w:r w:rsidR="00801D07">
        <w:rPr>
          <w:sz w:val="20"/>
          <w:szCs w:val="20"/>
        </w:rPr>
        <w:tab/>
      </w:r>
      <w:r w:rsidR="4F151623" w:rsidRPr="00801D07">
        <w:rPr>
          <w:sz w:val="20"/>
          <w:szCs w:val="20"/>
        </w:rPr>
        <w:t xml:space="preserve">Unless a formal agreement is in place with a partner or awarding external </w:t>
      </w:r>
      <w:proofErr w:type="gramStart"/>
      <w:r w:rsidR="4F151623" w:rsidRPr="00801D07">
        <w:rPr>
          <w:sz w:val="20"/>
          <w:szCs w:val="20"/>
        </w:rPr>
        <w:t>University, or</w:t>
      </w:r>
      <w:proofErr w:type="gramEnd"/>
      <w:r w:rsidR="4F151623" w:rsidRPr="00801D07">
        <w:rPr>
          <w:sz w:val="20"/>
          <w:szCs w:val="20"/>
        </w:rPr>
        <w:t xml:space="preserve"> specified in external </w:t>
      </w:r>
      <w:proofErr w:type="gramStart"/>
      <w:r w:rsidR="4F151623" w:rsidRPr="00801D07">
        <w:rPr>
          <w:sz w:val="20"/>
          <w:szCs w:val="20"/>
        </w:rPr>
        <w:t>funder’s</w:t>
      </w:r>
      <w:proofErr w:type="gramEnd"/>
      <w:r w:rsidR="4F151623" w:rsidRPr="00801D07">
        <w:rPr>
          <w:sz w:val="20"/>
          <w:szCs w:val="20"/>
        </w:rPr>
        <w:t xml:space="preserve"> or sponsor’s terms and conditions, all PGR students are required to comply with the University of Aberdeen’s Research Data Management policies.  </w:t>
      </w:r>
      <w:r w:rsidR="08383FE1" w:rsidRPr="00801D07">
        <w:rPr>
          <w:sz w:val="20"/>
          <w:szCs w:val="20"/>
        </w:rPr>
        <w:t>T</w:t>
      </w:r>
      <w:r w:rsidR="4F151623" w:rsidRPr="00801D07">
        <w:rPr>
          <w:sz w:val="20"/>
          <w:szCs w:val="20"/>
        </w:rPr>
        <w:t>his inclu</w:t>
      </w:r>
      <w:r w:rsidR="036FE042" w:rsidRPr="00801D07">
        <w:rPr>
          <w:sz w:val="20"/>
          <w:szCs w:val="20"/>
        </w:rPr>
        <w:t xml:space="preserve">des adhering to institutional standards for data planning, storage, security and sharing.  For students supported by externally funded studentships, they must also meet any additional research </w:t>
      </w:r>
      <w:r w:rsidR="7DCCF61E" w:rsidRPr="00801D07">
        <w:rPr>
          <w:sz w:val="20"/>
          <w:szCs w:val="20"/>
        </w:rPr>
        <w:t xml:space="preserve">data management requirements set </w:t>
      </w:r>
      <w:r w:rsidR="50B0832B" w:rsidRPr="00801D07">
        <w:rPr>
          <w:sz w:val="20"/>
          <w:szCs w:val="20"/>
        </w:rPr>
        <w:t>within the studentship agreement</w:t>
      </w:r>
      <w:r w:rsidR="7DCCF61E" w:rsidRPr="00801D07">
        <w:rPr>
          <w:sz w:val="20"/>
          <w:szCs w:val="20"/>
        </w:rPr>
        <w:t xml:space="preserve">.  These may include obligations such as making data openly available, observing specific embargo periods, or storing data in designated repositories.  </w:t>
      </w:r>
    </w:p>
    <w:p w14:paraId="68D08539" w14:textId="77777777" w:rsidR="00205BF8" w:rsidRDefault="00205BF8" w:rsidP="00C27618">
      <w:pPr>
        <w:pStyle w:val="ListParagraph"/>
        <w:jc w:val="left"/>
      </w:pPr>
    </w:p>
    <w:p w14:paraId="639AE5F6" w14:textId="78C88B81" w:rsidR="00F053FA" w:rsidRPr="00E203F1" w:rsidRDefault="5FD5273F" w:rsidP="007354FA">
      <w:pPr>
        <w:ind w:left="567" w:right="25" w:hanging="567"/>
      </w:pPr>
      <w:r w:rsidRPr="00801D07">
        <w:rPr>
          <w:sz w:val="20"/>
          <w:szCs w:val="20"/>
        </w:rPr>
        <w:t>2</w:t>
      </w:r>
      <w:r w:rsidR="797D6E00" w:rsidRPr="00801D07">
        <w:rPr>
          <w:sz w:val="20"/>
          <w:szCs w:val="20"/>
        </w:rPr>
        <w:t>.4</w:t>
      </w:r>
      <w:r w:rsidR="007354FA">
        <w:rPr>
          <w:sz w:val="20"/>
          <w:szCs w:val="20"/>
        </w:rPr>
        <w:tab/>
      </w:r>
      <w:r w:rsidR="70DA09D0" w:rsidRPr="00801D07">
        <w:rPr>
          <w:sz w:val="20"/>
          <w:szCs w:val="20"/>
        </w:rPr>
        <w:t>Effective research data management practice</w:t>
      </w:r>
      <w:r w:rsidR="70DA09D0" w:rsidRPr="00801D07">
        <w:rPr>
          <w:position w:val="6"/>
          <w:sz w:val="13"/>
          <w:szCs w:val="13"/>
        </w:rPr>
        <w:t xml:space="preserve"> </w:t>
      </w:r>
      <w:r w:rsidR="70DA09D0" w:rsidRPr="00801D07">
        <w:rPr>
          <w:sz w:val="20"/>
          <w:szCs w:val="20"/>
        </w:rPr>
        <w:t xml:space="preserve">is a shared responsibility between individual </w:t>
      </w:r>
      <w:r w:rsidR="70DA09D0" w:rsidRPr="00542AAA">
        <w:rPr>
          <w:sz w:val="20"/>
          <w:szCs w:val="20"/>
        </w:rPr>
        <w:t>researchers, University</w:t>
      </w:r>
      <w:r w:rsidR="70DA09D0" w:rsidRPr="00801D07">
        <w:rPr>
          <w:sz w:val="20"/>
          <w:szCs w:val="20"/>
        </w:rPr>
        <w:t xml:space="preserve"> management, and professional services.</w:t>
      </w:r>
    </w:p>
    <w:p w14:paraId="487502CF" w14:textId="77777777" w:rsidR="00F053FA" w:rsidRPr="00E203F1" w:rsidRDefault="00F053FA" w:rsidP="000C2460">
      <w:pPr>
        <w:pStyle w:val="BodyText"/>
      </w:pPr>
    </w:p>
    <w:p w14:paraId="4BF9887B" w14:textId="7A331D99" w:rsidR="00F053FA" w:rsidRPr="007354FA" w:rsidRDefault="78AD0DD1" w:rsidP="007354FA">
      <w:pPr>
        <w:ind w:left="567" w:hanging="567"/>
        <w:rPr>
          <w:sz w:val="20"/>
          <w:szCs w:val="20"/>
        </w:rPr>
      </w:pPr>
      <w:r w:rsidRPr="007354FA">
        <w:rPr>
          <w:sz w:val="20"/>
          <w:szCs w:val="20"/>
        </w:rPr>
        <w:t>2</w:t>
      </w:r>
      <w:r w:rsidR="2BA01AFA" w:rsidRPr="007354FA">
        <w:rPr>
          <w:sz w:val="20"/>
          <w:szCs w:val="20"/>
        </w:rPr>
        <w:t>.5</w:t>
      </w:r>
      <w:r w:rsidR="007354FA">
        <w:rPr>
          <w:sz w:val="20"/>
          <w:szCs w:val="20"/>
        </w:rPr>
        <w:tab/>
      </w:r>
      <w:r w:rsidR="70DA09D0" w:rsidRPr="007354FA">
        <w:rPr>
          <w:sz w:val="20"/>
          <w:szCs w:val="20"/>
        </w:rPr>
        <w:t>The University will provide support, guidance, and information on appropriate research data management activities, including planning for funding applications, availability of internal and external data repositories, licensing of datasets, and allocation of persistent identifiers for data sets.</w:t>
      </w:r>
      <w:r w:rsidR="70DA09D0" w:rsidRPr="007354FA">
        <w:rPr>
          <w:spacing w:val="34"/>
          <w:sz w:val="20"/>
          <w:szCs w:val="20"/>
        </w:rPr>
        <w:t xml:space="preserve"> </w:t>
      </w:r>
      <w:r w:rsidR="70DA09D0" w:rsidRPr="007354FA">
        <w:rPr>
          <w:sz w:val="20"/>
          <w:szCs w:val="20"/>
        </w:rPr>
        <w:t>Further</w:t>
      </w:r>
      <w:r w:rsidR="70DA09D0" w:rsidRPr="007354FA">
        <w:rPr>
          <w:spacing w:val="-8"/>
          <w:sz w:val="20"/>
          <w:szCs w:val="20"/>
        </w:rPr>
        <w:t xml:space="preserve"> </w:t>
      </w:r>
      <w:r w:rsidR="70DA09D0" w:rsidRPr="007354FA">
        <w:rPr>
          <w:sz w:val="20"/>
          <w:szCs w:val="20"/>
        </w:rPr>
        <w:t>guidance</w:t>
      </w:r>
      <w:r w:rsidR="70DA09D0" w:rsidRPr="007354FA">
        <w:rPr>
          <w:spacing w:val="-11"/>
          <w:sz w:val="20"/>
          <w:szCs w:val="20"/>
        </w:rPr>
        <w:t xml:space="preserve"> </w:t>
      </w:r>
      <w:r w:rsidR="70DA09D0" w:rsidRPr="007354FA">
        <w:rPr>
          <w:sz w:val="20"/>
          <w:szCs w:val="20"/>
        </w:rPr>
        <w:t>on</w:t>
      </w:r>
      <w:r w:rsidR="70DA09D0" w:rsidRPr="007354FA">
        <w:rPr>
          <w:spacing w:val="-9"/>
          <w:sz w:val="20"/>
          <w:szCs w:val="20"/>
        </w:rPr>
        <w:t xml:space="preserve"> </w:t>
      </w:r>
      <w:r w:rsidR="70DA09D0" w:rsidRPr="007354FA">
        <w:rPr>
          <w:sz w:val="20"/>
          <w:szCs w:val="20"/>
        </w:rPr>
        <w:t>the</w:t>
      </w:r>
      <w:r w:rsidR="70DA09D0" w:rsidRPr="007354FA">
        <w:rPr>
          <w:spacing w:val="-9"/>
          <w:sz w:val="20"/>
          <w:szCs w:val="20"/>
        </w:rPr>
        <w:t xml:space="preserve"> </w:t>
      </w:r>
      <w:r w:rsidR="70DA09D0" w:rsidRPr="007354FA">
        <w:rPr>
          <w:sz w:val="20"/>
          <w:szCs w:val="20"/>
        </w:rPr>
        <w:t>associated</w:t>
      </w:r>
      <w:r w:rsidR="70DA09D0" w:rsidRPr="007354FA">
        <w:rPr>
          <w:spacing w:val="-11"/>
          <w:sz w:val="20"/>
          <w:szCs w:val="20"/>
        </w:rPr>
        <w:t xml:space="preserve"> </w:t>
      </w:r>
      <w:r w:rsidR="70DA09D0" w:rsidRPr="007354FA">
        <w:rPr>
          <w:sz w:val="20"/>
          <w:szCs w:val="20"/>
        </w:rPr>
        <w:t>roles</w:t>
      </w:r>
      <w:r w:rsidR="70DA09D0" w:rsidRPr="007354FA">
        <w:rPr>
          <w:spacing w:val="-7"/>
          <w:sz w:val="20"/>
          <w:szCs w:val="20"/>
        </w:rPr>
        <w:t xml:space="preserve"> </w:t>
      </w:r>
      <w:r w:rsidR="70DA09D0" w:rsidRPr="007354FA">
        <w:rPr>
          <w:sz w:val="20"/>
          <w:szCs w:val="20"/>
        </w:rPr>
        <w:t>and</w:t>
      </w:r>
      <w:r w:rsidR="70DA09D0" w:rsidRPr="007354FA">
        <w:rPr>
          <w:spacing w:val="-9"/>
          <w:sz w:val="20"/>
          <w:szCs w:val="20"/>
        </w:rPr>
        <w:t xml:space="preserve"> </w:t>
      </w:r>
      <w:r w:rsidR="70DA09D0" w:rsidRPr="007354FA">
        <w:rPr>
          <w:sz w:val="20"/>
          <w:szCs w:val="20"/>
        </w:rPr>
        <w:t>responsibilities</w:t>
      </w:r>
      <w:r w:rsidR="70DA09D0" w:rsidRPr="007354FA">
        <w:rPr>
          <w:spacing w:val="-7"/>
          <w:sz w:val="20"/>
          <w:szCs w:val="20"/>
        </w:rPr>
        <w:t xml:space="preserve"> </w:t>
      </w:r>
      <w:r w:rsidR="70DA09D0" w:rsidRPr="007354FA">
        <w:rPr>
          <w:sz w:val="20"/>
          <w:szCs w:val="20"/>
        </w:rPr>
        <w:t>for</w:t>
      </w:r>
      <w:r w:rsidR="70DA09D0" w:rsidRPr="007354FA">
        <w:rPr>
          <w:spacing w:val="-10"/>
          <w:sz w:val="20"/>
          <w:szCs w:val="20"/>
        </w:rPr>
        <w:t xml:space="preserve"> </w:t>
      </w:r>
      <w:r w:rsidR="70DA09D0" w:rsidRPr="007354FA">
        <w:rPr>
          <w:sz w:val="20"/>
          <w:szCs w:val="20"/>
        </w:rPr>
        <w:t>this</w:t>
      </w:r>
      <w:r w:rsidR="70DA09D0" w:rsidRPr="007354FA">
        <w:rPr>
          <w:spacing w:val="-7"/>
          <w:sz w:val="20"/>
          <w:szCs w:val="20"/>
        </w:rPr>
        <w:t xml:space="preserve"> </w:t>
      </w:r>
      <w:r w:rsidR="000A1CC3">
        <w:rPr>
          <w:sz w:val="20"/>
          <w:szCs w:val="20"/>
        </w:rPr>
        <w:t>P</w:t>
      </w:r>
      <w:r w:rsidR="70DA09D0" w:rsidRPr="007354FA">
        <w:rPr>
          <w:sz w:val="20"/>
          <w:szCs w:val="20"/>
        </w:rPr>
        <w:t>olicy</w:t>
      </w:r>
      <w:r w:rsidR="70DA09D0" w:rsidRPr="007354FA">
        <w:rPr>
          <w:spacing w:val="-7"/>
          <w:sz w:val="20"/>
          <w:szCs w:val="20"/>
        </w:rPr>
        <w:t xml:space="preserve"> </w:t>
      </w:r>
      <w:r w:rsidR="70DA09D0" w:rsidRPr="007354FA">
        <w:rPr>
          <w:sz w:val="20"/>
          <w:szCs w:val="20"/>
        </w:rPr>
        <w:t>is</w:t>
      </w:r>
      <w:r w:rsidR="70DA09D0" w:rsidRPr="007354FA">
        <w:rPr>
          <w:spacing w:val="-10"/>
          <w:sz w:val="20"/>
          <w:szCs w:val="20"/>
        </w:rPr>
        <w:t xml:space="preserve"> </w:t>
      </w:r>
      <w:r w:rsidR="70DA09D0" w:rsidRPr="007354FA">
        <w:rPr>
          <w:sz w:val="20"/>
          <w:szCs w:val="20"/>
        </w:rPr>
        <w:t>available</w:t>
      </w:r>
      <w:r w:rsidR="70DA09D0" w:rsidRPr="007354FA">
        <w:rPr>
          <w:spacing w:val="-10"/>
          <w:sz w:val="20"/>
          <w:szCs w:val="20"/>
        </w:rPr>
        <w:t xml:space="preserve"> </w:t>
      </w:r>
      <w:hyperlink r:id="rId16">
        <w:r w:rsidR="70DA09D0" w:rsidRPr="007354FA">
          <w:rPr>
            <w:color w:val="0000FF"/>
            <w:sz w:val="20"/>
            <w:szCs w:val="20"/>
            <w:u w:val="single" w:color="0000FF"/>
          </w:rPr>
          <w:t>here</w:t>
        </w:r>
        <w:r w:rsidR="70DA09D0" w:rsidRPr="007354FA">
          <w:rPr>
            <w:sz w:val="20"/>
            <w:szCs w:val="20"/>
          </w:rPr>
          <w:t>.</w:t>
        </w:r>
      </w:hyperlink>
    </w:p>
    <w:p w14:paraId="3EF5A2E3" w14:textId="77777777" w:rsidR="00F053FA" w:rsidRDefault="00F053FA" w:rsidP="007354FA">
      <w:pPr>
        <w:pStyle w:val="BodyText"/>
        <w:ind w:left="567" w:hanging="567"/>
      </w:pPr>
    </w:p>
    <w:p w14:paraId="22901634" w14:textId="77777777" w:rsidR="0018280C" w:rsidRPr="00E203F1" w:rsidRDefault="0018280C" w:rsidP="007354FA">
      <w:pPr>
        <w:pStyle w:val="BodyText"/>
        <w:ind w:left="567" w:hanging="567"/>
      </w:pPr>
    </w:p>
    <w:p w14:paraId="7076ADE3" w14:textId="7D646712" w:rsidR="00F053FA" w:rsidRDefault="6D186099" w:rsidP="007354FA">
      <w:pPr>
        <w:pStyle w:val="BodyText"/>
        <w:numPr>
          <w:ilvl w:val="0"/>
          <w:numId w:val="1"/>
        </w:numPr>
        <w:spacing w:before="200"/>
        <w:ind w:left="360"/>
        <w:rPr>
          <w:b/>
          <w:bCs/>
        </w:rPr>
      </w:pPr>
      <w:r w:rsidRPr="007354FA">
        <w:rPr>
          <w:b/>
          <w:bCs/>
        </w:rPr>
        <w:t>DEPOSITING, SHARING AND PUBLICATION</w:t>
      </w:r>
      <w:r w:rsidR="48231CE8" w:rsidRPr="007354FA">
        <w:rPr>
          <w:b/>
          <w:bCs/>
        </w:rPr>
        <w:t xml:space="preserve"> </w:t>
      </w:r>
    </w:p>
    <w:p w14:paraId="41175478" w14:textId="77777777" w:rsidR="007354FA" w:rsidRDefault="007354FA" w:rsidP="007354FA">
      <w:pPr>
        <w:ind w:left="567" w:right="23" w:hanging="567"/>
        <w:rPr>
          <w:sz w:val="20"/>
          <w:szCs w:val="20"/>
        </w:rPr>
      </w:pPr>
    </w:p>
    <w:p w14:paraId="13F9CBFD" w14:textId="6177830E" w:rsidR="00F053FA" w:rsidRPr="00542AAA" w:rsidRDefault="44E4F8F1" w:rsidP="007354FA">
      <w:pPr>
        <w:ind w:left="567" w:right="23" w:hanging="567"/>
        <w:rPr>
          <w:sz w:val="20"/>
          <w:szCs w:val="20"/>
        </w:rPr>
      </w:pPr>
      <w:r w:rsidRPr="007354FA">
        <w:rPr>
          <w:sz w:val="20"/>
          <w:szCs w:val="20"/>
        </w:rPr>
        <w:t>3</w:t>
      </w:r>
      <w:r w:rsidR="0FB1DBAF" w:rsidRPr="007354FA">
        <w:rPr>
          <w:sz w:val="20"/>
          <w:szCs w:val="20"/>
        </w:rPr>
        <w:t>.1</w:t>
      </w:r>
      <w:r w:rsidR="007354FA">
        <w:rPr>
          <w:sz w:val="20"/>
          <w:szCs w:val="20"/>
        </w:rPr>
        <w:tab/>
      </w:r>
      <w:r w:rsidR="70DA09D0" w:rsidRPr="007354FA">
        <w:rPr>
          <w:sz w:val="20"/>
          <w:szCs w:val="20"/>
        </w:rPr>
        <w:t xml:space="preserve">All research data of potential current or future interest, or that which substantiates published research findings, should be assessed by the </w:t>
      </w:r>
      <w:r w:rsidR="274E7593" w:rsidRPr="00542AAA">
        <w:rPr>
          <w:sz w:val="20"/>
          <w:szCs w:val="20"/>
        </w:rPr>
        <w:t>PI</w:t>
      </w:r>
      <w:r w:rsidR="70DA09D0" w:rsidRPr="00542AAA">
        <w:rPr>
          <w:sz w:val="20"/>
          <w:szCs w:val="20"/>
        </w:rPr>
        <w:t xml:space="preserve"> for deposit in an appropriate data repository.</w:t>
      </w:r>
    </w:p>
    <w:p w14:paraId="154C44BE" w14:textId="77777777" w:rsidR="00205BF8" w:rsidRPr="00542AAA" w:rsidRDefault="00205BF8" w:rsidP="00205BF8">
      <w:pPr>
        <w:pStyle w:val="ListParagraph"/>
        <w:tabs>
          <w:tab w:val="left" w:pos="447"/>
          <w:tab w:val="left" w:pos="450"/>
        </w:tabs>
        <w:ind w:right="22" w:firstLine="0"/>
        <w:jc w:val="left"/>
        <w:rPr>
          <w:sz w:val="20"/>
          <w:szCs w:val="20"/>
        </w:rPr>
      </w:pPr>
    </w:p>
    <w:p w14:paraId="71135963" w14:textId="09B7C038" w:rsidR="00F053FA" w:rsidRPr="007354FA" w:rsidRDefault="543A63C7" w:rsidP="007354FA">
      <w:pPr>
        <w:ind w:left="567" w:right="22" w:hanging="567"/>
        <w:rPr>
          <w:sz w:val="20"/>
          <w:szCs w:val="20"/>
        </w:rPr>
      </w:pPr>
      <w:r w:rsidRPr="00542AAA">
        <w:rPr>
          <w:sz w:val="20"/>
          <w:szCs w:val="20"/>
        </w:rPr>
        <w:t>3</w:t>
      </w:r>
      <w:r w:rsidR="1960AEBE" w:rsidRPr="00542AAA">
        <w:rPr>
          <w:sz w:val="20"/>
          <w:szCs w:val="20"/>
        </w:rPr>
        <w:t>.2</w:t>
      </w:r>
      <w:r w:rsidR="007354FA" w:rsidRPr="00542AAA">
        <w:rPr>
          <w:sz w:val="20"/>
          <w:szCs w:val="20"/>
        </w:rPr>
        <w:tab/>
      </w:r>
      <w:r w:rsidR="70DA09D0" w:rsidRPr="00542AAA">
        <w:rPr>
          <w:sz w:val="20"/>
          <w:szCs w:val="20"/>
        </w:rPr>
        <w:t>The</w:t>
      </w:r>
      <w:r w:rsidR="70DA09D0" w:rsidRPr="00542AAA">
        <w:rPr>
          <w:spacing w:val="-7"/>
          <w:sz w:val="20"/>
          <w:szCs w:val="20"/>
        </w:rPr>
        <w:t xml:space="preserve"> </w:t>
      </w:r>
      <w:r w:rsidR="29DB7BC8" w:rsidRPr="00542AAA">
        <w:rPr>
          <w:sz w:val="20"/>
          <w:szCs w:val="20"/>
        </w:rPr>
        <w:t>PI</w:t>
      </w:r>
      <w:r w:rsidR="70DA09D0" w:rsidRPr="00542AAA">
        <w:rPr>
          <w:spacing w:val="-5"/>
          <w:sz w:val="20"/>
          <w:szCs w:val="20"/>
        </w:rPr>
        <w:t xml:space="preserve"> </w:t>
      </w:r>
      <w:r w:rsidR="70DA09D0" w:rsidRPr="00542AAA">
        <w:rPr>
          <w:sz w:val="20"/>
          <w:szCs w:val="20"/>
        </w:rPr>
        <w:t>has</w:t>
      </w:r>
      <w:r w:rsidR="70DA09D0" w:rsidRPr="00542AAA">
        <w:rPr>
          <w:spacing w:val="-5"/>
          <w:sz w:val="20"/>
          <w:szCs w:val="20"/>
        </w:rPr>
        <w:t xml:space="preserve"> </w:t>
      </w:r>
      <w:r w:rsidR="70DA09D0" w:rsidRPr="00542AAA">
        <w:rPr>
          <w:sz w:val="20"/>
          <w:szCs w:val="20"/>
        </w:rPr>
        <w:t>a</w:t>
      </w:r>
      <w:r w:rsidR="70DA09D0" w:rsidRPr="00542AAA">
        <w:rPr>
          <w:spacing w:val="-7"/>
          <w:sz w:val="20"/>
          <w:szCs w:val="20"/>
        </w:rPr>
        <w:t xml:space="preserve"> </w:t>
      </w:r>
      <w:r w:rsidR="70DA09D0" w:rsidRPr="00542AAA">
        <w:rPr>
          <w:sz w:val="20"/>
          <w:szCs w:val="20"/>
        </w:rPr>
        <w:t>responsibility</w:t>
      </w:r>
      <w:r w:rsidR="70DA09D0" w:rsidRPr="00542AAA">
        <w:rPr>
          <w:spacing w:val="-5"/>
          <w:sz w:val="20"/>
          <w:szCs w:val="20"/>
        </w:rPr>
        <w:t xml:space="preserve"> </w:t>
      </w:r>
      <w:r w:rsidR="70DA09D0" w:rsidRPr="00542AAA">
        <w:rPr>
          <w:sz w:val="20"/>
          <w:szCs w:val="20"/>
        </w:rPr>
        <w:t>to</w:t>
      </w:r>
      <w:r w:rsidR="70DA09D0" w:rsidRPr="00542AAA">
        <w:rPr>
          <w:spacing w:val="-7"/>
          <w:sz w:val="20"/>
          <w:szCs w:val="20"/>
        </w:rPr>
        <w:t xml:space="preserve"> </w:t>
      </w:r>
      <w:r w:rsidR="70DA09D0" w:rsidRPr="00542AAA">
        <w:rPr>
          <w:sz w:val="20"/>
          <w:szCs w:val="20"/>
        </w:rPr>
        <w:t>assess</w:t>
      </w:r>
      <w:r w:rsidR="70DA09D0" w:rsidRPr="00542AAA">
        <w:rPr>
          <w:spacing w:val="-5"/>
          <w:sz w:val="20"/>
          <w:szCs w:val="20"/>
        </w:rPr>
        <w:t xml:space="preserve"> </w:t>
      </w:r>
      <w:r w:rsidR="70DA09D0" w:rsidRPr="00542AAA">
        <w:rPr>
          <w:sz w:val="20"/>
          <w:szCs w:val="20"/>
        </w:rPr>
        <w:t>which</w:t>
      </w:r>
      <w:r w:rsidR="70DA09D0" w:rsidRPr="00542AAA">
        <w:rPr>
          <w:spacing w:val="-7"/>
          <w:sz w:val="20"/>
          <w:szCs w:val="20"/>
        </w:rPr>
        <w:t xml:space="preserve"> </w:t>
      </w:r>
      <w:r w:rsidR="70DA09D0" w:rsidRPr="00542AAA">
        <w:rPr>
          <w:sz w:val="20"/>
          <w:szCs w:val="20"/>
        </w:rPr>
        <w:t>research</w:t>
      </w:r>
      <w:r w:rsidR="70DA09D0" w:rsidRPr="007354FA">
        <w:rPr>
          <w:spacing w:val="-7"/>
          <w:sz w:val="20"/>
          <w:szCs w:val="20"/>
        </w:rPr>
        <w:t xml:space="preserve"> </w:t>
      </w:r>
      <w:r w:rsidR="70DA09D0" w:rsidRPr="007354FA">
        <w:rPr>
          <w:sz w:val="20"/>
          <w:szCs w:val="20"/>
        </w:rPr>
        <w:t>data</w:t>
      </w:r>
      <w:r w:rsidR="70DA09D0" w:rsidRPr="007354FA">
        <w:rPr>
          <w:spacing w:val="-7"/>
          <w:sz w:val="20"/>
          <w:szCs w:val="20"/>
        </w:rPr>
        <w:t xml:space="preserve"> </w:t>
      </w:r>
      <w:r w:rsidR="70DA09D0" w:rsidRPr="007354FA">
        <w:rPr>
          <w:sz w:val="20"/>
          <w:szCs w:val="20"/>
        </w:rPr>
        <w:t>should</w:t>
      </w:r>
      <w:r w:rsidR="70DA09D0" w:rsidRPr="007354FA">
        <w:rPr>
          <w:spacing w:val="-7"/>
          <w:sz w:val="20"/>
          <w:szCs w:val="20"/>
        </w:rPr>
        <w:t xml:space="preserve"> </w:t>
      </w:r>
      <w:r w:rsidR="70DA09D0" w:rsidRPr="007354FA">
        <w:rPr>
          <w:sz w:val="20"/>
          <w:szCs w:val="20"/>
        </w:rPr>
        <w:t>be</w:t>
      </w:r>
      <w:r w:rsidR="70DA09D0" w:rsidRPr="007354FA">
        <w:rPr>
          <w:spacing w:val="-7"/>
          <w:sz w:val="20"/>
          <w:szCs w:val="20"/>
        </w:rPr>
        <w:t xml:space="preserve"> </w:t>
      </w:r>
      <w:r w:rsidR="70DA09D0" w:rsidRPr="007354FA">
        <w:rPr>
          <w:sz w:val="20"/>
          <w:szCs w:val="20"/>
        </w:rPr>
        <w:t>offered</w:t>
      </w:r>
      <w:r w:rsidR="70DA09D0" w:rsidRPr="007354FA">
        <w:rPr>
          <w:spacing w:val="-7"/>
          <w:sz w:val="20"/>
          <w:szCs w:val="20"/>
        </w:rPr>
        <w:t xml:space="preserve"> </w:t>
      </w:r>
      <w:r w:rsidR="70DA09D0" w:rsidRPr="007354FA">
        <w:rPr>
          <w:sz w:val="20"/>
          <w:szCs w:val="20"/>
        </w:rPr>
        <w:t>for deposit; to identify an appropriate repository; to specify appropriate levels of access to the data; and to consult relevant third parties (e.g. research participants; academic and non-academic partners) in making these decisions.</w:t>
      </w:r>
    </w:p>
    <w:p w14:paraId="0E5918D0" w14:textId="77777777" w:rsidR="00F053FA" w:rsidRPr="00E203F1" w:rsidRDefault="00F053FA" w:rsidP="000C2460">
      <w:pPr>
        <w:pStyle w:val="BodyText"/>
      </w:pPr>
    </w:p>
    <w:p w14:paraId="0B19A222" w14:textId="78862E1F" w:rsidR="00F053FA" w:rsidRPr="00542AAA" w:rsidRDefault="5829F0C6" w:rsidP="007354FA">
      <w:pPr>
        <w:ind w:left="567" w:hanging="567"/>
        <w:rPr>
          <w:sz w:val="20"/>
          <w:szCs w:val="20"/>
        </w:rPr>
      </w:pPr>
      <w:r w:rsidRPr="007354FA">
        <w:rPr>
          <w:sz w:val="20"/>
          <w:szCs w:val="20"/>
        </w:rPr>
        <w:t>3</w:t>
      </w:r>
      <w:r w:rsidR="054A707C" w:rsidRPr="007354FA">
        <w:rPr>
          <w:sz w:val="20"/>
          <w:szCs w:val="20"/>
        </w:rPr>
        <w:t>.3</w:t>
      </w:r>
      <w:r w:rsidR="007354FA">
        <w:rPr>
          <w:sz w:val="20"/>
          <w:szCs w:val="20"/>
        </w:rPr>
        <w:tab/>
      </w:r>
      <w:r w:rsidR="70DA09D0" w:rsidRPr="007354FA">
        <w:rPr>
          <w:sz w:val="20"/>
          <w:szCs w:val="20"/>
        </w:rPr>
        <w:t>Research data should be published/made publicly accessible as soon as possible, and typically on</w:t>
      </w:r>
      <w:r w:rsidR="70DA09D0" w:rsidRPr="007354FA">
        <w:rPr>
          <w:spacing w:val="-10"/>
          <w:sz w:val="20"/>
          <w:szCs w:val="20"/>
        </w:rPr>
        <w:t xml:space="preserve"> </w:t>
      </w:r>
      <w:r w:rsidR="70DA09D0" w:rsidRPr="007354FA">
        <w:rPr>
          <w:sz w:val="20"/>
          <w:szCs w:val="20"/>
        </w:rPr>
        <w:t>publication</w:t>
      </w:r>
      <w:r w:rsidR="70DA09D0" w:rsidRPr="007354FA">
        <w:rPr>
          <w:spacing w:val="-8"/>
          <w:sz w:val="20"/>
          <w:szCs w:val="20"/>
        </w:rPr>
        <w:t xml:space="preserve"> </w:t>
      </w:r>
      <w:r w:rsidR="70DA09D0" w:rsidRPr="007354FA">
        <w:rPr>
          <w:sz w:val="20"/>
          <w:szCs w:val="20"/>
        </w:rPr>
        <w:t>of</w:t>
      </w:r>
      <w:r w:rsidR="70DA09D0" w:rsidRPr="007354FA">
        <w:rPr>
          <w:spacing w:val="-8"/>
          <w:sz w:val="20"/>
          <w:szCs w:val="20"/>
        </w:rPr>
        <w:t xml:space="preserve"> </w:t>
      </w:r>
      <w:r w:rsidR="70DA09D0" w:rsidRPr="007354FA">
        <w:rPr>
          <w:sz w:val="20"/>
          <w:szCs w:val="20"/>
        </w:rPr>
        <w:t>the</w:t>
      </w:r>
      <w:r w:rsidR="70DA09D0" w:rsidRPr="007354FA">
        <w:rPr>
          <w:spacing w:val="-10"/>
          <w:sz w:val="20"/>
          <w:szCs w:val="20"/>
        </w:rPr>
        <w:t xml:space="preserve"> </w:t>
      </w:r>
      <w:r w:rsidR="70DA09D0" w:rsidRPr="007354FA">
        <w:rPr>
          <w:sz w:val="20"/>
          <w:szCs w:val="20"/>
        </w:rPr>
        <w:t>results.</w:t>
      </w:r>
      <w:r w:rsidR="15803684" w:rsidRPr="007354FA">
        <w:rPr>
          <w:sz w:val="20"/>
          <w:szCs w:val="20"/>
        </w:rPr>
        <w:t xml:space="preserve"> Research data should be ‘as open as possible, as closed as necessary’. </w:t>
      </w:r>
      <w:r w:rsidR="00965823">
        <w:rPr>
          <w:sz w:val="20"/>
          <w:szCs w:val="20"/>
        </w:rPr>
        <w:t>E</w:t>
      </w:r>
      <w:r w:rsidR="70DA09D0" w:rsidRPr="007354FA">
        <w:rPr>
          <w:sz w:val="20"/>
          <w:szCs w:val="20"/>
        </w:rPr>
        <w:t>mbargo</w:t>
      </w:r>
      <w:r w:rsidR="70DA09D0" w:rsidRPr="007354FA">
        <w:rPr>
          <w:spacing w:val="-10"/>
          <w:sz w:val="20"/>
          <w:szCs w:val="20"/>
        </w:rPr>
        <w:t xml:space="preserve"> </w:t>
      </w:r>
      <w:r w:rsidR="70DA09D0" w:rsidRPr="007354FA">
        <w:rPr>
          <w:sz w:val="20"/>
          <w:szCs w:val="20"/>
        </w:rPr>
        <w:t>periods</w:t>
      </w:r>
      <w:r w:rsidR="70DA09D0" w:rsidRPr="007354FA">
        <w:rPr>
          <w:spacing w:val="-9"/>
          <w:sz w:val="20"/>
          <w:szCs w:val="20"/>
        </w:rPr>
        <w:t xml:space="preserve"> </w:t>
      </w:r>
      <w:r w:rsidR="70DA09D0" w:rsidRPr="007354FA">
        <w:rPr>
          <w:sz w:val="20"/>
          <w:szCs w:val="20"/>
        </w:rPr>
        <w:t>are</w:t>
      </w:r>
      <w:r w:rsidR="70DA09D0" w:rsidRPr="007354FA">
        <w:rPr>
          <w:spacing w:val="-8"/>
          <w:sz w:val="20"/>
          <w:szCs w:val="20"/>
        </w:rPr>
        <w:t xml:space="preserve"> </w:t>
      </w:r>
      <w:r w:rsidR="70DA09D0" w:rsidRPr="007354FA">
        <w:rPr>
          <w:sz w:val="20"/>
          <w:szCs w:val="20"/>
        </w:rPr>
        <w:t>acceptable</w:t>
      </w:r>
      <w:r w:rsidR="70DA09D0" w:rsidRPr="007354FA">
        <w:rPr>
          <w:spacing w:val="-8"/>
          <w:sz w:val="20"/>
          <w:szCs w:val="20"/>
        </w:rPr>
        <w:t xml:space="preserve"> </w:t>
      </w:r>
      <w:r w:rsidR="70DA09D0" w:rsidRPr="007354FA">
        <w:rPr>
          <w:sz w:val="20"/>
          <w:szCs w:val="20"/>
        </w:rPr>
        <w:t>and</w:t>
      </w:r>
      <w:r w:rsidR="70DA09D0" w:rsidRPr="007354FA">
        <w:rPr>
          <w:spacing w:val="-10"/>
          <w:sz w:val="20"/>
          <w:szCs w:val="20"/>
        </w:rPr>
        <w:t xml:space="preserve"> </w:t>
      </w:r>
      <w:r w:rsidR="70DA09D0" w:rsidRPr="007354FA">
        <w:rPr>
          <w:sz w:val="20"/>
          <w:szCs w:val="20"/>
        </w:rPr>
        <w:t>should</w:t>
      </w:r>
      <w:r w:rsidR="00965823">
        <w:rPr>
          <w:sz w:val="20"/>
          <w:szCs w:val="20"/>
        </w:rPr>
        <w:t xml:space="preserve"> take account of funders’ </w:t>
      </w:r>
      <w:r w:rsidR="009F3162" w:rsidRPr="007354FA">
        <w:rPr>
          <w:sz w:val="20"/>
          <w:szCs w:val="20"/>
        </w:rPr>
        <w:t>requirements</w:t>
      </w:r>
      <w:r w:rsidR="009F3162">
        <w:rPr>
          <w:sz w:val="20"/>
          <w:szCs w:val="20"/>
        </w:rPr>
        <w:t xml:space="preserve">, </w:t>
      </w:r>
      <w:r w:rsidR="009F3162" w:rsidRPr="007354FA">
        <w:rPr>
          <w:sz w:val="20"/>
          <w:szCs w:val="20"/>
        </w:rPr>
        <w:t>disciplinary</w:t>
      </w:r>
      <w:r w:rsidR="70DA09D0" w:rsidRPr="007354FA">
        <w:rPr>
          <w:sz w:val="20"/>
          <w:szCs w:val="20"/>
        </w:rPr>
        <w:t xml:space="preserve"> practice and commercial valu</w:t>
      </w:r>
      <w:r w:rsidR="009F3162">
        <w:rPr>
          <w:sz w:val="20"/>
          <w:szCs w:val="20"/>
        </w:rPr>
        <w:t>e, and should be made in accordance with funders’ terms and conditions</w:t>
      </w:r>
      <w:r w:rsidR="70DA09D0" w:rsidRPr="007354FA">
        <w:rPr>
          <w:sz w:val="20"/>
          <w:szCs w:val="20"/>
        </w:rPr>
        <w:t>.</w:t>
      </w:r>
      <w:r w:rsidR="70DA09D0" w:rsidRPr="007354FA">
        <w:rPr>
          <w:spacing w:val="40"/>
          <w:sz w:val="20"/>
          <w:szCs w:val="20"/>
        </w:rPr>
        <w:t xml:space="preserve"> </w:t>
      </w:r>
      <w:r w:rsidR="70DA09D0" w:rsidRPr="007354FA">
        <w:rPr>
          <w:sz w:val="20"/>
          <w:szCs w:val="20"/>
        </w:rPr>
        <w:t xml:space="preserve">It is the responsibility of </w:t>
      </w:r>
      <w:r w:rsidR="70DA09D0" w:rsidRPr="00542AAA">
        <w:rPr>
          <w:sz w:val="20"/>
          <w:szCs w:val="20"/>
        </w:rPr>
        <w:t xml:space="preserve">the </w:t>
      </w:r>
      <w:r w:rsidR="274E7593" w:rsidRPr="00542AAA">
        <w:rPr>
          <w:sz w:val="20"/>
          <w:szCs w:val="20"/>
        </w:rPr>
        <w:t>PI</w:t>
      </w:r>
      <w:r w:rsidR="70DA09D0" w:rsidRPr="00542AAA">
        <w:rPr>
          <w:sz w:val="20"/>
          <w:szCs w:val="20"/>
        </w:rPr>
        <w:t xml:space="preserve"> or successor data owner to adhere to funder requirements for data publishing and, where necessary, to negotiate an extension to restrictions on placing data in the public domain.</w:t>
      </w:r>
    </w:p>
    <w:p w14:paraId="19D46C7D" w14:textId="77777777" w:rsidR="00205BF8" w:rsidRPr="00542AAA" w:rsidRDefault="00205BF8" w:rsidP="00C27618">
      <w:pPr>
        <w:pStyle w:val="ListParagraph"/>
        <w:jc w:val="left"/>
        <w:rPr>
          <w:sz w:val="20"/>
          <w:szCs w:val="20"/>
        </w:rPr>
      </w:pPr>
    </w:p>
    <w:p w14:paraId="716D9929" w14:textId="57CAB98B" w:rsidR="00F053FA" w:rsidRDefault="71A309C1" w:rsidP="007354FA">
      <w:pPr>
        <w:ind w:left="567" w:hanging="567"/>
        <w:rPr>
          <w:sz w:val="20"/>
          <w:szCs w:val="20"/>
        </w:rPr>
      </w:pPr>
      <w:r w:rsidRPr="00542AAA">
        <w:rPr>
          <w:sz w:val="20"/>
          <w:szCs w:val="20"/>
        </w:rPr>
        <w:t>3</w:t>
      </w:r>
      <w:r w:rsidR="523823B9" w:rsidRPr="00542AAA">
        <w:rPr>
          <w:sz w:val="20"/>
          <w:szCs w:val="20"/>
        </w:rPr>
        <w:t xml:space="preserve">.4 </w:t>
      </w:r>
      <w:r w:rsidR="007354FA" w:rsidRPr="00542AAA">
        <w:rPr>
          <w:sz w:val="20"/>
          <w:szCs w:val="20"/>
        </w:rPr>
        <w:tab/>
      </w:r>
      <w:r w:rsidR="70DA09D0" w:rsidRPr="00542AAA">
        <w:rPr>
          <w:sz w:val="20"/>
          <w:szCs w:val="20"/>
        </w:rPr>
        <w:t xml:space="preserve">When a data set is published, the </w:t>
      </w:r>
      <w:r w:rsidR="274E7593" w:rsidRPr="00542AAA">
        <w:rPr>
          <w:sz w:val="20"/>
          <w:szCs w:val="20"/>
        </w:rPr>
        <w:t>PI</w:t>
      </w:r>
      <w:r w:rsidR="70DA09D0" w:rsidRPr="00542AAA">
        <w:rPr>
          <w:sz w:val="20"/>
          <w:szCs w:val="20"/>
        </w:rPr>
        <w:t xml:space="preserve"> or data owner is required to select an appropriate licence under which their data will be made available.</w:t>
      </w:r>
      <w:r w:rsidR="70DA09D0" w:rsidRPr="00542AAA">
        <w:rPr>
          <w:spacing w:val="40"/>
          <w:sz w:val="20"/>
          <w:szCs w:val="20"/>
        </w:rPr>
        <w:t xml:space="preserve"> </w:t>
      </w:r>
      <w:r w:rsidR="70DA09D0" w:rsidRPr="00542AAA">
        <w:rPr>
          <w:sz w:val="20"/>
          <w:szCs w:val="20"/>
        </w:rPr>
        <w:t xml:space="preserve">The </w:t>
      </w:r>
      <w:r w:rsidR="274E7593" w:rsidRPr="00542AAA">
        <w:rPr>
          <w:sz w:val="20"/>
          <w:szCs w:val="20"/>
        </w:rPr>
        <w:t>PI</w:t>
      </w:r>
      <w:r w:rsidR="70DA09D0" w:rsidRPr="00542AAA">
        <w:rPr>
          <w:sz w:val="20"/>
          <w:szCs w:val="20"/>
        </w:rPr>
        <w:t xml:space="preserve"> or data owner</w:t>
      </w:r>
      <w:r w:rsidR="70DA09D0" w:rsidRPr="007354FA">
        <w:rPr>
          <w:sz w:val="20"/>
          <w:szCs w:val="20"/>
        </w:rPr>
        <w:t xml:space="preserve"> will need to ensure that the licence permits sharing and re-use of data in accordance with funder requirements and the terms and conditions of this policy.</w:t>
      </w:r>
      <w:r w:rsidR="70DA09D0" w:rsidRPr="007354FA">
        <w:rPr>
          <w:spacing w:val="40"/>
          <w:sz w:val="20"/>
          <w:szCs w:val="20"/>
        </w:rPr>
        <w:t xml:space="preserve"> </w:t>
      </w:r>
      <w:r w:rsidR="70DA09D0" w:rsidRPr="007354FA">
        <w:rPr>
          <w:sz w:val="20"/>
          <w:szCs w:val="20"/>
        </w:rPr>
        <w:t xml:space="preserve">Institutional support and guidance are available </w:t>
      </w:r>
      <w:hyperlink r:id="rId17">
        <w:r w:rsidR="70DA09D0" w:rsidRPr="007354FA">
          <w:rPr>
            <w:color w:val="0000FF"/>
            <w:sz w:val="20"/>
            <w:szCs w:val="20"/>
            <w:u w:val="single" w:color="0000FF"/>
          </w:rPr>
          <w:t>here</w:t>
        </w:r>
        <w:r w:rsidR="70DA09D0" w:rsidRPr="007354FA">
          <w:rPr>
            <w:sz w:val="20"/>
            <w:szCs w:val="20"/>
          </w:rPr>
          <w:t>.</w:t>
        </w:r>
      </w:hyperlink>
      <w:r w:rsidR="70DA09D0" w:rsidRPr="007354FA">
        <w:rPr>
          <w:spacing w:val="40"/>
          <w:sz w:val="20"/>
          <w:szCs w:val="20"/>
        </w:rPr>
        <w:t xml:space="preserve"> </w:t>
      </w:r>
      <w:r w:rsidR="5CC3D97E" w:rsidRPr="007354FA">
        <w:rPr>
          <w:sz w:val="20"/>
          <w:szCs w:val="20"/>
        </w:rPr>
        <w:t>The institutional repository will be used as a catalogue for resea</w:t>
      </w:r>
      <w:r w:rsidR="1BF04C31" w:rsidRPr="007354FA">
        <w:rPr>
          <w:sz w:val="20"/>
          <w:szCs w:val="20"/>
        </w:rPr>
        <w:t>r</w:t>
      </w:r>
      <w:r w:rsidR="5CC3D97E" w:rsidRPr="007354FA">
        <w:rPr>
          <w:sz w:val="20"/>
          <w:szCs w:val="20"/>
        </w:rPr>
        <w:t>ch data using structured metadata and providing a digital object identifier (DOI) if necessary</w:t>
      </w:r>
      <w:r w:rsidR="3C16546D" w:rsidRPr="007354FA">
        <w:rPr>
          <w:sz w:val="20"/>
          <w:szCs w:val="20"/>
        </w:rPr>
        <w:t xml:space="preserve">.  It can be used as a repository for datasets </w:t>
      </w:r>
      <w:proofErr w:type="gramStart"/>
      <w:r w:rsidR="3C16546D" w:rsidRPr="007354FA">
        <w:rPr>
          <w:sz w:val="20"/>
          <w:szCs w:val="20"/>
        </w:rPr>
        <w:t>in the event that</w:t>
      </w:r>
      <w:proofErr w:type="gramEnd"/>
      <w:r w:rsidR="3C16546D" w:rsidRPr="007354FA">
        <w:rPr>
          <w:sz w:val="20"/>
          <w:szCs w:val="20"/>
        </w:rPr>
        <w:t xml:space="preserve"> another suitable repository cannot be found.</w:t>
      </w:r>
    </w:p>
    <w:p w14:paraId="4DF6E3A1" w14:textId="77777777" w:rsidR="007354FA" w:rsidRPr="007354FA" w:rsidRDefault="007354FA" w:rsidP="007354FA">
      <w:pPr>
        <w:ind w:left="567" w:hanging="567"/>
        <w:rPr>
          <w:sz w:val="20"/>
          <w:szCs w:val="20"/>
        </w:rPr>
      </w:pPr>
    </w:p>
    <w:p w14:paraId="63667972" w14:textId="2954BA6C" w:rsidR="3A25BFBA" w:rsidRDefault="178339AC" w:rsidP="007354FA">
      <w:pPr>
        <w:ind w:left="567" w:hanging="567"/>
        <w:rPr>
          <w:sz w:val="20"/>
          <w:szCs w:val="20"/>
        </w:rPr>
      </w:pPr>
      <w:r w:rsidRPr="007354FA">
        <w:rPr>
          <w:sz w:val="20"/>
          <w:szCs w:val="20"/>
        </w:rPr>
        <w:t>3</w:t>
      </w:r>
      <w:r w:rsidR="67F8CA29" w:rsidRPr="007354FA">
        <w:rPr>
          <w:sz w:val="20"/>
          <w:szCs w:val="20"/>
        </w:rPr>
        <w:t>.5</w:t>
      </w:r>
      <w:r w:rsidR="007354FA">
        <w:rPr>
          <w:sz w:val="20"/>
          <w:szCs w:val="20"/>
        </w:rPr>
        <w:tab/>
      </w:r>
      <w:r w:rsidR="70DA09D0" w:rsidRPr="007354FA">
        <w:rPr>
          <w:sz w:val="20"/>
          <w:szCs w:val="20"/>
        </w:rPr>
        <w:t>The</w:t>
      </w:r>
      <w:r w:rsidR="70DA09D0" w:rsidRPr="007354FA">
        <w:rPr>
          <w:spacing w:val="-9"/>
          <w:sz w:val="20"/>
          <w:szCs w:val="20"/>
        </w:rPr>
        <w:t xml:space="preserve"> </w:t>
      </w:r>
      <w:r w:rsidR="70DA09D0" w:rsidRPr="007354FA">
        <w:rPr>
          <w:sz w:val="20"/>
          <w:szCs w:val="20"/>
        </w:rPr>
        <w:t>University</w:t>
      </w:r>
      <w:r w:rsidR="70DA09D0" w:rsidRPr="007354FA">
        <w:rPr>
          <w:spacing w:val="-7"/>
          <w:sz w:val="20"/>
          <w:szCs w:val="20"/>
        </w:rPr>
        <w:t xml:space="preserve"> </w:t>
      </w:r>
      <w:r w:rsidR="70DA09D0" w:rsidRPr="007354FA">
        <w:rPr>
          <w:sz w:val="20"/>
          <w:szCs w:val="20"/>
        </w:rPr>
        <w:t>of</w:t>
      </w:r>
      <w:r w:rsidR="70DA09D0" w:rsidRPr="007354FA">
        <w:rPr>
          <w:spacing w:val="-6"/>
          <w:sz w:val="20"/>
          <w:szCs w:val="20"/>
        </w:rPr>
        <w:t xml:space="preserve"> </w:t>
      </w:r>
      <w:r w:rsidR="70DA09D0" w:rsidRPr="007354FA">
        <w:rPr>
          <w:sz w:val="20"/>
          <w:szCs w:val="20"/>
        </w:rPr>
        <w:t>Aberdeen</w:t>
      </w:r>
      <w:r w:rsidR="70DA09D0" w:rsidRPr="007354FA">
        <w:rPr>
          <w:spacing w:val="-9"/>
          <w:sz w:val="20"/>
          <w:szCs w:val="20"/>
        </w:rPr>
        <w:t xml:space="preserve"> </w:t>
      </w:r>
      <w:r w:rsidR="70DA09D0" w:rsidRPr="007354FA">
        <w:rPr>
          <w:sz w:val="20"/>
          <w:szCs w:val="20"/>
        </w:rPr>
        <w:t>retains</w:t>
      </w:r>
      <w:r w:rsidR="70DA09D0" w:rsidRPr="007354FA">
        <w:rPr>
          <w:spacing w:val="-7"/>
          <w:sz w:val="20"/>
          <w:szCs w:val="20"/>
        </w:rPr>
        <w:t xml:space="preserve"> </w:t>
      </w:r>
      <w:r w:rsidR="70DA09D0" w:rsidRPr="007354FA">
        <w:rPr>
          <w:sz w:val="20"/>
          <w:szCs w:val="20"/>
        </w:rPr>
        <w:t>the</w:t>
      </w:r>
      <w:r w:rsidR="70DA09D0" w:rsidRPr="007354FA">
        <w:rPr>
          <w:spacing w:val="-9"/>
          <w:sz w:val="20"/>
          <w:szCs w:val="20"/>
        </w:rPr>
        <w:t xml:space="preserve"> </w:t>
      </w:r>
      <w:r w:rsidR="70DA09D0" w:rsidRPr="007354FA">
        <w:rPr>
          <w:sz w:val="20"/>
          <w:szCs w:val="20"/>
        </w:rPr>
        <w:t>right</w:t>
      </w:r>
      <w:r w:rsidR="70DA09D0" w:rsidRPr="007354FA">
        <w:rPr>
          <w:spacing w:val="-9"/>
          <w:sz w:val="20"/>
          <w:szCs w:val="20"/>
        </w:rPr>
        <w:t xml:space="preserve"> </w:t>
      </w:r>
      <w:r w:rsidR="70DA09D0" w:rsidRPr="007354FA">
        <w:rPr>
          <w:sz w:val="20"/>
          <w:szCs w:val="20"/>
        </w:rPr>
        <w:t>to</w:t>
      </w:r>
      <w:r w:rsidR="70DA09D0" w:rsidRPr="007354FA">
        <w:rPr>
          <w:spacing w:val="-9"/>
          <w:sz w:val="20"/>
          <w:szCs w:val="20"/>
        </w:rPr>
        <w:t xml:space="preserve"> </w:t>
      </w:r>
      <w:r w:rsidR="70DA09D0" w:rsidRPr="007354FA">
        <w:rPr>
          <w:sz w:val="20"/>
          <w:szCs w:val="20"/>
        </w:rPr>
        <w:t>re-use</w:t>
      </w:r>
      <w:r w:rsidR="70DA09D0" w:rsidRPr="007354FA">
        <w:rPr>
          <w:spacing w:val="-9"/>
          <w:sz w:val="20"/>
          <w:szCs w:val="20"/>
        </w:rPr>
        <w:t xml:space="preserve"> </w:t>
      </w:r>
      <w:r w:rsidR="70DA09D0" w:rsidRPr="007354FA">
        <w:rPr>
          <w:sz w:val="20"/>
          <w:szCs w:val="20"/>
        </w:rPr>
        <w:t>research</w:t>
      </w:r>
      <w:r w:rsidR="70DA09D0" w:rsidRPr="007354FA">
        <w:rPr>
          <w:spacing w:val="-9"/>
          <w:sz w:val="20"/>
          <w:szCs w:val="20"/>
        </w:rPr>
        <w:t xml:space="preserve"> </w:t>
      </w:r>
      <w:r w:rsidR="70DA09D0" w:rsidRPr="007354FA">
        <w:rPr>
          <w:sz w:val="20"/>
          <w:szCs w:val="20"/>
        </w:rPr>
        <w:t>data</w:t>
      </w:r>
      <w:r w:rsidR="70DA09D0" w:rsidRPr="007354FA">
        <w:rPr>
          <w:spacing w:val="-9"/>
          <w:sz w:val="20"/>
          <w:szCs w:val="20"/>
        </w:rPr>
        <w:t xml:space="preserve"> </w:t>
      </w:r>
      <w:r w:rsidR="70DA09D0" w:rsidRPr="007354FA">
        <w:rPr>
          <w:sz w:val="20"/>
          <w:szCs w:val="20"/>
        </w:rPr>
        <w:t>or</w:t>
      </w:r>
      <w:r w:rsidR="70DA09D0" w:rsidRPr="007354FA">
        <w:rPr>
          <w:spacing w:val="-8"/>
          <w:sz w:val="20"/>
          <w:szCs w:val="20"/>
        </w:rPr>
        <w:t xml:space="preserve"> </w:t>
      </w:r>
      <w:r w:rsidR="70DA09D0" w:rsidRPr="007354FA">
        <w:rPr>
          <w:sz w:val="20"/>
          <w:szCs w:val="20"/>
        </w:rPr>
        <w:t>make</w:t>
      </w:r>
      <w:r w:rsidR="70DA09D0" w:rsidRPr="007354FA">
        <w:rPr>
          <w:spacing w:val="-7"/>
          <w:sz w:val="20"/>
          <w:szCs w:val="20"/>
        </w:rPr>
        <w:t xml:space="preserve"> </w:t>
      </w:r>
      <w:r w:rsidR="70DA09D0" w:rsidRPr="007354FA">
        <w:rPr>
          <w:sz w:val="20"/>
          <w:szCs w:val="20"/>
        </w:rPr>
        <w:t>it</w:t>
      </w:r>
      <w:r w:rsidR="70DA09D0" w:rsidRPr="007354FA">
        <w:rPr>
          <w:spacing w:val="-9"/>
          <w:sz w:val="20"/>
          <w:szCs w:val="20"/>
        </w:rPr>
        <w:t xml:space="preserve"> </w:t>
      </w:r>
      <w:r w:rsidR="70DA09D0" w:rsidRPr="007354FA">
        <w:rPr>
          <w:sz w:val="20"/>
          <w:szCs w:val="20"/>
        </w:rPr>
        <w:t>openly</w:t>
      </w:r>
      <w:r w:rsidR="70DA09D0" w:rsidRPr="007354FA">
        <w:rPr>
          <w:spacing w:val="-7"/>
          <w:sz w:val="20"/>
          <w:szCs w:val="20"/>
        </w:rPr>
        <w:t xml:space="preserve"> </w:t>
      </w:r>
      <w:r w:rsidR="70DA09D0" w:rsidRPr="007354FA">
        <w:rPr>
          <w:sz w:val="20"/>
          <w:szCs w:val="20"/>
        </w:rPr>
        <w:t>available</w:t>
      </w:r>
      <w:r w:rsidR="70DA09D0" w:rsidRPr="007354FA">
        <w:rPr>
          <w:spacing w:val="-9"/>
          <w:sz w:val="20"/>
          <w:szCs w:val="20"/>
        </w:rPr>
        <w:t xml:space="preserve"> </w:t>
      </w:r>
      <w:r w:rsidR="70DA09D0" w:rsidRPr="007354FA">
        <w:rPr>
          <w:sz w:val="20"/>
          <w:szCs w:val="20"/>
        </w:rPr>
        <w:t>for others to re-use.</w:t>
      </w:r>
      <w:r w:rsidR="70DA09D0" w:rsidRPr="007354FA">
        <w:rPr>
          <w:spacing w:val="40"/>
          <w:sz w:val="20"/>
          <w:szCs w:val="20"/>
        </w:rPr>
        <w:t xml:space="preserve"> </w:t>
      </w:r>
      <w:r w:rsidR="405835B0" w:rsidRPr="007354FA">
        <w:rPr>
          <w:sz w:val="20"/>
          <w:szCs w:val="20"/>
        </w:rPr>
        <w:t xml:space="preserve">Where the data is identifiable you must undertake a compatibility assessment to judge whether it is acceptable to use </w:t>
      </w:r>
      <w:r w:rsidR="10626BDF" w:rsidRPr="007354FA">
        <w:rPr>
          <w:sz w:val="20"/>
          <w:szCs w:val="20"/>
        </w:rPr>
        <w:t xml:space="preserve">it </w:t>
      </w:r>
      <w:r w:rsidR="405835B0" w:rsidRPr="007354FA">
        <w:rPr>
          <w:sz w:val="20"/>
          <w:szCs w:val="20"/>
        </w:rPr>
        <w:t>for a different purpose</w:t>
      </w:r>
      <w:r w:rsidR="009F3162">
        <w:rPr>
          <w:sz w:val="20"/>
          <w:szCs w:val="20"/>
        </w:rPr>
        <w:t xml:space="preserve"> - further </w:t>
      </w:r>
      <w:r w:rsidR="405835B0" w:rsidRPr="007354FA">
        <w:rPr>
          <w:sz w:val="20"/>
          <w:szCs w:val="20"/>
        </w:rPr>
        <w:t xml:space="preserve">advice </w:t>
      </w:r>
      <w:r w:rsidR="009F3162">
        <w:rPr>
          <w:sz w:val="20"/>
          <w:szCs w:val="20"/>
        </w:rPr>
        <w:t>must be sought from the Information Governance Team</w:t>
      </w:r>
      <w:r w:rsidR="405835B0" w:rsidRPr="007354FA">
        <w:rPr>
          <w:sz w:val="20"/>
          <w:szCs w:val="20"/>
        </w:rPr>
        <w:t xml:space="preserve"> </w:t>
      </w:r>
      <w:r w:rsidR="009F3162">
        <w:rPr>
          <w:sz w:val="20"/>
          <w:szCs w:val="20"/>
        </w:rPr>
        <w:t>(</w:t>
      </w:r>
      <w:hyperlink r:id="rId18" w:history="1">
        <w:r w:rsidR="009F3162" w:rsidRPr="00EB4AD7">
          <w:rPr>
            <w:rStyle w:val="Hyperlink"/>
            <w:sz w:val="20"/>
            <w:szCs w:val="20"/>
          </w:rPr>
          <w:t>dpa@abdn.ac.uk</w:t>
        </w:r>
      </w:hyperlink>
      <w:r w:rsidR="009F3162">
        <w:rPr>
          <w:sz w:val="20"/>
          <w:szCs w:val="20"/>
        </w:rPr>
        <w:t>)</w:t>
      </w:r>
      <w:r w:rsidR="405835B0" w:rsidRPr="007354FA">
        <w:rPr>
          <w:sz w:val="20"/>
          <w:szCs w:val="20"/>
        </w:rPr>
        <w:t xml:space="preserve">. </w:t>
      </w:r>
      <w:r w:rsidR="70DA09D0" w:rsidRPr="007354FA">
        <w:rPr>
          <w:sz w:val="20"/>
          <w:szCs w:val="20"/>
        </w:rPr>
        <w:t>Exclusive rights to re-use or publish research data should therefore not be handed over to commercial publishers or agents without retaining the rights to make the data openly available for re-use, unless this is a condition of funding or other agreed third-party rights.</w:t>
      </w:r>
    </w:p>
    <w:p w14:paraId="2B42B979" w14:textId="77777777" w:rsidR="007354FA" w:rsidRPr="007354FA" w:rsidRDefault="007354FA" w:rsidP="007354FA">
      <w:pPr>
        <w:ind w:left="567" w:hanging="567"/>
        <w:rPr>
          <w:sz w:val="20"/>
          <w:szCs w:val="20"/>
        </w:rPr>
      </w:pPr>
    </w:p>
    <w:p w14:paraId="273D0659" w14:textId="41D23EB4" w:rsidR="00F053FA" w:rsidRPr="00E203F1" w:rsidRDefault="026201BF" w:rsidP="009F3162">
      <w:pPr>
        <w:pStyle w:val="ListParagraph"/>
        <w:spacing w:line="259" w:lineRule="auto"/>
        <w:ind w:left="567" w:hanging="545"/>
        <w:jc w:val="left"/>
        <w:rPr>
          <w:sz w:val="20"/>
          <w:szCs w:val="20"/>
        </w:rPr>
      </w:pPr>
      <w:r w:rsidRPr="00E203F1">
        <w:rPr>
          <w:sz w:val="20"/>
          <w:szCs w:val="20"/>
        </w:rPr>
        <w:t xml:space="preserve">3.6 </w:t>
      </w:r>
      <w:r w:rsidR="007354FA">
        <w:rPr>
          <w:sz w:val="20"/>
          <w:szCs w:val="20"/>
        </w:rPr>
        <w:tab/>
      </w:r>
      <w:r w:rsidR="70DA09D0" w:rsidRPr="00E203F1">
        <w:rPr>
          <w:sz w:val="20"/>
          <w:szCs w:val="20"/>
        </w:rPr>
        <w:t>A central record of known datasets deposited in public access repositories, including our institutional repositories, will be maintained in the institutional research information system.</w:t>
      </w:r>
      <w:r w:rsidR="70DA09D0" w:rsidRPr="00E203F1">
        <w:rPr>
          <w:spacing w:val="40"/>
          <w:sz w:val="20"/>
          <w:szCs w:val="20"/>
        </w:rPr>
        <w:t xml:space="preserve"> </w:t>
      </w:r>
      <w:r w:rsidR="70DA09D0" w:rsidRPr="00E203F1">
        <w:rPr>
          <w:sz w:val="20"/>
          <w:szCs w:val="20"/>
        </w:rPr>
        <w:t xml:space="preserve">The deposit of a data set in an external publicly accessible repository should be notified to </w:t>
      </w:r>
      <w:hyperlink r:id="rId19" w:history="1">
        <w:r w:rsidR="009F3162" w:rsidRPr="00EB4AD7">
          <w:rPr>
            <w:rStyle w:val="Hyperlink"/>
            <w:sz w:val="20"/>
            <w:szCs w:val="20"/>
          </w:rPr>
          <w:t>openresearch@abdn.ac.uk</w:t>
        </w:r>
      </w:hyperlink>
      <w:r w:rsidR="009F3162">
        <w:rPr>
          <w:sz w:val="20"/>
          <w:szCs w:val="20"/>
        </w:rPr>
        <w:t xml:space="preserve"> </w:t>
      </w:r>
      <w:r w:rsidR="70DA09D0" w:rsidRPr="00E203F1">
        <w:rPr>
          <w:sz w:val="20"/>
          <w:szCs w:val="20"/>
        </w:rPr>
        <w:t>to enable the cataloguing of metadata.</w:t>
      </w:r>
    </w:p>
    <w:p w14:paraId="3BD50B4F" w14:textId="77777777" w:rsidR="00C878B5" w:rsidRPr="00E203F1" w:rsidRDefault="00C878B5" w:rsidP="000C2460">
      <w:pPr>
        <w:pStyle w:val="ListParagraph"/>
        <w:jc w:val="left"/>
        <w:rPr>
          <w:sz w:val="20"/>
          <w:szCs w:val="20"/>
        </w:rPr>
      </w:pPr>
    </w:p>
    <w:p w14:paraId="0F57F169" w14:textId="1C126D3D" w:rsidR="00C878B5" w:rsidRPr="00542AAA" w:rsidRDefault="05FB6A40" w:rsidP="007354FA">
      <w:pPr>
        <w:pStyle w:val="ListParagraph"/>
        <w:ind w:left="567" w:hanging="567"/>
        <w:jc w:val="left"/>
        <w:rPr>
          <w:sz w:val="20"/>
          <w:szCs w:val="20"/>
        </w:rPr>
      </w:pPr>
      <w:r w:rsidRPr="105DB403">
        <w:rPr>
          <w:sz w:val="20"/>
          <w:szCs w:val="20"/>
        </w:rPr>
        <w:t xml:space="preserve">3.7 </w:t>
      </w:r>
      <w:r w:rsidR="007354FA">
        <w:rPr>
          <w:sz w:val="20"/>
          <w:szCs w:val="20"/>
        </w:rPr>
        <w:tab/>
      </w:r>
      <w:r w:rsidR="5E33BA4B" w:rsidRPr="105DB403">
        <w:rPr>
          <w:sz w:val="20"/>
          <w:szCs w:val="20"/>
        </w:rPr>
        <w:t xml:space="preserve">When sharing data, </w:t>
      </w:r>
      <w:r w:rsidR="5E33BA4B" w:rsidRPr="00542AAA">
        <w:rPr>
          <w:sz w:val="20"/>
          <w:szCs w:val="20"/>
        </w:rPr>
        <w:t>rese</w:t>
      </w:r>
      <w:r w:rsidR="48231CE8" w:rsidRPr="00542AAA">
        <w:rPr>
          <w:sz w:val="20"/>
          <w:szCs w:val="20"/>
        </w:rPr>
        <w:t>ar</w:t>
      </w:r>
      <w:r w:rsidR="5E33BA4B" w:rsidRPr="00542AAA">
        <w:rPr>
          <w:sz w:val="20"/>
          <w:szCs w:val="20"/>
        </w:rPr>
        <w:t xml:space="preserve">chers must follow the </w:t>
      </w:r>
      <w:hyperlink r:id="rId20">
        <w:r w:rsidR="5E33BA4B" w:rsidRPr="00542AAA">
          <w:rPr>
            <w:rStyle w:val="Hyperlink"/>
            <w:sz w:val="20"/>
            <w:szCs w:val="20"/>
          </w:rPr>
          <w:t>FAIR principles</w:t>
        </w:r>
      </w:hyperlink>
      <w:r w:rsidR="42F9E55C" w:rsidRPr="00542AAA">
        <w:rPr>
          <w:sz w:val="20"/>
          <w:szCs w:val="20"/>
        </w:rPr>
        <w:t xml:space="preserve"> - s</w:t>
      </w:r>
      <w:r w:rsidR="0C54F7A1" w:rsidRPr="00542AAA">
        <w:rPr>
          <w:sz w:val="20"/>
          <w:szCs w:val="20"/>
        </w:rPr>
        <w:t>hareable research data should be findable, accessible, interoperable and re-usable.</w:t>
      </w:r>
      <w:r w:rsidR="42F9E55C" w:rsidRPr="00542AAA">
        <w:rPr>
          <w:sz w:val="20"/>
          <w:szCs w:val="20"/>
        </w:rPr>
        <w:t xml:space="preserve"> </w:t>
      </w:r>
      <w:r w:rsidR="007354FA" w:rsidRPr="00542AAA">
        <w:rPr>
          <w:sz w:val="20"/>
          <w:szCs w:val="20"/>
        </w:rPr>
        <w:t xml:space="preserve"> </w:t>
      </w:r>
      <w:r w:rsidR="42F9E55C" w:rsidRPr="00542AAA">
        <w:rPr>
          <w:sz w:val="20"/>
          <w:szCs w:val="20"/>
        </w:rPr>
        <w:t>PIs and PGR students should reflect on the most effective strategies for ensuring their data meets FAIR principles within their DMPs.</w:t>
      </w:r>
    </w:p>
    <w:p w14:paraId="08CC07F1" w14:textId="77777777" w:rsidR="00BC075B" w:rsidRPr="00542AAA" w:rsidRDefault="00BC075B" w:rsidP="007354FA">
      <w:pPr>
        <w:pStyle w:val="ListParagraph"/>
        <w:ind w:left="567" w:hanging="567"/>
        <w:jc w:val="left"/>
        <w:rPr>
          <w:sz w:val="20"/>
          <w:szCs w:val="20"/>
        </w:rPr>
      </w:pPr>
    </w:p>
    <w:p w14:paraId="0BE1DFD5" w14:textId="6FA4C295" w:rsidR="00BC075B" w:rsidRPr="00E203F1" w:rsidRDefault="00BC075B" w:rsidP="00BC075B">
      <w:pPr>
        <w:pStyle w:val="ListParagraph"/>
        <w:ind w:left="567" w:hanging="567"/>
        <w:jc w:val="left"/>
        <w:rPr>
          <w:sz w:val="20"/>
          <w:szCs w:val="20"/>
        </w:rPr>
      </w:pPr>
      <w:r w:rsidRPr="00542AAA">
        <w:rPr>
          <w:sz w:val="20"/>
          <w:szCs w:val="20"/>
        </w:rPr>
        <w:t>3.8</w:t>
      </w:r>
      <w:r w:rsidRPr="00542AAA">
        <w:rPr>
          <w:sz w:val="20"/>
          <w:szCs w:val="20"/>
        </w:rPr>
        <w:tab/>
        <w:t xml:space="preserve">When collaborating with any external partner(s), researchers must </w:t>
      </w:r>
      <w:r w:rsidR="00FD3E63" w:rsidRPr="00542AAA">
        <w:rPr>
          <w:sz w:val="20"/>
          <w:szCs w:val="20"/>
        </w:rPr>
        <w:t>contact</w:t>
      </w:r>
      <w:r w:rsidR="00FD3E63">
        <w:rPr>
          <w:sz w:val="20"/>
          <w:szCs w:val="20"/>
        </w:rPr>
        <w:t xml:space="preserve"> their assigned Research Development Executive in Research &amp; Innovation for support in </w:t>
      </w:r>
      <w:r>
        <w:rPr>
          <w:sz w:val="20"/>
          <w:szCs w:val="20"/>
        </w:rPr>
        <w:t>establish</w:t>
      </w:r>
      <w:r w:rsidR="00FD3E63">
        <w:rPr>
          <w:sz w:val="20"/>
          <w:szCs w:val="20"/>
        </w:rPr>
        <w:t>ing</w:t>
      </w:r>
      <w:r>
        <w:rPr>
          <w:sz w:val="20"/>
          <w:szCs w:val="20"/>
        </w:rPr>
        <w:t xml:space="preserve"> an agreement with the research partners outlining the rights and responsibilities of both parties regarding the data collected.  This includes key decisions regarding data storage, back up and security, registration, </w:t>
      </w:r>
      <w:r w:rsidR="009F3162">
        <w:rPr>
          <w:sz w:val="20"/>
          <w:szCs w:val="20"/>
        </w:rPr>
        <w:t xml:space="preserve">publication, </w:t>
      </w:r>
      <w:r>
        <w:rPr>
          <w:sz w:val="20"/>
          <w:szCs w:val="20"/>
        </w:rPr>
        <w:t>access, transfer, retention, destruction, archiving and licensing.</w:t>
      </w:r>
    </w:p>
    <w:p w14:paraId="59FE225D" w14:textId="77777777" w:rsidR="00BC075B" w:rsidRDefault="00BC075B" w:rsidP="007354FA">
      <w:pPr>
        <w:pStyle w:val="ListParagraph"/>
        <w:ind w:left="567" w:hanging="567"/>
        <w:jc w:val="left"/>
        <w:rPr>
          <w:sz w:val="20"/>
          <w:szCs w:val="20"/>
        </w:rPr>
      </w:pPr>
    </w:p>
    <w:p w14:paraId="48E71203" w14:textId="27439630" w:rsidR="007354FA" w:rsidRDefault="70DA09D0" w:rsidP="007354FA">
      <w:pPr>
        <w:pStyle w:val="BodyText"/>
        <w:numPr>
          <w:ilvl w:val="0"/>
          <w:numId w:val="1"/>
        </w:numPr>
        <w:spacing w:before="200"/>
        <w:ind w:left="360"/>
        <w:rPr>
          <w:b/>
          <w:bCs/>
        </w:rPr>
      </w:pPr>
      <w:bookmarkStart w:id="2" w:name="Data_Management_Practice"/>
      <w:bookmarkEnd w:id="2"/>
      <w:r w:rsidRPr="007354FA">
        <w:rPr>
          <w:b/>
          <w:bCs/>
        </w:rPr>
        <w:t>D</w:t>
      </w:r>
      <w:r w:rsidR="720C12D2" w:rsidRPr="007354FA">
        <w:rPr>
          <w:b/>
          <w:bCs/>
        </w:rPr>
        <w:t>ATA MANAGEMENT PRACTICE</w:t>
      </w:r>
    </w:p>
    <w:p w14:paraId="031D55CF" w14:textId="77777777" w:rsidR="007354FA" w:rsidRDefault="007354FA" w:rsidP="007354FA">
      <w:pPr>
        <w:pStyle w:val="ListParagraph"/>
        <w:tabs>
          <w:tab w:val="left" w:pos="445"/>
          <w:tab w:val="left" w:pos="447"/>
        </w:tabs>
        <w:ind w:left="447" w:right="23" w:firstLine="0"/>
        <w:jc w:val="left"/>
        <w:rPr>
          <w:sz w:val="20"/>
          <w:szCs w:val="20"/>
        </w:rPr>
      </w:pPr>
    </w:p>
    <w:p w14:paraId="3356775E" w14:textId="5C14194D" w:rsidR="00F053FA" w:rsidRDefault="42145C30" w:rsidP="007354FA">
      <w:pPr>
        <w:pStyle w:val="ListParagraph"/>
        <w:ind w:left="567" w:right="23" w:hanging="567"/>
        <w:jc w:val="left"/>
        <w:rPr>
          <w:sz w:val="20"/>
          <w:szCs w:val="20"/>
        </w:rPr>
      </w:pPr>
      <w:r w:rsidRPr="00E203F1">
        <w:rPr>
          <w:sz w:val="20"/>
          <w:szCs w:val="20"/>
        </w:rPr>
        <w:t xml:space="preserve">4.1 </w:t>
      </w:r>
      <w:r w:rsidR="007354FA">
        <w:rPr>
          <w:sz w:val="20"/>
          <w:szCs w:val="20"/>
        </w:rPr>
        <w:tab/>
      </w:r>
      <w:r w:rsidR="70DA09D0" w:rsidRPr="00E203F1">
        <w:rPr>
          <w:sz w:val="20"/>
          <w:szCs w:val="20"/>
        </w:rPr>
        <w:t>All</w:t>
      </w:r>
      <w:r w:rsidR="70DA09D0" w:rsidRPr="00E203F1">
        <w:rPr>
          <w:spacing w:val="-9"/>
          <w:sz w:val="20"/>
          <w:szCs w:val="20"/>
        </w:rPr>
        <w:t xml:space="preserve"> </w:t>
      </w:r>
      <w:r w:rsidR="70DA09D0" w:rsidRPr="00E203F1">
        <w:rPr>
          <w:sz w:val="20"/>
          <w:szCs w:val="20"/>
        </w:rPr>
        <w:t>personal</w:t>
      </w:r>
      <w:r w:rsidR="70DA09D0" w:rsidRPr="00E203F1">
        <w:rPr>
          <w:spacing w:val="-6"/>
          <w:sz w:val="20"/>
          <w:szCs w:val="20"/>
        </w:rPr>
        <w:t xml:space="preserve"> </w:t>
      </w:r>
      <w:r w:rsidR="70DA09D0" w:rsidRPr="00E203F1">
        <w:rPr>
          <w:sz w:val="20"/>
          <w:szCs w:val="20"/>
        </w:rPr>
        <w:t>data</w:t>
      </w:r>
      <w:r w:rsidR="003F0E2D">
        <w:rPr>
          <w:sz w:val="20"/>
          <w:szCs w:val="20"/>
        </w:rPr>
        <w:t xml:space="preserve"> must </w:t>
      </w:r>
      <w:r w:rsidR="70DA09D0" w:rsidRPr="00E203F1">
        <w:rPr>
          <w:spacing w:val="-8"/>
          <w:sz w:val="20"/>
          <w:szCs w:val="20"/>
        </w:rPr>
        <w:t>be</w:t>
      </w:r>
      <w:r w:rsidR="70DA09D0" w:rsidRPr="00E203F1">
        <w:rPr>
          <w:sz w:val="20"/>
          <w:szCs w:val="20"/>
        </w:rPr>
        <w:t xml:space="preserve"> </w:t>
      </w:r>
      <w:r w:rsidR="70DA09D0" w:rsidRPr="00E203F1">
        <w:rPr>
          <w:spacing w:val="-8"/>
          <w:sz w:val="20"/>
          <w:szCs w:val="20"/>
        </w:rPr>
        <w:t>collected</w:t>
      </w:r>
      <w:r w:rsidR="70DA09D0" w:rsidRPr="00E203F1">
        <w:rPr>
          <w:sz w:val="20"/>
          <w:szCs w:val="20"/>
        </w:rPr>
        <w:t xml:space="preserve"> </w:t>
      </w:r>
      <w:r w:rsidR="70DA09D0" w:rsidRPr="00E203F1">
        <w:rPr>
          <w:spacing w:val="-6"/>
          <w:sz w:val="20"/>
          <w:szCs w:val="20"/>
        </w:rPr>
        <w:t>and</w:t>
      </w:r>
      <w:r w:rsidR="70DA09D0" w:rsidRPr="00E203F1">
        <w:rPr>
          <w:sz w:val="20"/>
          <w:szCs w:val="20"/>
        </w:rPr>
        <w:t xml:space="preserve"> </w:t>
      </w:r>
      <w:r w:rsidR="70DA09D0" w:rsidRPr="00E203F1">
        <w:rPr>
          <w:spacing w:val="-6"/>
          <w:sz w:val="20"/>
          <w:szCs w:val="20"/>
        </w:rPr>
        <w:t>managed</w:t>
      </w:r>
      <w:r w:rsidR="70DA09D0" w:rsidRPr="00E203F1">
        <w:rPr>
          <w:sz w:val="20"/>
          <w:szCs w:val="20"/>
        </w:rPr>
        <w:t xml:space="preserve"> </w:t>
      </w:r>
      <w:r w:rsidR="70DA09D0" w:rsidRPr="00E203F1">
        <w:rPr>
          <w:spacing w:val="-6"/>
          <w:sz w:val="20"/>
          <w:szCs w:val="20"/>
        </w:rPr>
        <w:t>in</w:t>
      </w:r>
      <w:r w:rsidR="70DA09D0" w:rsidRPr="00E203F1">
        <w:rPr>
          <w:sz w:val="20"/>
          <w:szCs w:val="20"/>
        </w:rPr>
        <w:t xml:space="preserve"> </w:t>
      </w:r>
      <w:r w:rsidR="70DA09D0" w:rsidRPr="00E203F1">
        <w:rPr>
          <w:spacing w:val="-8"/>
          <w:sz w:val="20"/>
          <w:szCs w:val="20"/>
        </w:rPr>
        <w:t>compliance</w:t>
      </w:r>
      <w:r w:rsidR="70DA09D0" w:rsidRPr="00E203F1">
        <w:rPr>
          <w:sz w:val="20"/>
          <w:szCs w:val="20"/>
        </w:rPr>
        <w:t xml:space="preserve"> </w:t>
      </w:r>
      <w:r w:rsidR="70DA09D0" w:rsidRPr="00E203F1">
        <w:rPr>
          <w:spacing w:val="-8"/>
          <w:sz w:val="20"/>
          <w:szCs w:val="20"/>
        </w:rPr>
        <w:t>with</w:t>
      </w:r>
      <w:r w:rsidR="70DA09D0" w:rsidRPr="00E203F1">
        <w:rPr>
          <w:sz w:val="20"/>
          <w:szCs w:val="20"/>
        </w:rPr>
        <w:t xml:space="preserve"> </w:t>
      </w:r>
      <w:r w:rsidR="70DA09D0" w:rsidRPr="00E203F1">
        <w:rPr>
          <w:spacing w:val="-8"/>
          <w:sz w:val="20"/>
          <w:szCs w:val="20"/>
        </w:rPr>
        <w:t>the</w:t>
      </w:r>
      <w:r w:rsidR="37158CDD" w:rsidRPr="00E203F1">
        <w:rPr>
          <w:sz w:val="20"/>
          <w:szCs w:val="20"/>
        </w:rPr>
        <w:t xml:space="preserve"> UK</w:t>
      </w:r>
      <w:r w:rsidR="70DA09D0" w:rsidRPr="00E203F1">
        <w:rPr>
          <w:sz w:val="20"/>
          <w:szCs w:val="20"/>
        </w:rPr>
        <w:t xml:space="preserve"> </w:t>
      </w:r>
      <w:r w:rsidR="70DA09D0" w:rsidRPr="00E203F1">
        <w:rPr>
          <w:spacing w:val="-8"/>
          <w:sz w:val="20"/>
          <w:szCs w:val="20"/>
        </w:rPr>
        <w:t>General</w:t>
      </w:r>
      <w:r w:rsidR="70DA09D0" w:rsidRPr="00E203F1">
        <w:rPr>
          <w:sz w:val="20"/>
          <w:szCs w:val="20"/>
        </w:rPr>
        <w:t xml:space="preserve"> </w:t>
      </w:r>
      <w:r w:rsidR="70DA09D0" w:rsidRPr="00E203F1">
        <w:rPr>
          <w:spacing w:val="-4"/>
          <w:sz w:val="20"/>
          <w:szCs w:val="20"/>
        </w:rPr>
        <w:t>Data</w:t>
      </w:r>
      <w:r w:rsidR="70DA09D0" w:rsidRPr="00E203F1">
        <w:rPr>
          <w:sz w:val="20"/>
          <w:szCs w:val="20"/>
        </w:rPr>
        <w:t xml:space="preserve"> </w:t>
      </w:r>
      <w:r w:rsidR="70DA09D0" w:rsidRPr="00E203F1">
        <w:rPr>
          <w:spacing w:val="-6"/>
          <w:sz w:val="20"/>
          <w:szCs w:val="20"/>
        </w:rPr>
        <w:t xml:space="preserve">Protection Regulation </w:t>
      </w:r>
      <w:r w:rsidR="70DA09D0" w:rsidRPr="00E203F1" w:rsidDel="00922704">
        <w:rPr>
          <w:sz w:val="20"/>
          <w:szCs w:val="20"/>
        </w:rPr>
        <w:t>and the UK Data Protection Act 2018, or successive legislation. Standards and procedures for</w:t>
      </w:r>
      <w:r w:rsidR="70DA09D0" w:rsidRPr="00E203F1">
        <w:rPr>
          <w:sz w:val="20"/>
          <w:szCs w:val="20"/>
        </w:rPr>
        <w:t xml:space="preserve"> </w:t>
      </w:r>
      <w:r w:rsidR="70DA09D0" w:rsidRPr="00E203F1">
        <w:rPr>
          <w:spacing w:val="-1"/>
          <w:sz w:val="20"/>
          <w:szCs w:val="20"/>
        </w:rPr>
        <w:t>processing</w:t>
      </w:r>
      <w:r w:rsidR="70DA09D0" w:rsidRPr="00E203F1">
        <w:rPr>
          <w:sz w:val="20"/>
          <w:szCs w:val="20"/>
        </w:rPr>
        <w:t xml:space="preserve"> </w:t>
      </w:r>
      <w:r w:rsidR="70DA09D0" w:rsidRPr="00E203F1">
        <w:rPr>
          <w:spacing w:val="-2"/>
          <w:sz w:val="20"/>
          <w:szCs w:val="20"/>
        </w:rPr>
        <w:t>personal</w:t>
      </w:r>
      <w:r w:rsidR="70DA09D0" w:rsidRPr="00E203F1">
        <w:rPr>
          <w:sz w:val="20"/>
          <w:szCs w:val="20"/>
        </w:rPr>
        <w:t xml:space="preserve"> </w:t>
      </w:r>
      <w:r w:rsidR="70DA09D0" w:rsidRPr="00E203F1">
        <w:rPr>
          <w:spacing w:val="-3"/>
          <w:sz w:val="20"/>
          <w:szCs w:val="20"/>
        </w:rPr>
        <w:t>data</w:t>
      </w:r>
      <w:r w:rsidR="70DA09D0" w:rsidRPr="00E203F1">
        <w:rPr>
          <w:sz w:val="20"/>
          <w:szCs w:val="20"/>
        </w:rPr>
        <w:t xml:space="preserve"> </w:t>
      </w:r>
      <w:r w:rsidR="70DA09D0" w:rsidRPr="00E203F1">
        <w:rPr>
          <w:spacing w:val="-2"/>
          <w:sz w:val="20"/>
          <w:szCs w:val="20"/>
        </w:rPr>
        <w:t>are set</w:t>
      </w:r>
      <w:r w:rsidR="70DA09D0" w:rsidRPr="00E203F1">
        <w:rPr>
          <w:sz w:val="20"/>
          <w:szCs w:val="20"/>
        </w:rPr>
        <w:t xml:space="preserve"> out in the University of Aberdeen Data Protection Policy.</w:t>
      </w:r>
      <w:r w:rsidR="00D07BAC">
        <w:rPr>
          <w:sz w:val="20"/>
          <w:szCs w:val="20"/>
        </w:rPr>
        <w:t xml:space="preserve">  For research projects that involve transfer of personal data to a country outside of the UK, </w:t>
      </w:r>
      <w:r w:rsidR="00D07BAC" w:rsidRPr="00AD3E51">
        <w:rPr>
          <w:sz w:val="20"/>
          <w:szCs w:val="20"/>
        </w:rPr>
        <w:t>researcher</w:t>
      </w:r>
      <w:r w:rsidR="00D07BAC">
        <w:rPr>
          <w:sz w:val="20"/>
          <w:szCs w:val="20"/>
        </w:rPr>
        <w:t xml:space="preserve">s must abide by the University’s </w:t>
      </w:r>
      <w:hyperlink r:id="rId21" w:history="1">
        <w:r w:rsidR="00D07BAC" w:rsidRPr="00D07BAC">
          <w:rPr>
            <w:rStyle w:val="Hyperlink"/>
            <w:sz w:val="20"/>
            <w:szCs w:val="20"/>
          </w:rPr>
          <w:t>Information Governance Framework for International Data Transfers</w:t>
        </w:r>
      </w:hyperlink>
      <w:r w:rsidR="00D07BAC">
        <w:rPr>
          <w:sz w:val="20"/>
          <w:szCs w:val="20"/>
        </w:rPr>
        <w:t>.</w:t>
      </w:r>
      <w:r w:rsidR="00921FB1">
        <w:rPr>
          <w:sz w:val="20"/>
          <w:szCs w:val="20"/>
        </w:rPr>
        <w:t xml:space="preserve"> </w:t>
      </w:r>
      <w:r w:rsidR="0099100A">
        <w:rPr>
          <w:sz w:val="20"/>
          <w:szCs w:val="20"/>
        </w:rPr>
        <w:t xml:space="preserve"> (Note: </w:t>
      </w:r>
      <w:r w:rsidR="00765C41">
        <w:rPr>
          <w:sz w:val="20"/>
          <w:szCs w:val="20"/>
        </w:rPr>
        <w:t>where research projects gather or process personal data in a country outside of the UK, there may be a requirement to comply with data protection legislation in that country.)</w:t>
      </w:r>
    </w:p>
    <w:p w14:paraId="6D31CB45" w14:textId="77777777" w:rsidR="009F3162" w:rsidRDefault="009F3162" w:rsidP="007354FA">
      <w:pPr>
        <w:pStyle w:val="ListParagraph"/>
        <w:ind w:left="567" w:right="23" w:hanging="567"/>
        <w:jc w:val="left"/>
        <w:rPr>
          <w:sz w:val="20"/>
          <w:szCs w:val="20"/>
        </w:rPr>
      </w:pPr>
    </w:p>
    <w:p w14:paraId="6AAA2C8E" w14:textId="20BACC31" w:rsidR="00FD0B2D" w:rsidRDefault="00207BF0" w:rsidP="007354FA">
      <w:pPr>
        <w:pStyle w:val="ListParagraph"/>
        <w:ind w:left="567" w:right="23" w:hanging="567"/>
        <w:jc w:val="left"/>
        <w:rPr>
          <w:sz w:val="20"/>
          <w:szCs w:val="20"/>
        </w:rPr>
      </w:pPr>
      <w:r>
        <w:rPr>
          <w:sz w:val="20"/>
          <w:szCs w:val="20"/>
        </w:rPr>
        <w:t>4.2</w:t>
      </w:r>
      <w:r>
        <w:rPr>
          <w:sz w:val="20"/>
          <w:szCs w:val="20"/>
        </w:rPr>
        <w:tab/>
      </w:r>
      <w:r w:rsidRPr="00207BF0">
        <w:rPr>
          <w:sz w:val="20"/>
          <w:szCs w:val="20"/>
        </w:rPr>
        <w:t>Any transfer of research data to a partner or individual outside of the UK must comply with the requirements of any prevailing trusted research legislation including Export controls and the National Security and Investment Act (2021). Where any related consents, approvals or licences are required these must be obtained prior to any research data transfer taking place</w:t>
      </w:r>
      <w:r>
        <w:rPr>
          <w:sz w:val="20"/>
          <w:szCs w:val="20"/>
        </w:rPr>
        <w:t>.</w:t>
      </w:r>
    </w:p>
    <w:p w14:paraId="18E463A0" w14:textId="77777777" w:rsidR="003F0E2D" w:rsidRPr="003F0E2D" w:rsidRDefault="003F0E2D" w:rsidP="003F0E2D">
      <w:pPr>
        <w:tabs>
          <w:tab w:val="left" w:pos="445"/>
          <w:tab w:val="left" w:pos="447"/>
        </w:tabs>
        <w:ind w:right="23"/>
        <w:rPr>
          <w:sz w:val="20"/>
          <w:szCs w:val="20"/>
        </w:rPr>
      </w:pPr>
    </w:p>
    <w:p w14:paraId="52786ADB" w14:textId="6E9049C3" w:rsidR="00F053FA" w:rsidRPr="007354FA" w:rsidRDefault="75B006C6" w:rsidP="007354FA">
      <w:pPr>
        <w:ind w:left="567" w:right="21" w:hanging="567"/>
        <w:rPr>
          <w:sz w:val="20"/>
          <w:szCs w:val="20"/>
        </w:rPr>
      </w:pPr>
      <w:r w:rsidRPr="007354FA">
        <w:rPr>
          <w:sz w:val="20"/>
          <w:szCs w:val="20"/>
        </w:rPr>
        <w:t>4.</w:t>
      </w:r>
      <w:r w:rsidR="00207BF0">
        <w:rPr>
          <w:sz w:val="20"/>
          <w:szCs w:val="20"/>
        </w:rPr>
        <w:t>3</w:t>
      </w:r>
      <w:r w:rsidRPr="007354FA">
        <w:rPr>
          <w:sz w:val="20"/>
          <w:szCs w:val="20"/>
        </w:rPr>
        <w:t xml:space="preserve"> </w:t>
      </w:r>
      <w:r w:rsidR="007354FA">
        <w:rPr>
          <w:sz w:val="20"/>
          <w:szCs w:val="20"/>
        </w:rPr>
        <w:tab/>
      </w:r>
      <w:r w:rsidR="7100B536" w:rsidRPr="007354FA">
        <w:rPr>
          <w:sz w:val="20"/>
          <w:szCs w:val="20"/>
        </w:rPr>
        <w:t>It is strongly recommended that</w:t>
      </w:r>
      <w:r w:rsidR="70DA09D0" w:rsidRPr="007354FA">
        <w:rPr>
          <w:sz w:val="20"/>
          <w:szCs w:val="20"/>
        </w:rPr>
        <w:t xml:space="preserve"> </w:t>
      </w:r>
      <w:r w:rsidR="74E56B5F" w:rsidRPr="007354FA">
        <w:rPr>
          <w:sz w:val="20"/>
          <w:szCs w:val="20"/>
        </w:rPr>
        <w:t xml:space="preserve">all </w:t>
      </w:r>
      <w:r w:rsidR="70DA09D0" w:rsidRPr="007354FA">
        <w:rPr>
          <w:sz w:val="20"/>
          <w:szCs w:val="20"/>
        </w:rPr>
        <w:t xml:space="preserve">research proposals should include a </w:t>
      </w:r>
      <w:r w:rsidR="003F0E2D" w:rsidRPr="007354FA">
        <w:rPr>
          <w:sz w:val="20"/>
          <w:szCs w:val="20"/>
        </w:rPr>
        <w:t xml:space="preserve">DMP </w:t>
      </w:r>
      <w:r w:rsidR="70DA09D0" w:rsidRPr="007354FA">
        <w:rPr>
          <w:sz w:val="20"/>
          <w:szCs w:val="20"/>
        </w:rPr>
        <w:t xml:space="preserve">or equivalent </w:t>
      </w:r>
      <w:r w:rsidR="70DA09D0" w:rsidRPr="007354FA">
        <w:rPr>
          <w:spacing w:val="-14"/>
          <w:sz w:val="20"/>
          <w:szCs w:val="20"/>
        </w:rPr>
        <w:t>protocol</w:t>
      </w:r>
      <w:r w:rsidR="70DA09D0" w:rsidRPr="007354FA">
        <w:rPr>
          <w:sz w:val="20"/>
          <w:szCs w:val="20"/>
        </w:rPr>
        <w:t xml:space="preserve"> </w:t>
      </w:r>
      <w:r w:rsidR="70DA09D0" w:rsidRPr="007354FA">
        <w:rPr>
          <w:spacing w:val="-14"/>
          <w:sz w:val="20"/>
          <w:szCs w:val="20"/>
        </w:rPr>
        <w:t>for</w:t>
      </w:r>
      <w:r w:rsidR="70DA09D0" w:rsidRPr="007354FA">
        <w:rPr>
          <w:sz w:val="20"/>
          <w:szCs w:val="20"/>
        </w:rPr>
        <w:t xml:space="preserve"> </w:t>
      </w:r>
      <w:r w:rsidR="70DA09D0" w:rsidRPr="007354FA">
        <w:rPr>
          <w:spacing w:val="-14"/>
          <w:sz w:val="20"/>
          <w:szCs w:val="20"/>
        </w:rPr>
        <w:t>the</w:t>
      </w:r>
      <w:r w:rsidR="70DA09D0" w:rsidRPr="007354FA">
        <w:rPr>
          <w:sz w:val="20"/>
          <w:szCs w:val="20"/>
        </w:rPr>
        <w:t xml:space="preserve"> </w:t>
      </w:r>
      <w:r w:rsidR="70DA09D0" w:rsidRPr="007354FA">
        <w:rPr>
          <w:spacing w:val="-13"/>
          <w:sz w:val="20"/>
          <w:szCs w:val="20"/>
        </w:rPr>
        <w:t>management</w:t>
      </w:r>
      <w:r w:rsidR="70DA09D0" w:rsidRPr="007354FA">
        <w:rPr>
          <w:sz w:val="20"/>
          <w:szCs w:val="20"/>
        </w:rPr>
        <w:t xml:space="preserve"> </w:t>
      </w:r>
      <w:r w:rsidR="70DA09D0" w:rsidRPr="007354FA">
        <w:rPr>
          <w:spacing w:val="-11"/>
          <w:sz w:val="20"/>
          <w:szCs w:val="20"/>
        </w:rPr>
        <w:t>of</w:t>
      </w:r>
      <w:r w:rsidR="70DA09D0" w:rsidRPr="007354FA">
        <w:rPr>
          <w:sz w:val="20"/>
          <w:szCs w:val="20"/>
        </w:rPr>
        <w:t xml:space="preserve"> </w:t>
      </w:r>
      <w:r w:rsidR="70DA09D0" w:rsidRPr="007354FA">
        <w:rPr>
          <w:spacing w:val="-14"/>
          <w:sz w:val="20"/>
          <w:szCs w:val="20"/>
        </w:rPr>
        <w:t>data</w:t>
      </w:r>
      <w:r w:rsidR="003F0E2D">
        <w:t xml:space="preserve"> </w:t>
      </w:r>
      <w:r w:rsidR="003F0E2D" w:rsidRPr="007354FA">
        <w:rPr>
          <w:spacing w:val="-14"/>
          <w:sz w:val="20"/>
          <w:szCs w:val="20"/>
        </w:rPr>
        <w:t>t</w:t>
      </w:r>
      <w:r w:rsidR="70DA09D0" w:rsidRPr="007354FA">
        <w:rPr>
          <w:spacing w:val="-14"/>
          <w:sz w:val="20"/>
          <w:szCs w:val="20"/>
        </w:rPr>
        <w:t>hat</w:t>
      </w:r>
      <w:r w:rsidR="70DA09D0" w:rsidRPr="007354FA">
        <w:rPr>
          <w:sz w:val="20"/>
          <w:szCs w:val="20"/>
        </w:rPr>
        <w:t xml:space="preserve"> </w:t>
      </w:r>
      <w:r w:rsidR="70DA09D0" w:rsidRPr="007354FA">
        <w:rPr>
          <w:spacing w:val="-14"/>
          <w:sz w:val="20"/>
          <w:szCs w:val="20"/>
        </w:rPr>
        <w:t>addresses</w:t>
      </w:r>
      <w:r w:rsidR="70DA09D0" w:rsidRPr="007354FA">
        <w:rPr>
          <w:sz w:val="20"/>
          <w:szCs w:val="20"/>
        </w:rPr>
        <w:t xml:space="preserve"> </w:t>
      </w:r>
      <w:r w:rsidR="70DA09D0" w:rsidRPr="007354FA">
        <w:rPr>
          <w:spacing w:val="-12"/>
          <w:sz w:val="20"/>
          <w:szCs w:val="20"/>
        </w:rPr>
        <w:t>key</w:t>
      </w:r>
      <w:r w:rsidR="70DA09D0" w:rsidRPr="007354FA">
        <w:rPr>
          <w:sz w:val="20"/>
          <w:szCs w:val="20"/>
        </w:rPr>
        <w:t xml:space="preserve"> </w:t>
      </w:r>
      <w:r w:rsidR="70DA09D0" w:rsidRPr="007354FA">
        <w:rPr>
          <w:spacing w:val="-13"/>
          <w:sz w:val="20"/>
          <w:szCs w:val="20"/>
        </w:rPr>
        <w:t>elements</w:t>
      </w:r>
      <w:r w:rsidR="70DA09D0" w:rsidRPr="007354FA">
        <w:rPr>
          <w:sz w:val="20"/>
          <w:szCs w:val="20"/>
        </w:rPr>
        <w:t xml:space="preserve"> </w:t>
      </w:r>
      <w:r w:rsidR="70DA09D0" w:rsidRPr="007354FA">
        <w:rPr>
          <w:spacing w:val="-13"/>
          <w:sz w:val="20"/>
          <w:szCs w:val="20"/>
        </w:rPr>
        <w:t>of</w:t>
      </w:r>
      <w:r w:rsidR="70DA09D0" w:rsidRPr="007354FA">
        <w:rPr>
          <w:sz w:val="20"/>
          <w:szCs w:val="20"/>
        </w:rPr>
        <w:t xml:space="preserve"> </w:t>
      </w:r>
      <w:r w:rsidR="70DA09D0" w:rsidRPr="007354FA">
        <w:rPr>
          <w:spacing w:val="-14"/>
          <w:sz w:val="20"/>
          <w:szCs w:val="20"/>
        </w:rPr>
        <w:t>data</w:t>
      </w:r>
      <w:r w:rsidR="70DA09D0" w:rsidRPr="007354FA">
        <w:rPr>
          <w:sz w:val="20"/>
          <w:szCs w:val="20"/>
        </w:rPr>
        <w:t xml:space="preserve"> management practice throughout the research project and for the longer term.</w:t>
      </w:r>
      <w:r w:rsidR="0CCB5CBC" w:rsidRPr="007354FA">
        <w:rPr>
          <w:sz w:val="20"/>
          <w:szCs w:val="20"/>
        </w:rPr>
        <w:t xml:space="preserve"> The DMP definition can be found at the </w:t>
      </w:r>
      <w:hyperlink r:id="rId22" w:history="1">
        <w:r w:rsidR="0CCB5CBC" w:rsidRPr="007354FA">
          <w:rPr>
            <w:rStyle w:val="Hyperlink"/>
            <w:sz w:val="20"/>
            <w:szCs w:val="20"/>
          </w:rPr>
          <w:t>Digital Curation Centre</w:t>
        </w:r>
      </w:hyperlink>
      <w:r w:rsidR="003F0E2D" w:rsidRPr="007354FA">
        <w:rPr>
          <w:sz w:val="20"/>
          <w:szCs w:val="20"/>
        </w:rPr>
        <w:t>.</w:t>
      </w:r>
      <w:r w:rsidR="39A34A84" w:rsidRPr="007354FA">
        <w:rPr>
          <w:sz w:val="20"/>
          <w:szCs w:val="20"/>
        </w:rPr>
        <w:t xml:space="preserve"> If you need advice on this topic, please contact </w:t>
      </w:r>
      <w:hyperlink r:id="rId23" w:history="1">
        <w:r w:rsidR="007354FA" w:rsidRPr="00EA6FE0">
          <w:rPr>
            <w:rStyle w:val="Hyperlink"/>
            <w:sz w:val="20"/>
            <w:szCs w:val="20"/>
          </w:rPr>
          <w:t>digitalresearch@abdn.ac.uk</w:t>
        </w:r>
      </w:hyperlink>
      <w:r w:rsidR="007354FA">
        <w:rPr>
          <w:sz w:val="20"/>
          <w:szCs w:val="20"/>
        </w:rPr>
        <w:t xml:space="preserve">. </w:t>
      </w:r>
    </w:p>
    <w:p w14:paraId="08FA9A58" w14:textId="77777777" w:rsidR="007354FA" w:rsidRDefault="007354FA" w:rsidP="007354FA">
      <w:pPr>
        <w:tabs>
          <w:tab w:val="left" w:pos="445"/>
          <w:tab w:val="left" w:pos="447"/>
        </w:tabs>
        <w:ind w:right="21"/>
        <w:rPr>
          <w:sz w:val="20"/>
          <w:szCs w:val="20"/>
        </w:rPr>
      </w:pPr>
    </w:p>
    <w:p w14:paraId="4D296B75" w14:textId="3B7E1280" w:rsidR="00F053FA" w:rsidRDefault="2D19E6AD" w:rsidP="007354FA">
      <w:pPr>
        <w:ind w:left="567" w:right="21" w:hanging="567"/>
        <w:rPr>
          <w:sz w:val="20"/>
          <w:szCs w:val="20"/>
        </w:rPr>
      </w:pPr>
      <w:r w:rsidRPr="007354FA">
        <w:rPr>
          <w:sz w:val="20"/>
          <w:szCs w:val="20"/>
        </w:rPr>
        <w:t>4.</w:t>
      </w:r>
      <w:r w:rsidR="00207BF0">
        <w:rPr>
          <w:sz w:val="20"/>
          <w:szCs w:val="20"/>
        </w:rPr>
        <w:t>4</w:t>
      </w:r>
      <w:r w:rsidR="007354FA">
        <w:rPr>
          <w:sz w:val="20"/>
          <w:szCs w:val="20"/>
        </w:rPr>
        <w:tab/>
      </w:r>
      <w:r w:rsidR="00673341" w:rsidRPr="007354FA">
        <w:rPr>
          <w:sz w:val="20"/>
          <w:szCs w:val="20"/>
        </w:rPr>
        <w:t xml:space="preserve">Data retention, preservation, accessibility, and deletion will be managed in line with relevant legislation, policies, contractual obligations, </w:t>
      </w:r>
      <w:r w:rsidR="081F8C4F" w:rsidRPr="007354FA">
        <w:rPr>
          <w:sz w:val="20"/>
          <w:szCs w:val="20"/>
        </w:rPr>
        <w:t xml:space="preserve">publisher or </w:t>
      </w:r>
      <w:r w:rsidR="00673341" w:rsidRPr="007354FA">
        <w:rPr>
          <w:sz w:val="20"/>
          <w:szCs w:val="20"/>
        </w:rPr>
        <w:t>funder requirements and, where appropriate, in line with consent obtained from research subjects.</w:t>
      </w:r>
    </w:p>
    <w:p w14:paraId="50025C1A" w14:textId="77777777" w:rsidR="007354FA" w:rsidRPr="007354FA" w:rsidRDefault="007354FA" w:rsidP="00C27618">
      <w:pPr>
        <w:ind w:right="21"/>
        <w:rPr>
          <w:sz w:val="20"/>
          <w:szCs w:val="20"/>
        </w:rPr>
      </w:pPr>
    </w:p>
    <w:p w14:paraId="490C4491" w14:textId="4E87E1A8" w:rsidR="00F053FA" w:rsidRPr="007354FA" w:rsidRDefault="15496F66" w:rsidP="00626038">
      <w:pPr>
        <w:ind w:left="1134" w:right="24" w:hanging="567"/>
        <w:rPr>
          <w:sz w:val="20"/>
          <w:szCs w:val="20"/>
        </w:rPr>
      </w:pPr>
      <w:r w:rsidRPr="007354FA">
        <w:rPr>
          <w:sz w:val="20"/>
          <w:szCs w:val="20"/>
        </w:rPr>
        <w:t>4.</w:t>
      </w:r>
      <w:r w:rsidR="00207BF0">
        <w:rPr>
          <w:sz w:val="20"/>
          <w:szCs w:val="20"/>
        </w:rPr>
        <w:t>4</w:t>
      </w:r>
      <w:r w:rsidRPr="007354FA">
        <w:rPr>
          <w:sz w:val="20"/>
          <w:szCs w:val="20"/>
        </w:rPr>
        <w:t>.1</w:t>
      </w:r>
      <w:r w:rsidR="00626038">
        <w:rPr>
          <w:sz w:val="20"/>
          <w:szCs w:val="20"/>
        </w:rPr>
        <w:tab/>
      </w:r>
      <w:r w:rsidR="00673341" w:rsidRPr="007354FA">
        <w:rPr>
          <w:sz w:val="20"/>
          <w:szCs w:val="20"/>
        </w:rPr>
        <w:t>Holding</w:t>
      </w:r>
      <w:r w:rsidR="00673341" w:rsidRPr="007354FA">
        <w:rPr>
          <w:spacing w:val="-4"/>
          <w:sz w:val="20"/>
          <w:szCs w:val="20"/>
        </w:rPr>
        <w:t xml:space="preserve"> </w:t>
      </w:r>
      <w:r w:rsidR="00673341" w:rsidRPr="007354FA">
        <w:rPr>
          <w:sz w:val="20"/>
          <w:szCs w:val="20"/>
        </w:rPr>
        <w:t>data</w:t>
      </w:r>
      <w:r w:rsidR="00673341" w:rsidRPr="007354FA">
        <w:rPr>
          <w:spacing w:val="-4"/>
          <w:sz w:val="20"/>
          <w:szCs w:val="20"/>
        </w:rPr>
        <w:t xml:space="preserve"> </w:t>
      </w:r>
      <w:r w:rsidR="00673341" w:rsidRPr="007354FA">
        <w:rPr>
          <w:sz w:val="20"/>
          <w:szCs w:val="20"/>
        </w:rPr>
        <w:t>for</w:t>
      </w:r>
      <w:r w:rsidR="00673341" w:rsidRPr="007354FA">
        <w:rPr>
          <w:spacing w:val="-5"/>
          <w:sz w:val="20"/>
          <w:szCs w:val="20"/>
        </w:rPr>
        <w:t xml:space="preserve"> </w:t>
      </w:r>
      <w:r w:rsidR="00673341" w:rsidRPr="007354FA">
        <w:rPr>
          <w:sz w:val="20"/>
          <w:szCs w:val="20"/>
        </w:rPr>
        <w:t>longitudinal</w:t>
      </w:r>
      <w:r w:rsidR="00673341" w:rsidRPr="007354FA">
        <w:rPr>
          <w:spacing w:val="-7"/>
          <w:sz w:val="20"/>
          <w:szCs w:val="20"/>
        </w:rPr>
        <w:t xml:space="preserve"> </w:t>
      </w:r>
      <w:r w:rsidR="00673341" w:rsidRPr="007354FA">
        <w:rPr>
          <w:sz w:val="20"/>
          <w:szCs w:val="20"/>
        </w:rPr>
        <w:t>studies</w:t>
      </w:r>
      <w:r w:rsidR="00673341" w:rsidRPr="007354FA">
        <w:rPr>
          <w:spacing w:val="-5"/>
          <w:sz w:val="20"/>
          <w:szCs w:val="20"/>
        </w:rPr>
        <w:t xml:space="preserve"> </w:t>
      </w:r>
      <w:r w:rsidR="00673341" w:rsidRPr="007354FA">
        <w:rPr>
          <w:sz w:val="20"/>
          <w:szCs w:val="20"/>
        </w:rPr>
        <w:t>or</w:t>
      </w:r>
      <w:r w:rsidR="00673341" w:rsidRPr="007354FA">
        <w:rPr>
          <w:spacing w:val="-3"/>
          <w:sz w:val="20"/>
          <w:szCs w:val="20"/>
        </w:rPr>
        <w:t xml:space="preserve"> </w:t>
      </w:r>
      <w:r w:rsidR="00673341" w:rsidRPr="007354FA">
        <w:rPr>
          <w:sz w:val="20"/>
          <w:szCs w:val="20"/>
        </w:rPr>
        <w:t>to</w:t>
      </w:r>
      <w:r w:rsidR="00673341" w:rsidRPr="007354FA">
        <w:rPr>
          <w:spacing w:val="-4"/>
          <w:sz w:val="20"/>
          <w:szCs w:val="20"/>
        </w:rPr>
        <w:t xml:space="preserve"> </w:t>
      </w:r>
      <w:r w:rsidR="00673341" w:rsidRPr="007354FA">
        <w:rPr>
          <w:sz w:val="20"/>
          <w:szCs w:val="20"/>
        </w:rPr>
        <w:t>enable</w:t>
      </w:r>
      <w:r w:rsidR="00673341" w:rsidRPr="007354FA">
        <w:rPr>
          <w:spacing w:val="-4"/>
          <w:sz w:val="20"/>
          <w:szCs w:val="20"/>
        </w:rPr>
        <w:t xml:space="preserve"> </w:t>
      </w:r>
      <w:r w:rsidR="00673341" w:rsidRPr="007354FA">
        <w:rPr>
          <w:sz w:val="20"/>
          <w:szCs w:val="20"/>
        </w:rPr>
        <w:t>data</w:t>
      </w:r>
      <w:r w:rsidR="00673341" w:rsidRPr="007354FA">
        <w:rPr>
          <w:spacing w:val="-7"/>
          <w:sz w:val="20"/>
          <w:szCs w:val="20"/>
        </w:rPr>
        <w:t xml:space="preserve"> </w:t>
      </w:r>
      <w:r w:rsidR="00673341" w:rsidRPr="007354FA">
        <w:rPr>
          <w:sz w:val="20"/>
          <w:szCs w:val="20"/>
        </w:rPr>
        <w:t>collection</w:t>
      </w:r>
      <w:r w:rsidR="00673341" w:rsidRPr="007354FA">
        <w:rPr>
          <w:spacing w:val="-4"/>
          <w:sz w:val="20"/>
          <w:szCs w:val="20"/>
        </w:rPr>
        <w:t xml:space="preserve"> </w:t>
      </w:r>
      <w:r w:rsidR="00673341" w:rsidRPr="007354FA">
        <w:rPr>
          <w:sz w:val="20"/>
          <w:szCs w:val="20"/>
        </w:rPr>
        <w:t>and</w:t>
      </w:r>
      <w:r w:rsidR="00673341" w:rsidRPr="007354FA">
        <w:rPr>
          <w:spacing w:val="-4"/>
          <w:sz w:val="20"/>
          <w:szCs w:val="20"/>
        </w:rPr>
        <w:t xml:space="preserve"> </w:t>
      </w:r>
      <w:r w:rsidR="00673341" w:rsidRPr="007354FA">
        <w:rPr>
          <w:sz w:val="20"/>
          <w:szCs w:val="20"/>
        </w:rPr>
        <w:t>aggregation</w:t>
      </w:r>
      <w:r w:rsidR="00673341" w:rsidRPr="007354FA">
        <w:rPr>
          <w:spacing w:val="-4"/>
          <w:sz w:val="20"/>
          <w:szCs w:val="20"/>
        </w:rPr>
        <w:t xml:space="preserve"> </w:t>
      </w:r>
      <w:r w:rsidR="00673341" w:rsidRPr="007354FA">
        <w:rPr>
          <w:sz w:val="20"/>
          <w:szCs w:val="20"/>
        </w:rPr>
        <w:t>over</w:t>
      </w:r>
      <w:r w:rsidR="00673341" w:rsidRPr="007354FA">
        <w:rPr>
          <w:spacing w:val="-5"/>
          <w:sz w:val="20"/>
          <w:szCs w:val="20"/>
        </w:rPr>
        <w:t xml:space="preserve"> </w:t>
      </w:r>
      <w:r w:rsidR="00673341" w:rsidRPr="007354FA">
        <w:rPr>
          <w:sz w:val="20"/>
          <w:szCs w:val="20"/>
        </w:rPr>
        <w:t>time, as defined by the project, can be considered, but must take account of all the above.</w:t>
      </w:r>
    </w:p>
    <w:p w14:paraId="76AF3914" w14:textId="495895A2" w:rsidR="00F053FA" w:rsidRPr="00626038" w:rsidRDefault="7F78BC93" w:rsidP="00626038">
      <w:pPr>
        <w:ind w:left="1134" w:right="24" w:hanging="567"/>
        <w:rPr>
          <w:sz w:val="20"/>
          <w:szCs w:val="20"/>
        </w:rPr>
      </w:pPr>
      <w:r w:rsidRPr="6088A873">
        <w:rPr>
          <w:sz w:val="20"/>
          <w:szCs w:val="20"/>
        </w:rPr>
        <w:t>4.</w:t>
      </w:r>
      <w:r w:rsidR="00207BF0">
        <w:rPr>
          <w:sz w:val="20"/>
          <w:szCs w:val="20"/>
        </w:rPr>
        <w:t>4</w:t>
      </w:r>
      <w:r w:rsidRPr="6088A873">
        <w:rPr>
          <w:sz w:val="20"/>
          <w:szCs w:val="20"/>
        </w:rPr>
        <w:t>.2</w:t>
      </w:r>
      <w:r>
        <w:tab/>
      </w:r>
      <w:r w:rsidR="00673341" w:rsidRPr="6088A873">
        <w:rPr>
          <w:sz w:val="20"/>
          <w:szCs w:val="20"/>
        </w:rPr>
        <w:t xml:space="preserve">In any case, data should be retained for a minimum of 5 years from </w:t>
      </w:r>
      <w:r w:rsidR="00FD0B2D" w:rsidRPr="6088A873">
        <w:rPr>
          <w:sz w:val="20"/>
          <w:szCs w:val="20"/>
        </w:rPr>
        <w:t xml:space="preserve">the </w:t>
      </w:r>
      <w:r w:rsidR="00673341" w:rsidRPr="6088A873">
        <w:rPr>
          <w:sz w:val="20"/>
          <w:szCs w:val="20"/>
        </w:rPr>
        <w:t>project end</w:t>
      </w:r>
      <w:r w:rsidR="00F56287">
        <w:rPr>
          <w:sz w:val="20"/>
          <w:szCs w:val="20"/>
        </w:rPr>
        <w:t xml:space="preserve"> date</w:t>
      </w:r>
      <w:r w:rsidR="00FD0B2D" w:rsidRPr="6088A873">
        <w:rPr>
          <w:sz w:val="20"/>
          <w:szCs w:val="20"/>
        </w:rPr>
        <w:t>.</w:t>
      </w:r>
    </w:p>
    <w:p w14:paraId="4AB89AA8" w14:textId="213A1E97" w:rsidR="00A20DAD" w:rsidRPr="00626038" w:rsidRDefault="7D90F48B" w:rsidP="00626038">
      <w:pPr>
        <w:ind w:left="1134" w:right="24" w:hanging="567"/>
        <w:rPr>
          <w:sz w:val="20"/>
          <w:szCs w:val="20"/>
        </w:rPr>
      </w:pPr>
      <w:r w:rsidRPr="00626038">
        <w:rPr>
          <w:sz w:val="20"/>
          <w:szCs w:val="20"/>
        </w:rPr>
        <w:t>4.</w:t>
      </w:r>
      <w:r w:rsidR="00207BF0">
        <w:rPr>
          <w:sz w:val="20"/>
          <w:szCs w:val="20"/>
        </w:rPr>
        <w:t>4</w:t>
      </w:r>
      <w:r w:rsidRPr="00626038">
        <w:rPr>
          <w:sz w:val="20"/>
          <w:szCs w:val="20"/>
        </w:rPr>
        <w:t>.3</w:t>
      </w:r>
      <w:r w:rsidR="00626038">
        <w:rPr>
          <w:sz w:val="20"/>
          <w:szCs w:val="20"/>
        </w:rPr>
        <w:tab/>
      </w:r>
      <w:r w:rsidR="00673341" w:rsidRPr="00626038">
        <w:rPr>
          <w:sz w:val="20"/>
          <w:szCs w:val="20"/>
        </w:rPr>
        <w:t>Data should not be kept any longer than is necessary without reasonable justification and appropriate authorisation/consent.</w:t>
      </w:r>
    </w:p>
    <w:p w14:paraId="5C39C611" w14:textId="77777777" w:rsidR="00A20DAD" w:rsidRDefault="00A20DAD" w:rsidP="00626038">
      <w:pPr>
        <w:pStyle w:val="ListParagraph"/>
        <w:tabs>
          <w:tab w:val="left" w:pos="1014"/>
          <w:tab w:val="left" w:pos="1017"/>
        </w:tabs>
        <w:ind w:left="1017" w:right="26" w:firstLine="0"/>
        <w:jc w:val="left"/>
        <w:rPr>
          <w:sz w:val="20"/>
        </w:rPr>
      </w:pPr>
    </w:p>
    <w:p w14:paraId="5FD0BB09" w14:textId="19FD14B6" w:rsidR="00F053FA" w:rsidRPr="00626038" w:rsidRDefault="6F025DD4" w:rsidP="00626038">
      <w:pPr>
        <w:ind w:left="567" w:right="22" w:hanging="567"/>
        <w:rPr>
          <w:sz w:val="20"/>
          <w:szCs w:val="20"/>
        </w:rPr>
      </w:pPr>
      <w:r w:rsidRPr="00626038">
        <w:rPr>
          <w:sz w:val="20"/>
          <w:szCs w:val="20"/>
        </w:rPr>
        <w:t>4.</w:t>
      </w:r>
      <w:r w:rsidR="00207BF0">
        <w:rPr>
          <w:sz w:val="20"/>
          <w:szCs w:val="20"/>
        </w:rPr>
        <w:t>5</w:t>
      </w:r>
      <w:r w:rsidRPr="00626038">
        <w:rPr>
          <w:sz w:val="20"/>
          <w:szCs w:val="20"/>
        </w:rPr>
        <w:t xml:space="preserve"> </w:t>
      </w:r>
      <w:r w:rsidR="00626038">
        <w:rPr>
          <w:sz w:val="20"/>
          <w:szCs w:val="20"/>
        </w:rPr>
        <w:tab/>
      </w:r>
      <w:r w:rsidR="00673341" w:rsidRPr="00626038">
        <w:rPr>
          <w:sz w:val="20"/>
          <w:szCs w:val="20"/>
        </w:rPr>
        <w:t>Where funders allow, all costs associated with data management practice should be recovered from funders.</w:t>
      </w:r>
    </w:p>
    <w:p w14:paraId="1EE035F8" w14:textId="77777777" w:rsidR="00D94538" w:rsidRPr="00E203F1" w:rsidRDefault="00D94538" w:rsidP="000C2460">
      <w:pPr>
        <w:pStyle w:val="BodyText"/>
      </w:pPr>
    </w:p>
    <w:p w14:paraId="68AE5073" w14:textId="1D8A365E" w:rsidR="00F053FA" w:rsidRPr="00626038" w:rsidRDefault="5275F553" w:rsidP="00626038">
      <w:pPr>
        <w:pStyle w:val="BodyText"/>
        <w:numPr>
          <w:ilvl w:val="0"/>
          <w:numId w:val="1"/>
        </w:numPr>
        <w:spacing w:before="200"/>
        <w:ind w:left="360"/>
        <w:rPr>
          <w:b/>
          <w:bCs/>
        </w:rPr>
      </w:pPr>
      <w:bookmarkStart w:id="3" w:name="Related_policies"/>
      <w:bookmarkEnd w:id="3"/>
      <w:r w:rsidRPr="00626038">
        <w:rPr>
          <w:b/>
          <w:bCs/>
        </w:rPr>
        <w:lastRenderedPageBreak/>
        <w:t>RELATED POLICIES AND GUIDANCE</w:t>
      </w:r>
    </w:p>
    <w:p w14:paraId="699447BD" w14:textId="77777777" w:rsidR="003F0E2D" w:rsidRPr="00E203F1" w:rsidRDefault="003F0E2D" w:rsidP="000C2460">
      <w:pPr>
        <w:pStyle w:val="Heading1"/>
      </w:pPr>
    </w:p>
    <w:p w14:paraId="0251307C" w14:textId="16FBC86C" w:rsidR="00F053FA" w:rsidRPr="00626038" w:rsidRDefault="0BBC2B6A" w:rsidP="00626038">
      <w:pPr>
        <w:ind w:left="567" w:right="18" w:hanging="567"/>
        <w:rPr>
          <w:sz w:val="20"/>
          <w:szCs w:val="20"/>
        </w:rPr>
      </w:pPr>
      <w:r w:rsidRPr="00626038">
        <w:rPr>
          <w:sz w:val="20"/>
          <w:szCs w:val="20"/>
        </w:rPr>
        <w:t>5.1</w:t>
      </w:r>
      <w:r w:rsidR="00626038">
        <w:rPr>
          <w:sz w:val="20"/>
          <w:szCs w:val="20"/>
        </w:rPr>
        <w:tab/>
      </w:r>
      <w:r w:rsidR="00673341" w:rsidRPr="00626038">
        <w:rPr>
          <w:sz w:val="20"/>
          <w:szCs w:val="20"/>
        </w:rPr>
        <w:t>The Research Data Management Policy operates in conjunction with all other University policies, in particular:</w:t>
      </w:r>
    </w:p>
    <w:p w14:paraId="7FBDBD51" w14:textId="77777777" w:rsidR="00F053FA" w:rsidRPr="00E203F1" w:rsidRDefault="00F053FA" w:rsidP="000C2460">
      <w:pPr>
        <w:pStyle w:val="BodyText"/>
        <w:rPr>
          <w:sz w:val="14"/>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4"/>
        <w:gridCol w:w="1764"/>
        <w:gridCol w:w="5902"/>
      </w:tblGrid>
      <w:tr w:rsidR="00F053FA" w:rsidRPr="00E203F1" w14:paraId="78231C08" w14:textId="77777777" w:rsidTr="105DB403">
        <w:trPr>
          <w:trHeight w:val="460"/>
        </w:trPr>
        <w:tc>
          <w:tcPr>
            <w:tcW w:w="744" w:type="dxa"/>
          </w:tcPr>
          <w:p w14:paraId="2D14B614" w14:textId="0E35491D" w:rsidR="00F053FA" w:rsidRPr="00E203F1" w:rsidRDefault="00673341" w:rsidP="105DB403">
            <w:pPr>
              <w:pStyle w:val="TableParagraph"/>
              <w:rPr>
                <w:sz w:val="20"/>
                <w:szCs w:val="20"/>
              </w:rPr>
            </w:pPr>
            <w:r w:rsidRPr="105DB403">
              <w:rPr>
                <w:spacing w:val="-4"/>
                <w:sz w:val="20"/>
                <w:szCs w:val="20"/>
              </w:rPr>
              <w:t>5.1</w:t>
            </w:r>
            <w:r w:rsidR="6A0B74D3" w:rsidRPr="105DB403">
              <w:rPr>
                <w:spacing w:val="-4"/>
                <w:sz w:val="20"/>
                <w:szCs w:val="20"/>
              </w:rPr>
              <w:t>.1</w:t>
            </w:r>
          </w:p>
        </w:tc>
        <w:tc>
          <w:tcPr>
            <w:tcW w:w="1764" w:type="dxa"/>
          </w:tcPr>
          <w:p w14:paraId="0E99EC2B" w14:textId="77777777" w:rsidR="00F053FA" w:rsidRPr="00E203F1" w:rsidRDefault="00673341" w:rsidP="000C2460">
            <w:pPr>
              <w:pStyle w:val="TableParagraph"/>
              <w:ind w:right="262"/>
              <w:rPr>
                <w:sz w:val="20"/>
              </w:rPr>
            </w:pPr>
            <w:r w:rsidRPr="00E203F1">
              <w:rPr>
                <w:sz w:val="20"/>
              </w:rPr>
              <w:t>Data</w:t>
            </w:r>
            <w:r w:rsidRPr="00E203F1">
              <w:rPr>
                <w:spacing w:val="-14"/>
                <w:sz w:val="20"/>
              </w:rPr>
              <w:t xml:space="preserve"> </w:t>
            </w:r>
            <w:r w:rsidRPr="00E203F1">
              <w:rPr>
                <w:sz w:val="20"/>
              </w:rPr>
              <w:t xml:space="preserve">Protection </w:t>
            </w:r>
            <w:r w:rsidRPr="00E203F1">
              <w:rPr>
                <w:spacing w:val="-2"/>
                <w:sz w:val="20"/>
              </w:rPr>
              <w:t>Policy</w:t>
            </w:r>
          </w:p>
        </w:tc>
        <w:tc>
          <w:tcPr>
            <w:tcW w:w="5902" w:type="dxa"/>
          </w:tcPr>
          <w:p w14:paraId="4205EB5D" w14:textId="77777777" w:rsidR="00F053FA" w:rsidRPr="00E203F1" w:rsidRDefault="00673341" w:rsidP="000C2460">
            <w:pPr>
              <w:pStyle w:val="TableParagraph"/>
              <w:ind w:right="20"/>
              <w:rPr>
                <w:sz w:val="20"/>
              </w:rPr>
            </w:pPr>
            <w:r w:rsidRPr="00E203F1">
              <w:rPr>
                <w:sz w:val="20"/>
              </w:rPr>
              <w:t>Sets</w:t>
            </w:r>
            <w:r w:rsidRPr="00E203F1">
              <w:rPr>
                <w:spacing w:val="-6"/>
                <w:sz w:val="20"/>
              </w:rPr>
              <w:t xml:space="preserve"> </w:t>
            </w:r>
            <w:r w:rsidRPr="00E203F1">
              <w:rPr>
                <w:sz w:val="20"/>
              </w:rPr>
              <w:t>out</w:t>
            </w:r>
            <w:r w:rsidRPr="00E203F1">
              <w:rPr>
                <w:spacing w:val="-7"/>
                <w:sz w:val="20"/>
              </w:rPr>
              <w:t xml:space="preserve"> </w:t>
            </w:r>
            <w:r w:rsidRPr="00E203F1">
              <w:rPr>
                <w:sz w:val="20"/>
              </w:rPr>
              <w:t>the</w:t>
            </w:r>
            <w:r w:rsidRPr="00E203F1">
              <w:rPr>
                <w:spacing w:val="-7"/>
                <w:sz w:val="20"/>
              </w:rPr>
              <w:t xml:space="preserve"> </w:t>
            </w:r>
            <w:r w:rsidRPr="00E203F1">
              <w:rPr>
                <w:sz w:val="20"/>
              </w:rPr>
              <w:t>principles,</w:t>
            </w:r>
            <w:r w:rsidRPr="00E203F1">
              <w:rPr>
                <w:spacing w:val="-7"/>
                <w:sz w:val="20"/>
              </w:rPr>
              <w:t xml:space="preserve"> </w:t>
            </w:r>
            <w:r w:rsidRPr="00E203F1">
              <w:rPr>
                <w:sz w:val="20"/>
              </w:rPr>
              <w:t>responsibilities</w:t>
            </w:r>
            <w:r w:rsidRPr="00E203F1">
              <w:rPr>
                <w:spacing w:val="-6"/>
                <w:sz w:val="20"/>
              </w:rPr>
              <w:t xml:space="preserve"> </w:t>
            </w:r>
            <w:r w:rsidRPr="00E203F1">
              <w:rPr>
                <w:sz w:val="20"/>
              </w:rPr>
              <w:t>and</w:t>
            </w:r>
            <w:r w:rsidRPr="00E203F1">
              <w:rPr>
                <w:spacing w:val="-5"/>
                <w:sz w:val="20"/>
              </w:rPr>
              <w:t xml:space="preserve"> </w:t>
            </w:r>
            <w:r w:rsidRPr="00E203F1">
              <w:rPr>
                <w:sz w:val="20"/>
              </w:rPr>
              <w:t>obligations</w:t>
            </w:r>
            <w:r w:rsidRPr="00E203F1">
              <w:rPr>
                <w:spacing w:val="-3"/>
                <w:sz w:val="20"/>
              </w:rPr>
              <w:t xml:space="preserve"> </w:t>
            </w:r>
            <w:r w:rsidRPr="00E203F1">
              <w:rPr>
                <w:sz w:val="20"/>
              </w:rPr>
              <w:t>for managing personal data within the University.</w:t>
            </w:r>
          </w:p>
        </w:tc>
      </w:tr>
      <w:tr w:rsidR="00F053FA" w:rsidRPr="00E203F1" w14:paraId="1641334C" w14:textId="77777777" w:rsidTr="105DB403">
        <w:trPr>
          <w:trHeight w:val="918"/>
        </w:trPr>
        <w:tc>
          <w:tcPr>
            <w:tcW w:w="744" w:type="dxa"/>
          </w:tcPr>
          <w:p w14:paraId="75F76985" w14:textId="71556E3F" w:rsidR="00F053FA" w:rsidRPr="00E203F1" w:rsidRDefault="00673341" w:rsidP="105DB403">
            <w:pPr>
              <w:pStyle w:val="TableParagraph"/>
              <w:rPr>
                <w:sz w:val="20"/>
                <w:szCs w:val="20"/>
              </w:rPr>
            </w:pPr>
            <w:r w:rsidRPr="105DB403">
              <w:rPr>
                <w:spacing w:val="-4"/>
                <w:sz w:val="20"/>
                <w:szCs w:val="20"/>
              </w:rPr>
              <w:t>5.</w:t>
            </w:r>
            <w:r w:rsidR="00626038">
              <w:rPr>
                <w:spacing w:val="-4"/>
                <w:sz w:val="20"/>
                <w:szCs w:val="20"/>
              </w:rPr>
              <w:t>1</w:t>
            </w:r>
            <w:r w:rsidR="703E1EC4" w:rsidRPr="105DB403">
              <w:rPr>
                <w:spacing w:val="-4"/>
                <w:sz w:val="20"/>
                <w:szCs w:val="20"/>
              </w:rPr>
              <w:t>.</w:t>
            </w:r>
            <w:r w:rsidR="00626038">
              <w:rPr>
                <w:spacing w:val="-4"/>
                <w:sz w:val="20"/>
                <w:szCs w:val="20"/>
              </w:rPr>
              <w:t>2</w:t>
            </w:r>
          </w:p>
        </w:tc>
        <w:tc>
          <w:tcPr>
            <w:tcW w:w="1764" w:type="dxa"/>
          </w:tcPr>
          <w:p w14:paraId="2F981505" w14:textId="77777777" w:rsidR="00F053FA" w:rsidRPr="00E203F1" w:rsidRDefault="00673341" w:rsidP="000C2460">
            <w:pPr>
              <w:pStyle w:val="TableParagraph"/>
              <w:ind w:right="95"/>
              <w:rPr>
                <w:sz w:val="20"/>
              </w:rPr>
            </w:pPr>
            <w:r w:rsidRPr="00E203F1">
              <w:rPr>
                <w:spacing w:val="-2"/>
                <w:sz w:val="20"/>
              </w:rPr>
              <w:t xml:space="preserve">Information </w:t>
            </w:r>
            <w:r w:rsidRPr="00E203F1">
              <w:rPr>
                <w:sz w:val="20"/>
              </w:rPr>
              <w:t>Security Policy and</w:t>
            </w:r>
            <w:r w:rsidRPr="00E203F1">
              <w:rPr>
                <w:spacing w:val="-14"/>
                <w:sz w:val="20"/>
              </w:rPr>
              <w:t xml:space="preserve"> </w:t>
            </w:r>
            <w:r w:rsidRPr="00E203F1">
              <w:rPr>
                <w:sz w:val="20"/>
              </w:rPr>
              <w:t>sub</w:t>
            </w:r>
            <w:r w:rsidRPr="00E203F1">
              <w:rPr>
                <w:spacing w:val="-14"/>
                <w:sz w:val="20"/>
              </w:rPr>
              <w:t xml:space="preserve"> </w:t>
            </w:r>
            <w:r w:rsidRPr="00E203F1">
              <w:rPr>
                <w:sz w:val="20"/>
              </w:rPr>
              <w:t>policies</w:t>
            </w:r>
          </w:p>
        </w:tc>
        <w:tc>
          <w:tcPr>
            <w:tcW w:w="5902" w:type="dxa"/>
          </w:tcPr>
          <w:p w14:paraId="786B2479" w14:textId="77777777" w:rsidR="00F053FA" w:rsidRPr="00E203F1" w:rsidRDefault="00673341" w:rsidP="000C2460">
            <w:pPr>
              <w:pStyle w:val="TableParagraph"/>
              <w:ind w:right="20"/>
              <w:rPr>
                <w:sz w:val="20"/>
              </w:rPr>
            </w:pPr>
            <w:r w:rsidRPr="00E203F1">
              <w:rPr>
                <w:sz w:val="20"/>
              </w:rPr>
              <w:t>Set out how information (including personal data) shall be secured</w:t>
            </w:r>
            <w:r w:rsidRPr="00E203F1">
              <w:rPr>
                <w:spacing w:val="-6"/>
                <w:sz w:val="20"/>
              </w:rPr>
              <w:t xml:space="preserve"> </w:t>
            </w:r>
            <w:r w:rsidRPr="00E203F1">
              <w:rPr>
                <w:sz w:val="20"/>
              </w:rPr>
              <w:t>to</w:t>
            </w:r>
            <w:r w:rsidRPr="00E203F1">
              <w:rPr>
                <w:spacing w:val="-4"/>
                <w:sz w:val="20"/>
              </w:rPr>
              <w:t xml:space="preserve"> </w:t>
            </w:r>
            <w:r w:rsidRPr="00E203F1">
              <w:rPr>
                <w:sz w:val="20"/>
              </w:rPr>
              <w:t>protect</w:t>
            </w:r>
            <w:r w:rsidRPr="00E203F1">
              <w:rPr>
                <w:spacing w:val="-4"/>
                <w:sz w:val="20"/>
              </w:rPr>
              <w:t xml:space="preserve"> </w:t>
            </w:r>
            <w:r w:rsidRPr="00E203F1">
              <w:rPr>
                <w:sz w:val="20"/>
              </w:rPr>
              <w:t>it</w:t>
            </w:r>
            <w:r w:rsidRPr="00E203F1">
              <w:rPr>
                <w:spacing w:val="-6"/>
                <w:sz w:val="20"/>
              </w:rPr>
              <w:t xml:space="preserve"> </w:t>
            </w:r>
            <w:r w:rsidRPr="00E203F1">
              <w:rPr>
                <w:sz w:val="20"/>
              </w:rPr>
              <w:t>against</w:t>
            </w:r>
            <w:r w:rsidRPr="00E203F1">
              <w:rPr>
                <w:spacing w:val="-6"/>
                <w:sz w:val="20"/>
              </w:rPr>
              <w:t xml:space="preserve"> </w:t>
            </w:r>
            <w:r w:rsidRPr="00E203F1">
              <w:rPr>
                <w:sz w:val="20"/>
              </w:rPr>
              <w:t>the</w:t>
            </w:r>
            <w:r w:rsidRPr="00E203F1">
              <w:rPr>
                <w:spacing w:val="-6"/>
                <w:sz w:val="20"/>
              </w:rPr>
              <w:t xml:space="preserve"> </w:t>
            </w:r>
            <w:r w:rsidRPr="00E203F1">
              <w:rPr>
                <w:sz w:val="20"/>
              </w:rPr>
              <w:t>consequences</w:t>
            </w:r>
            <w:r w:rsidRPr="00E203F1">
              <w:rPr>
                <w:spacing w:val="-5"/>
                <w:sz w:val="20"/>
              </w:rPr>
              <w:t xml:space="preserve"> </w:t>
            </w:r>
            <w:r w:rsidRPr="00E203F1">
              <w:rPr>
                <w:sz w:val="20"/>
              </w:rPr>
              <w:t>of</w:t>
            </w:r>
            <w:r w:rsidRPr="00E203F1">
              <w:rPr>
                <w:spacing w:val="-4"/>
                <w:sz w:val="20"/>
              </w:rPr>
              <w:t xml:space="preserve"> </w:t>
            </w:r>
            <w:r w:rsidRPr="00E203F1">
              <w:rPr>
                <w:sz w:val="20"/>
              </w:rPr>
              <w:t>breaches</w:t>
            </w:r>
            <w:r w:rsidRPr="00E203F1">
              <w:rPr>
                <w:spacing w:val="-5"/>
                <w:sz w:val="20"/>
              </w:rPr>
              <w:t xml:space="preserve"> </w:t>
            </w:r>
            <w:r w:rsidRPr="00E203F1">
              <w:rPr>
                <w:sz w:val="20"/>
              </w:rPr>
              <w:t>of</w:t>
            </w:r>
          </w:p>
          <w:p w14:paraId="416336FC" w14:textId="77777777" w:rsidR="00F053FA" w:rsidRPr="00E203F1" w:rsidRDefault="00673341" w:rsidP="000C2460">
            <w:pPr>
              <w:pStyle w:val="TableParagraph"/>
              <w:ind w:right="20"/>
              <w:rPr>
                <w:sz w:val="20"/>
              </w:rPr>
            </w:pPr>
            <w:r w:rsidRPr="00E203F1">
              <w:rPr>
                <w:sz w:val="20"/>
              </w:rPr>
              <w:t>confidentiality,</w:t>
            </w:r>
            <w:r w:rsidRPr="00E203F1">
              <w:rPr>
                <w:spacing w:val="-6"/>
                <w:sz w:val="20"/>
              </w:rPr>
              <w:t xml:space="preserve"> </w:t>
            </w:r>
            <w:r w:rsidRPr="00E203F1">
              <w:rPr>
                <w:sz w:val="20"/>
              </w:rPr>
              <w:t>failures</w:t>
            </w:r>
            <w:r w:rsidRPr="00E203F1">
              <w:rPr>
                <w:spacing w:val="-5"/>
                <w:sz w:val="20"/>
              </w:rPr>
              <w:t xml:space="preserve"> </w:t>
            </w:r>
            <w:r w:rsidRPr="00E203F1">
              <w:rPr>
                <w:sz w:val="20"/>
              </w:rPr>
              <w:t>of</w:t>
            </w:r>
            <w:r w:rsidRPr="00E203F1">
              <w:rPr>
                <w:spacing w:val="-6"/>
                <w:sz w:val="20"/>
              </w:rPr>
              <w:t xml:space="preserve"> </w:t>
            </w:r>
            <w:r w:rsidRPr="00E203F1">
              <w:rPr>
                <w:sz w:val="20"/>
              </w:rPr>
              <w:t>integrity,</w:t>
            </w:r>
            <w:r w:rsidRPr="00E203F1">
              <w:rPr>
                <w:spacing w:val="-4"/>
                <w:sz w:val="20"/>
              </w:rPr>
              <w:t xml:space="preserve"> </w:t>
            </w:r>
            <w:r w:rsidRPr="00E203F1">
              <w:rPr>
                <w:sz w:val="20"/>
              </w:rPr>
              <w:t>or</w:t>
            </w:r>
            <w:r w:rsidRPr="00E203F1">
              <w:rPr>
                <w:spacing w:val="-5"/>
                <w:sz w:val="20"/>
              </w:rPr>
              <w:t xml:space="preserve"> </w:t>
            </w:r>
            <w:r w:rsidRPr="00E203F1">
              <w:rPr>
                <w:sz w:val="20"/>
              </w:rPr>
              <w:t>interruptions</w:t>
            </w:r>
            <w:r w:rsidRPr="00E203F1">
              <w:rPr>
                <w:spacing w:val="-5"/>
                <w:sz w:val="20"/>
              </w:rPr>
              <w:t xml:space="preserve"> </w:t>
            </w:r>
            <w:r w:rsidRPr="00E203F1">
              <w:rPr>
                <w:sz w:val="20"/>
              </w:rPr>
              <w:t>to</w:t>
            </w:r>
            <w:r w:rsidRPr="00E203F1">
              <w:rPr>
                <w:spacing w:val="-6"/>
                <w:sz w:val="20"/>
              </w:rPr>
              <w:t xml:space="preserve"> </w:t>
            </w:r>
            <w:r w:rsidRPr="00E203F1">
              <w:rPr>
                <w:sz w:val="20"/>
              </w:rPr>
              <w:t xml:space="preserve">its </w:t>
            </w:r>
            <w:r w:rsidRPr="00E203F1">
              <w:rPr>
                <w:spacing w:val="-2"/>
                <w:sz w:val="20"/>
              </w:rPr>
              <w:t>availability.</w:t>
            </w:r>
          </w:p>
        </w:tc>
      </w:tr>
      <w:tr w:rsidR="00F053FA" w:rsidRPr="00E203F1" w14:paraId="247FC3AC" w14:textId="77777777" w:rsidTr="105DB403">
        <w:trPr>
          <w:trHeight w:val="921"/>
        </w:trPr>
        <w:tc>
          <w:tcPr>
            <w:tcW w:w="744" w:type="dxa"/>
          </w:tcPr>
          <w:p w14:paraId="5E59A49A" w14:textId="5782EB4A" w:rsidR="00F053FA" w:rsidRPr="00E203F1" w:rsidRDefault="00673341" w:rsidP="105DB403">
            <w:pPr>
              <w:pStyle w:val="TableParagraph"/>
              <w:rPr>
                <w:sz w:val="20"/>
                <w:szCs w:val="20"/>
              </w:rPr>
            </w:pPr>
            <w:r w:rsidRPr="105DB403">
              <w:rPr>
                <w:spacing w:val="-4"/>
                <w:sz w:val="20"/>
                <w:szCs w:val="20"/>
              </w:rPr>
              <w:t>5.</w:t>
            </w:r>
            <w:r w:rsidR="00626038">
              <w:rPr>
                <w:spacing w:val="-4"/>
                <w:sz w:val="20"/>
                <w:szCs w:val="20"/>
              </w:rPr>
              <w:t>1.3</w:t>
            </w:r>
          </w:p>
        </w:tc>
        <w:tc>
          <w:tcPr>
            <w:tcW w:w="1764" w:type="dxa"/>
          </w:tcPr>
          <w:p w14:paraId="300C986A" w14:textId="77777777" w:rsidR="00F053FA" w:rsidRPr="00E203F1" w:rsidRDefault="00673341" w:rsidP="000C2460">
            <w:pPr>
              <w:pStyle w:val="TableParagraph"/>
              <w:ind w:right="479"/>
              <w:rPr>
                <w:sz w:val="20"/>
              </w:rPr>
            </w:pPr>
            <w:r w:rsidRPr="00E203F1">
              <w:rPr>
                <w:spacing w:val="-2"/>
                <w:sz w:val="20"/>
              </w:rPr>
              <w:t>Records Management Policy</w:t>
            </w:r>
          </w:p>
        </w:tc>
        <w:tc>
          <w:tcPr>
            <w:tcW w:w="5902" w:type="dxa"/>
          </w:tcPr>
          <w:p w14:paraId="6E3FE6A2" w14:textId="77777777" w:rsidR="00F053FA" w:rsidRPr="00E203F1" w:rsidRDefault="00673341" w:rsidP="000C2460">
            <w:pPr>
              <w:pStyle w:val="TableParagraph"/>
              <w:ind w:right="20"/>
              <w:rPr>
                <w:sz w:val="20"/>
              </w:rPr>
            </w:pPr>
            <w:r w:rsidRPr="00E203F1">
              <w:rPr>
                <w:sz w:val="20"/>
              </w:rPr>
              <w:t>Sets out how records (containing personal data) shall be managed</w:t>
            </w:r>
            <w:r w:rsidRPr="00E203F1">
              <w:rPr>
                <w:spacing w:val="-6"/>
                <w:sz w:val="20"/>
              </w:rPr>
              <w:t xml:space="preserve"> </w:t>
            </w:r>
            <w:r w:rsidRPr="00E203F1">
              <w:rPr>
                <w:sz w:val="20"/>
              </w:rPr>
              <w:t>and</w:t>
            </w:r>
            <w:r w:rsidRPr="00E203F1">
              <w:rPr>
                <w:spacing w:val="-6"/>
                <w:sz w:val="20"/>
              </w:rPr>
              <w:t xml:space="preserve"> </w:t>
            </w:r>
            <w:r w:rsidRPr="00E203F1">
              <w:rPr>
                <w:sz w:val="20"/>
              </w:rPr>
              <w:t>retained</w:t>
            </w:r>
            <w:r w:rsidRPr="00E203F1">
              <w:rPr>
                <w:spacing w:val="-6"/>
                <w:sz w:val="20"/>
              </w:rPr>
              <w:t xml:space="preserve"> </w:t>
            </w:r>
            <w:r w:rsidRPr="00E203F1">
              <w:rPr>
                <w:sz w:val="20"/>
              </w:rPr>
              <w:t>to</w:t>
            </w:r>
            <w:r w:rsidRPr="00E203F1">
              <w:rPr>
                <w:spacing w:val="-6"/>
                <w:sz w:val="20"/>
              </w:rPr>
              <w:t xml:space="preserve"> </w:t>
            </w:r>
            <w:r w:rsidRPr="00E203F1">
              <w:rPr>
                <w:sz w:val="20"/>
              </w:rPr>
              <w:t>support</w:t>
            </w:r>
            <w:r w:rsidRPr="00E203F1">
              <w:rPr>
                <w:spacing w:val="-4"/>
                <w:sz w:val="20"/>
              </w:rPr>
              <w:t xml:space="preserve"> </w:t>
            </w:r>
            <w:r w:rsidRPr="00E203F1">
              <w:rPr>
                <w:sz w:val="20"/>
              </w:rPr>
              <w:t>University</w:t>
            </w:r>
            <w:r w:rsidRPr="00E203F1">
              <w:rPr>
                <w:spacing w:val="-5"/>
                <w:sz w:val="20"/>
              </w:rPr>
              <w:t xml:space="preserve"> </w:t>
            </w:r>
            <w:r w:rsidRPr="00E203F1">
              <w:rPr>
                <w:sz w:val="20"/>
              </w:rPr>
              <w:t>functions</w:t>
            </w:r>
            <w:r w:rsidRPr="00E203F1">
              <w:rPr>
                <w:spacing w:val="-2"/>
                <w:sz w:val="20"/>
              </w:rPr>
              <w:t xml:space="preserve"> </w:t>
            </w:r>
            <w:r w:rsidRPr="00E203F1">
              <w:rPr>
                <w:sz w:val="20"/>
              </w:rPr>
              <w:t>and</w:t>
            </w:r>
            <w:r w:rsidRPr="00E203F1">
              <w:rPr>
                <w:spacing w:val="-6"/>
                <w:sz w:val="20"/>
              </w:rPr>
              <w:t xml:space="preserve"> </w:t>
            </w:r>
            <w:r w:rsidRPr="00E203F1">
              <w:rPr>
                <w:sz w:val="20"/>
              </w:rPr>
              <w:t>to comply with legal and accountability requirements.</w:t>
            </w:r>
          </w:p>
        </w:tc>
      </w:tr>
      <w:tr w:rsidR="00F053FA" w:rsidRPr="00E203F1" w14:paraId="4FA2B00A" w14:textId="77777777" w:rsidTr="105DB403">
        <w:trPr>
          <w:trHeight w:val="1149"/>
        </w:trPr>
        <w:tc>
          <w:tcPr>
            <w:tcW w:w="744" w:type="dxa"/>
          </w:tcPr>
          <w:p w14:paraId="548269D6" w14:textId="50861B3D" w:rsidR="00F053FA" w:rsidRPr="00E203F1" w:rsidRDefault="00673341" w:rsidP="105DB403">
            <w:pPr>
              <w:pStyle w:val="TableParagraph"/>
              <w:rPr>
                <w:sz w:val="20"/>
                <w:szCs w:val="20"/>
              </w:rPr>
            </w:pPr>
            <w:r w:rsidRPr="105DB403">
              <w:rPr>
                <w:spacing w:val="-4"/>
                <w:sz w:val="20"/>
                <w:szCs w:val="20"/>
              </w:rPr>
              <w:t>5.</w:t>
            </w:r>
            <w:r w:rsidR="00626038">
              <w:rPr>
                <w:spacing w:val="-4"/>
                <w:sz w:val="20"/>
                <w:szCs w:val="20"/>
              </w:rPr>
              <w:t>1.4</w:t>
            </w:r>
          </w:p>
        </w:tc>
        <w:tc>
          <w:tcPr>
            <w:tcW w:w="1764" w:type="dxa"/>
          </w:tcPr>
          <w:p w14:paraId="1EC70FBA" w14:textId="70EAE5F1" w:rsidR="00F053FA" w:rsidRPr="00E203F1" w:rsidRDefault="73BFE792" w:rsidP="000C2460">
            <w:pPr>
              <w:pStyle w:val="TableParagraph"/>
              <w:ind w:right="95"/>
              <w:rPr>
                <w:sz w:val="20"/>
                <w:szCs w:val="20"/>
              </w:rPr>
            </w:pPr>
            <w:r w:rsidRPr="00E203F1">
              <w:rPr>
                <w:sz w:val="20"/>
                <w:szCs w:val="20"/>
              </w:rPr>
              <w:t>Intellectual Property, Equity and Revenue Sharing Poli</w:t>
            </w:r>
            <w:r w:rsidR="00578F9C" w:rsidRPr="00E203F1">
              <w:rPr>
                <w:sz w:val="20"/>
                <w:szCs w:val="20"/>
              </w:rPr>
              <w:t>cy</w:t>
            </w:r>
          </w:p>
        </w:tc>
        <w:tc>
          <w:tcPr>
            <w:tcW w:w="5902" w:type="dxa"/>
          </w:tcPr>
          <w:p w14:paraId="55B303B9" w14:textId="77777777" w:rsidR="00F053FA" w:rsidRPr="00E203F1" w:rsidRDefault="00673341" w:rsidP="000C2460">
            <w:pPr>
              <w:pStyle w:val="TableParagraph"/>
              <w:ind w:right="20"/>
              <w:rPr>
                <w:sz w:val="20"/>
              </w:rPr>
            </w:pPr>
            <w:r w:rsidRPr="00E203F1">
              <w:rPr>
                <w:sz w:val="20"/>
              </w:rPr>
              <w:t>Sets out how the University encourages and rewards commercialisation</w:t>
            </w:r>
            <w:r w:rsidRPr="00E203F1">
              <w:rPr>
                <w:spacing w:val="-7"/>
                <w:sz w:val="20"/>
              </w:rPr>
              <w:t xml:space="preserve"> </w:t>
            </w:r>
            <w:r w:rsidRPr="00E203F1">
              <w:rPr>
                <w:sz w:val="20"/>
              </w:rPr>
              <w:t>of</w:t>
            </w:r>
            <w:r w:rsidRPr="00E203F1">
              <w:rPr>
                <w:spacing w:val="-7"/>
                <w:sz w:val="20"/>
              </w:rPr>
              <w:t xml:space="preserve"> </w:t>
            </w:r>
            <w:r w:rsidRPr="00E203F1">
              <w:rPr>
                <w:sz w:val="20"/>
              </w:rPr>
              <w:t>intellectual</w:t>
            </w:r>
            <w:r w:rsidRPr="00E203F1">
              <w:rPr>
                <w:spacing w:val="-7"/>
                <w:sz w:val="20"/>
              </w:rPr>
              <w:t xml:space="preserve"> </w:t>
            </w:r>
            <w:r w:rsidRPr="00E203F1">
              <w:rPr>
                <w:sz w:val="20"/>
              </w:rPr>
              <w:t>property</w:t>
            </w:r>
            <w:r w:rsidRPr="00E203F1">
              <w:rPr>
                <w:spacing w:val="-7"/>
                <w:sz w:val="20"/>
              </w:rPr>
              <w:t xml:space="preserve"> </w:t>
            </w:r>
            <w:r w:rsidRPr="00E203F1">
              <w:rPr>
                <w:sz w:val="20"/>
              </w:rPr>
              <w:t>generated</w:t>
            </w:r>
            <w:r w:rsidRPr="00E203F1">
              <w:rPr>
                <w:spacing w:val="-6"/>
                <w:sz w:val="20"/>
              </w:rPr>
              <w:t xml:space="preserve"> </w:t>
            </w:r>
            <w:r w:rsidRPr="00E203F1">
              <w:rPr>
                <w:sz w:val="20"/>
              </w:rPr>
              <w:t>by</w:t>
            </w:r>
            <w:r w:rsidRPr="00E203F1">
              <w:rPr>
                <w:spacing w:val="-4"/>
                <w:sz w:val="20"/>
              </w:rPr>
              <w:t xml:space="preserve"> </w:t>
            </w:r>
            <w:r w:rsidRPr="00E203F1">
              <w:rPr>
                <w:sz w:val="20"/>
              </w:rPr>
              <w:t>its</w:t>
            </w:r>
            <w:r w:rsidRPr="00E203F1">
              <w:rPr>
                <w:spacing w:val="-7"/>
                <w:sz w:val="20"/>
              </w:rPr>
              <w:t xml:space="preserve"> </w:t>
            </w:r>
            <w:r w:rsidRPr="00E203F1">
              <w:rPr>
                <w:sz w:val="20"/>
              </w:rPr>
              <w:t>staff, and compliance with the confidentiality requirements of third- party agreements.</w:t>
            </w:r>
          </w:p>
        </w:tc>
      </w:tr>
    </w:tbl>
    <w:p w14:paraId="2F4855B0" w14:textId="77777777" w:rsidR="00F053FA" w:rsidRPr="00E203F1" w:rsidRDefault="00F053FA" w:rsidP="000C2460">
      <w:pPr>
        <w:pStyle w:val="BodyText"/>
      </w:pPr>
    </w:p>
    <w:p w14:paraId="3354442E" w14:textId="77777777" w:rsidR="00A20DAD" w:rsidRPr="00E203F1" w:rsidRDefault="00A20DAD" w:rsidP="00377C93">
      <w:pPr>
        <w:pStyle w:val="BodyText"/>
        <w:ind w:left="450"/>
      </w:pPr>
    </w:p>
    <w:p w14:paraId="5BFF0956" w14:textId="77777777" w:rsidR="00765C41" w:rsidRDefault="00765C41" w:rsidP="003F0E2D">
      <w:pPr>
        <w:pStyle w:val="Heading1"/>
      </w:pPr>
    </w:p>
    <w:p w14:paraId="01F5EA52" w14:textId="77777777" w:rsidR="00765C41" w:rsidRDefault="00765C41" w:rsidP="003F0E2D">
      <w:pPr>
        <w:pStyle w:val="Heading1"/>
      </w:pPr>
    </w:p>
    <w:p w14:paraId="38F0FE0E" w14:textId="62160620" w:rsidR="00F053FA" w:rsidRDefault="00673341" w:rsidP="003F0E2D">
      <w:pPr>
        <w:pStyle w:val="Heading1"/>
      </w:pPr>
      <w:r w:rsidRPr="00E203F1">
        <w:t>Revision</w:t>
      </w:r>
      <w:r w:rsidRPr="003F0E2D">
        <w:t xml:space="preserve"> History:</w:t>
      </w:r>
    </w:p>
    <w:p w14:paraId="0F22CFF6" w14:textId="77777777" w:rsidR="003F0E2D" w:rsidRPr="003F0E2D" w:rsidRDefault="003F0E2D" w:rsidP="003F0E2D">
      <w:pPr>
        <w:pStyle w:val="Heading1"/>
      </w:pPr>
    </w:p>
    <w:tbl>
      <w:tblPr>
        <w:tblW w:w="0" w:type="auto"/>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83"/>
        <w:gridCol w:w="4461"/>
        <w:gridCol w:w="2978"/>
      </w:tblGrid>
      <w:tr w:rsidR="00F053FA" w:rsidRPr="00E203F1" w14:paraId="7BA7DE3C" w14:textId="77777777" w:rsidTr="0743D410">
        <w:trPr>
          <w:trHeight w:val="349"/>
        </w:trPr>
        <w:tc>
          <w:tcPr>
            <w:tcW w:w="1483" w:type="dxa"/>
            <w:shd w:val="clear" w:color="auto" w:fill="D9D9D9" w:themeFill="background1" w:themeFillShade="D9"/>
          </w:tcPr>
          <w:p w14:paraId="104F4405" w14:textId="77777777" w:rsidR="00F053FA" w:rsidRPr="00E203F1" w:rsidRDefault="00673341" w:rsidP="000C2460">
            <w:pPr>
              <w:pStyle w:val="TableParagraph"/>
              <w:ind w:left="657"/>
              <w:rPr>
                <w:b/>
                <w:sz w:val="20"/>
              </w:rPr>
            </w:pPr>
            <w:r w:rsidRPr="00E203F1">
              <w:rPr>
                <w:b/>
                <w:spacing w:val="-2"/>
                <w:sz w:val="20"/>
              </w:rPr>
              <w:t>Version</w:t>
            </w:r>
          </w:p>
        </w:tc>
        <w:tc>
          <w:tcPr>
            <w:tcW w:w="4461" w:type="dxa"/>
            <w:shd w:val="clear" w:color="auto" w:fill="D9D9D9" w:themeFill="background1" w:themeFillShade="D9"/>
          </w:tcPr>
          <w:p w14:paraId="4BF11AA1" w14:textId="77777777" w:rsidR="00F053FA" w:rsidRPr="00E203F1" w:rsidRDefault="00673341" w:rsidP="000C2460">
            <w:pPr>
              <w:pStyle w:val="TableParagraph"/>
              <w:ind w:left="507"/>
              <w:jc w:val="center"/>
              <w:rPr>
                <w:b/>
                <w:sz w:val="20"/>
              </w:rPr>
            </w:pPr>
            <w:r w:rsidRPr="00E203F1">
              <w:rPr>
                <w:b/>
                <w:spacing w:val="-4"/>
                <w:sz w:val="20"/>
              </w:rPr>
              <w:t>Date</w:t>
            </w:r>
          </w:p>
        </w:tc>
        <w:tc>
          <w:tcPr>
            <w:tcW w:w="2978" w:type="dxa"/>
            <w:shd w:val="clear" w:color="auto" w:fill="D9D9D9" w:themeFill="background1" w:themeFillShade="D9"/>
          </w:tcPr>
          <w:p w14:paraId="7B976FC5" w14:textId="77777777" w:rsidR="00F053FA" w:rsidRPr="00E203F1" w:rsidRDefault="00673341" w:rsidP="000C2460">
            <w:pPr>
              <w:pStyle w:val="TableParagraph"/>
              <w:ind w:left="190"/>
              <w:rPr>
                <w:b/>
                <w:sz w:val="20"/>
              </w:rPr>
            </w:pPr>
            <w:r w:rsidRPr="00E203F1">
              <w:rPr>
                <w:b/>
                <w:sz w:val="20"/>
              </w:rPr>
              <w:t>Reason</w:t>
            </w:r>
            <w:r w:rsidRPr="00E203F1">
              <w:rPr>
                <w:b/>
                <w:spacing w:val="-7"/>
                <w:sz w:val="20"/>
              </w:rPr>
              <w:t xml:space="preserve"> </w:t>
            </w:r>
            <w:r w:rsidRPr="00E203F1">
              <w:rPr>
                <w:b/>
                <w:sz w:val="20"/>
              </w:rPr>
              <w:t>for</w:t>
            </w:r>
            <w:r w:rsidRPr="00E203F1">
              <w:rPr>
                <w:b/>
                <w:spacing w:val="-5"/>
                <w:sz w:val="20"/>
              </w:rPr>
              <w:t xml:space="preserve"> </w:t>
            </w:r>
            <w:r w:rsidRPr="00E203F1">
              <w:rPr>
                <w:b/>
                <w:spacing w:val="-2"/>
                <w:sz w:val="20"/>
              </w:rPr>
              <w:t>release/Status</w:t>
            </w:r>
          </w:p>
        </w:tc>
      </w:tr>
      <w:tr w:rsidR="00F053FA" w:rsidRPr="00E203F1" w14:paraId="61DA3E3A" w14:textId="77777777" w:rsidTr="0743D410">
        <w:trPr>
          <w:trHeight w:val="349"/>
        </w:trPr>
        <w:tc>
          <w:tcPr>
            <w:tcW w:w="1483" w:type="dxa"/>
          </w:tcPr>
          <w:p w14:paraId="7205A5CB" w14:textId="77777777" w:rsidR="00F053FA" w:rsidRPr="00E203F1" w:rsidRDefault="00673341" w:rsidP="000C2460">
            <w:pPr>
              <w:pStyle w:val="TableParagraph"/>
              <w:ind w:left="628"/>
              <w:rPr>
                <w:sz w:val="20"/>
              </w:rPr>
            </w:pPr>
            <w:r w:rsidRPr="00E203F1">
              <w:rPr>
                <w:spacing w:val="-5"/>
                <w:sz w:val="20"/>
              </w:rPr>
              <w:t>1.0</w:t>
            </w:r>
          </w:p>
        </w:tc>
        <w:tc>
          <w:tcPr>
            <w:tcW w:w="4461" w:type="dxa"/>
          </w:tcPr>
          <w:p w14:paraId="5DB662A4" w14:textId="77777777" w:rsidR="00F053FA" w:rsidRPr="00E203F1" w:rsidRDefault="00673341" w:rsidP="000C2460">
            <w:pPr>
              <w:pStyle w:val="TableParagraph"/>
              <w:ind w:left="566"/>
              <w:rPr>
                <w:sz w:val="20"/>
              </w:rPr>
            </w:pPr>
            <w:r w:rsidRPr="00E203F1">
              <w:rPr>
                <w:sz w:val="20"/>
              </w:rPr>
              <w:t>4</w:t>
            </w:r>
            <w:r w:rsidRPr="00E203F1">
              <w:rPr>
                <w:spacing w:val="-5"/>
                <w:sz w:val="20"/>
              </w:rPr>
              <w:t xml:space="preserve"> </w:t>
            </w:r>
            <w:r w:rsidRPr="00E203F1">
              <w:rPr>
                <w:sz w:val="20"/>
              </w:rPr>
              <w:t>March</w:t>
            </w:r>
            <w:r w:rsidRPr="00E203F1">
              <w:rPr>
                <w:spacing w:val="-3"/>
                <w:sz w:val="20"/>
              </w:rPr>
              <w:t xml:space="preserve"> </w:t>
            </w:r>
            <w:r w:rsidRPr="00E203F1">
              <w:rPr>
                <w:spacing w:val="-4"/>
                <w:sz w:val="20"/>
              </w:rPr>
              <w:t>2012</w:t>
            </w:r>
          </w:p>
        </w:tc>
        <w:tc>
          <w:tcPr>
            <w:tcW w:w="2978" w:type="dxa"/>
          </w:tcPr>
          <w:p w14:paraId="38F31E32" w14:textId="77777777" w:rsidR="00F053FA" w:rsidRPr="00E203F1" w:rsidRDefault="00673341" w:rsidP="000C2460">
            <w:pPr>
              <w:pStyle w:val="TableParagraph"/>
              <w:ind w:left="156"/>
              <w:rPr>
                <w:sz w:val="20"/>
              </w:rPr>
            </w:pPr>
            <w:r w:rsidRPr="00E203F1">
              <w:rPr>
                <w:sz w:val="20"/>
              </w:rPr>
              <w:t>Published</w:t>
            </w:r>
            <w:r w:rsidRPr="00E203F1">
              <w:rPr>
                <w:spacing w:val="-12"/>
                <w:sz w:val="20"/>
              </w:rPr>
              <w:t xml:space="preserve"> </w:t>
            </w:r>
            <w:r w:rsidRPr="00E203F1">
              <w:rPr>
                <w:spacing w:val="-4"/>
                <w:sz w:val="20"/>
              </w:rPr>
              <w:t>copy</w:t>
            </w:r>
          </w:p>
        </w:tc>
      </w:tr>
      <w:tr w:rsidR="00F053FA" w:rsidRPr="00E203F1" w14:paraId="3EF5DA9F" w14:textId="77777777" w:rsidTr="0743D410">
        <w:trPr>
          <w:trHeight w:val="349"/>
        </w:trPr>
        <w:tc>
          <w:tcPr>
            <w:tcW w:w="1483" w:type="dxa"/>
          </w:tcPr>
          <w:p w14:paraId="0C921DA7" w14:textId="77777777" w:rsidR="00F053FA" w:rsidRPr="00E203F1" w:rsidRDefault="00673341" w:rsidP="000C2460">
            <w:pPr>
              <w:pStyle w:val="TableParagraph"/>
              <w:ind w:left="628"/>
              <w:rPr>
                <w:sz w:val="20"/>
              </w:rPr>
            </w:pPr>
            <w:r w:rsidRPr="00E203F1">
              <w:rPr>
                <w:spacing w:val="-5"/>
                <w:sz w:val="20"/>
              </w:rPr>
              <w:t>2.0</w:t>
            </w:r>
          </w:p>
        </w:tc>
        <w:tc>
          <w:tcPr>
            <w:tcW w:w="4461" w:type="dxa"/>
          </w:tcPr>
          <w:p w14:paraId="5C883654" w14:textId="77777777" w:rsidR="00F053FA" w:rsidRPr="00E203F1" w:rsidRDefault="00673341" w:rsidP="000C2460">
            <w:pPr>
              <w:pStyle w:val="TableParagraph"/>
              <w:ind w:left="566"/>
              <w:rPr>
                <w:sz w:val="20"/>
              </w:rPr>
            </w:pPr>
            <w:r w:rsidRPr="00E203F1">
              <w:rPr>
                <w:sz w:val="20"/>
              </w:rPr>
              <w:t>3</w:t>
            </w:r>
            <w:r w:rsidRPr="00E203F1">
              <w:rPr>
                <w:spacing w:val="-4"/>
                <w:sz w:val="20"/>
              </w:rPr>
              <w:t xml:space="preserve"> </w:t>
            </w:r>
            <w:r w:rsidRPr="00E203F1">
              <w:rPr>
                <w:sz w:val="20"/>
              </w:rPr>
              <w:t>April</w:t>
            </w:r>
            <w:r w:rsidRPr="00E203F1">
              <w:rPr>
                <w:spacing w:val="-3"/>
                <w:sz w:val="20"/>
              </w:rPr>
              <w:t xml:space="preserve"> </w:t>
            </w:r>
            <w:r w:rsidRPr="00E203F1">
              <w:rPr>
                <w:spacing w:val="-4"/>
                <w:sz w:val="20"/>
              </w:rPr>
              <w:t>2020</w:t>
            </w:r>
          </w:p>
        </w:tc>
        <w:tc>
          <w:tcPr>
            <w:tcW w:w="2978" w:type="dxa"/>
          </w:tcPr>
          <w:p w14:paraId="70992A3A" w14:textId="77777777" w:rsidR="00F053FA" w:rsidRPr="00E203F1" w:rsidRDefault="00673341" w:rsidP="000C2460">
            <w:pPr>
              <w:pStyle w:val="TableParagraph"/>
              <w:ind w:left="156"/>
              <w:rPr>
                <w:sz w:val="20"/>
              </w:rPr>
            </w:pPr>
            <w:r w:rsidRPr="00E203F1">
              <w:rPr>
                <w:sz w:val="20"/>
              </w:rPr>
              <w:t>Revision</w:t>
            </w:r>
            <w:r w:rsidRPr="00E203F1">
              <w:rPr>
                <w:spacing w:val="-8"/>
                <w:sz w:val="20"/>
              </w:rPr>
              <w:t xml:space="preserve"> </w:t>
            </w:r>
            <w:r w:rsidRPr="00E203F1">
              <w:rPr>
                <w:sz w:val="20"/>
              </w:rPr>
              <w:t>of</w:t>
            </w:r>
            <w:r w:rsidRPr="00E203F1">
              <w:rPr>
                <w:spacing w:val="-6"/>
                <w:sz w:val="20"/>
              </w:rPr>
              <w:t xml:space="preserve"> </w:t>
            </w:r>
            <w:r w:rsidRPr="00E203F1">
              <w:rPr>
                <w:sz w:val="20"/>
              </w:rPr>
              <w:t>previous</w:t>
            </w:r>
            <w:r w:rsidRPr="00E203F1">
              <w:rPr>
                <w:spacing w:val="-7"/>
                <w:sz w:val="20"/>
              </w:rPr>
              <w:t xml:space="preserve"> </w:t>
            </w:r>
            <w:r w:rsidRPr="00E203F1">
              <w:rPr>
                <w:spacing w:val="-2"/>
                <w:sz w:val="20"/>
              </w:rPr>
              <w:t>version</w:t>
            </w:r>
          </w:p>
        </w:tc>
      </w:tr>
      <w:tr w:rsidR="00F053FA" w:rsidRPr="00E203F1" w14:paraId="19AAAC99" w14:textId="77777777" w:rsidTr="0743D410">
        <w:trPr>
          <w:trHeight w:val="349"/>
        </w:trPr>
        <w:tc>
          <w:tcPr>
            <w:tcW w:w="1483" w:type="dxa"/>
          </w:tcPr>
          <w:p w14:paraId="78D0E0CC" w14:textId="75F5F70A" w:rsidR="00F053FA" w:rsidRPr="00205BF8" w:rsidRDefault="51E4E4CC" w:rsidP="00205BF8">
            <w:pPr>
              <w:pStyle w:val="TableParagraph"/>
              <w:ind w:left="628"/>
              <w:rPr>
                <w:sz w:val="20"/>
                <w:szCs w:val="20"/>
              </w:rPr>
            </w:pPr>
            <w:r w:rsidRPr="00205BF8">
              <w:rPr>
                <w:sz w:val="20"/>
                <w:szCs w:val="20"/>
              </w:rPr>
              <w:t>3.0</w:t>
            </w:r>
            <w:r w:rsidR="08947811" w:rsidRPr="00E203F1">
              <w:rPr>
                <w:sz w:val="20"/>
                <w:szCs w:val="20"/>
              </w:rPr>
              <w:t xml:space="preserve"> </w:t>
            </w:r>
          </w:p>
        </w:tc>
        <w:tc>
          <w:tcPr>
            <w:tcW w:w="4461" w:type="dxa"/>
          </w:tcPr>
          <w:p w14:paraId="004CE68D" w14:textId="68675127" w:rsidR="00F053FA" w:rsidRPr="00765C41" w:rsidRDefault="003215D3" w:rsidP="00765C41">
            <w:pPr>
              <w:pStyle w:val="TableParagraph"/>
              <w:ind w:left="566"/>
              <w:rPr>
                <w:sz w:val="20"/>
              </w:rPr>
            </w:pPr>
            <w:r>
              <w:rPr>
                <w:sz w:val="20"/>
              </w:rPr>
              <w:t>17 December 2025</w:t>
            </w:r>
          </w:p>
        </w:tc>
        <w:tc>
          <w:tcPr>
            <w:tcW w:w="2978" w:type="dxa"/>
          </w:tcPr>
          <w:p w14:paraId="21356D31" w14:textId="56513369" w:rsidR="00F053FA" w:rsidRPr="00205BF8" w:rsidRDefault="51E4E4CC" w:rsidP="00205BF8">
            <w:pPr>
              <w:pStyle w:val="TableParagraph"/>
              <w:ind w:left="180"/>
              <w:rPr>
                <w:sz w:val="20"/>
                <w:szCs w:val="20"/>
              </w:rPr>
            </w:pPr>
            <w:r w:rsidRPr="00205BF8">
              <w:rPr>
                <w:sz w:val="20"/>
                <w:szCs w:val="20"/>
              </w:rPr>
              <w:t>Further revisions</w:t>
            </w:r>
          </w:p>
        </w:tc>
      </w:tr>
      <w:tr w:rsidR="00F053FA" w:rsidRPr="00E203F1" w14:paraId="6A16868D" w14:textId="77777777" w:rsidTr="0743D410">
        <w:trPr>
          <w:trHeight w:val="349"/>
        </w:trPr>
        <w:tc>
          <w:tcPr>
            <w:tcW w:w="1483" w:type="dxa"/>
          </w:tcPr>
          <w:p w14:paraId="43AC297F" w14:textId="77777777" w:rsidR="00F053FA" w:rsidRPr="00E203F1" w:rsidRDefault="00F053FA" w:rsidP="000C2460">
            <w:pPr>
              <w:pStyle w:val="TableParagraph"/>
              <w:ind w:left="0"/>
              <w:rPr>
                <w:rFonts w:ascii="Times New Roman"/>
                <w:sz w:val="18"/>
              </w:rPr>
            </w:pPr>
          </w:p>
        </w:tc>
        <w:tc>
          <w:tcPr>
            <w:tcW w:w="4461" w:type="dxa"/>
          </w:tcPr>
          <w:p w14:paraId="3EC0C4A7" w14:textId="77777777" w:rsidR="00F053FA" w:rsidRPr="00E203F1" w:rsidRDefault="00F053FA" w:rsidP="000C2460">
            <w:pPr>
              <w:pStyle w:val="TableParagraph"/>
              <w:ind w:left="0"/>
              <w:rPr>
                <w:rFonts w:ascii="Times New Roman"/>
                <w:sz w:val="18"/>
              </w:rPr>
            </w:pPr>
          </w:p>
        </w:tc>
        <w:tc>
          <w:tcPr>
            <w:tcW w:w="2978" w:type="dxa"/>
          </w:tcPr>
          <w:p w14:paraId="04451A81" w14:textId="77777777" w:rsidR="00F053FA" w:rsidRPr="00E203F1" w:rsidRDefault="00F053FA" w:rsidP="000C2460">
            <w:pPr>
              <w:pStyle w:val="TableParagraph"/>
              <w:ind w:left="0"/>
              <w:rPr>
                <w:rFonts w:ascii="Times New Roman"/>
                <w:sz w:val="18"/>
              </w:rPr>
            </w:pPr>
          </w:p>
        </w:tc>
      </w:tr>
    </w:tbl>
    <w:p w14:paraId="7D34B832" w14:textId="5704C136" w:rsidR="00765C41" w:rsidRDefault="00765C41" w:rsidP="000C2460"/>
    <w:p w14:paraId="6C750C5B" w14:textId="77777777" w:rsidR="00765C41" w:rsidRDefault="00765C41">
      <w:r>
        <w:br w:type="page"/>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7"/>
        <w:gridCol w:w="4149"/>
      </w:tblGrid>
      <w:tr w:rsidR="00765C41" w14:paraId="71DDE5F2" w14:textId="77777777" w:rsidTr="00311F89">
        <w:trPr>
          <w:trHeight w:val="777"/>
        </w:trPr>
        <w:tc>
          <w:tcPr>
            <w:tcW w:w="4147" w:type="dxa"/>
          </w:tcPr>
          <w:p w14:paraId="6167F3CC" w14:textId="77777777" w:rsidR="00765C41" w:rsidRPr="00765C41" w:rsidRDefault="00765C41" w:rsidP="00311F89">
            <w:pPr>
              <w:pStyle w:val="TableParagraph"/>
              <w:spacing w:before="114"/>
              <w:rPr>
                <w:rFonts w:ascii="Times New Roman" w:hAnsi="Times New Roman" w:cs="Times New Roman"/>
                <w:b/>
              </w:rPr>
            </w:pPr>
            <w:r w:rsidRPr="00765C41">
              <w:rPr>
                <w:rFonts w:ascii="Times New Roman" w:hAnsi="Times New Roman" w:cs="Times New Roman"/>
                <w:b/>
              </w:rPr>
              <w:lastRenderedPageBreak/>
              <w:t>Title</w:t>
            </w:r>
          </w:p>
        </w:tc>
        <w:tc>
          <w:tcPr>
            <w:tcW w:w="4149" w:type="dxa"/>
          </w:tcPr>
          <w:p w14:paraId="6C00B2F2" w14:textId="4A22C172" w:rsidR="00765C41" w:rsidRPr="00765C41" w:rsidRDefault="00765C41" w:rsidP="00311F89">
            <w:pPr>
              <w:pStyle w:val="TableParagraph"/>
              <w:ind w:left="108"/>
              <w:rPr>
                <w:rFonts w:ascii="Times New Roman" w:hAnsi="Times New Roman" w:cs="Times New Roman"/>
              </w:rPr>
            </w:pPr>
            <w:r w:rsidRPr="00765C41">
              <w:rPr>
                <w:rFonts w:ascii="Times New Roman" w:hAnsi="Times New Roman" w:cs="Times New Roman"/>
              </w:rPr>
              <w:t xml:space="preserve">Research Data Management </w:t>
            </w:r>
            <w:r w:rsidR="00F80C25">
              <w:rPr>
                <w:rFonts w:ascii="Times New Roman" w:hAnsi="Times New Roman" w:cs="Times New Roman"/>
              </w:rPr>
              <w:t>Policy</w:t>
            </w:r>
          </w:p>
        </w:tc>
      </w:tr>
      <w:tr w:rsidR="00765C41" w14:paraId="1155DFBD" w14:textId="77777777" w:rsidTr="00311F89">
        <w:trPr>
          <w:trHeight w:val="779"/>
        </w:trPr>
        <w:tc>
          <w:tcPr>
            <w:tcW w:w="4147" w:type="dxa"/>
          </w:tcPr>
          <w:p w14:paraId="68CB74D1" w14:textId="77777777" w:rsidR="00765C41" w:rsidRPr="00765C41" w:rsidRDefault="00765C41" w:rsidP="00311F89">
            <w:pPr>
              <w:pStyle w:val="TableParagraph"/>
              <w:spacing w:before="114"/>
              <w:rPr>
                <w:rFonts w:ascii="Times New Roman" w:hAnsi="Times New Roman" w:cs="Times New Roman"/>
                <w:b/>
              </w:rPr>
            </w:pPr>
            <w:r w:rsidRPr="00765C41">
              <w:rPr>
                <w:rFonts w:ascii="Times New Roman" w:hAnsi="Times New Roman" w:cs="Times New Roman"/>
                <w:b/>
              </w:rPr>
              <w:t>Author</w:t>
            </w:r>
            <w:r w:rsidRPr="00765C41">
              <w:rPr>
                <w:rFonts w:ascii="Times New Roman" w:hAnsi="Times New Roman" w:cs="Times New Roman"/>
                <w:b/>
                <w:spacing w:val="-2"/>
              </w:rPr>
              <w:t xml:space="preserve"> </w:t>
            </w:r>
            <w:r w:rsidRPr="00765C41">
              <w:rPr>
                <w:rFonts w:ascii="Times New Roman" w:hAnsi="Times New Roman" w:cs="Times New Roman"/>
                <w:b/>
              </w:rPr>
              <w:t>/</w:t>
            </w:r>
            <w:r w:rsidRPr="00765C41">
              <w:rPr>
                <w:rFonts w:ascii="Times New Roman" w:hAnsi="Times New Roman" w:cs="Times New Roman"/>
                <w:b/>
                <w:spacing w:val="-1"/>
              </w:rPr>
              <w:t xml:space="preserve"> </w:t>
            </w:r>
            <w:r w:rsidRPr="00765C41">
              <w:rPr>
                <w:rFonts w:ascii="Times New Roman" w:hAnsi="Times New Roman" w:cs="Times New Roman"/>
                <w:b/>
                <w:spacing w:val="-2"/>
              </w:rPr>
              <w:t>Creator</w:t>
            </w:r>
          </w:p>
        </w:tc>
        <w:tc>
          <w:tcPr>
            <w:tcW w:w="4149" w:type="dxa"/>
          </w:tcPr>
          <w:p w14:paraId="604D5229" w14:textId="77777777" w:rsidR="00765C41" w:rsidRPr="00765C41" w:rsidRDefault="00765C41" w:rsidP="00311F89">
            <w:pPr>
              <w:pStyle w:val="TableParagraph"/>
              <w:spacing w:before="114"/>
              <w:ind w:left="108"/>
              <w:rPr>
                <w:rFonts w:ascii="Times New Roman" w:hAnsi="Times New Roman" w:cs="Times New Roman"/>
              </w:rPr>
            </w:pPr>
            <w:r w:rsidRPr="00765C41">
              <w:rPr>
                <w:rFonts w:ascii="Times New Roman" w:hAnsi="Times New Roman" w:cs="Times New Roman"/>
              </w:rPr>
              <w:t>Dawn Foster, Digital Research Team, Information Governance Team, Open Research Team, Research Governance (</w:t>
            </w:r>
            <w:proofErr w:type="spellStart"/>
            <w:r w:rsidRPr="00765C41">
              <w:rPr>
                <w:rFonts w:ascii="Times New Roman" w:hAnsi="Times New Roman" w:cs="Times New Roman"/>
              </w:rPr>
              <w:t>Foresterhill</w:t>
            </w:r>
            <w:proofErr w:type="spellEnd"/>
            <w:r w:rsidRPr="00765C41">
              <w:rPr>
                <w:rFonts w:ascii="Times New Roman" w:hAnsi="Times New Roman" w:cs="Times New Roman"/>
              </w:rPr>
              <w:t>)</w:t>
            </w:r>
          </w:p>
        </w:tc>
      </w:tr>
      <w:tr w:rsidR="00765C41" w14:paraId="69253585" w14:textId="77777777" w:rsidTr="00311F89">
        <w:trPr>
          <w:trHeight w:val="777"/>
        </w:trPr>
        <w:tc>
          <w:tcPr>
            <w:tcW w:w="4147" w:type="dxa"/>
          </w:tcPr>
          <w:p w14:paraId="26751E44"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Owner</w:t>
            </w:r>
          </w:p>
        </w:tc>
        <w:tc>
          <w:tcPr>
            <w:tcW w:w="4149" w:type="dxa"/>
          </w:tcPr>
          <w:p w14:paraId="7616F0EA" w14:textId="4BFAB97A" w:rsidR="00765C41" w:rsidRPr="00765C41" w:rsidRDefault="003215D3" w:rsidP="00311F89">
            <w:pPr>
              <w:pStyle w:val="TableParagraph"/>
              <w:ind w:left="108"/>
              <w:rPr>
                <w:rFonts w:ascii="Times New Roman" w:hAnsi="Times New Roman" w:cs="Times New Roman"/>
              </w:rPr>
            </w:pPr>
            <w:r>
              <w:rPr>
                <w:rFonts w:ascii="Times New Roman" w:hAnsi="Times New Roman" w:cs="Times New Roman"/>
              </w:rPr>
              <w:t>Lucy Leiper</w:t>
            </w:r>
          </w:p>
        </w:tc>
      </w:tr>
      <w:tr w:rsidR="00765C41" w14:paraId="32213BEA" w14:textId="77777777" w:rsidTr="00311F89">
        <w:trPr>
          <w:trHeight w:val="642"/>
        </w:trPr>
        <w:tc>
          <w:tcPr>
            <w:tcW w:w="4147" w:type="dxa"/>
          </w:tcPr>
          <w:p w14:paraId="53831A8A"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rPr>
              <w:t>Date</w:t>
            </w:r>
            <w:r w:rsidRPr="00765C41">
              <w:rPr>
                <w:rFonts w:ascii="Times New Roman" w:hAnsi="Times New Roman" w:cs="Times New Roman"/>
                <w:b/>
                <w:spacing w:val="-1"/>
              </w:rPr>
              <w:t xml:space="preserve"> </w:t>
            </w:r>
            <w:r w:rsidRPr="00765C41">
              <w:rPr>
                <w:rFonts w:ascii="Times New Roman" w:hAnsi="Times New Roman" w:cs="Times New Roman"/>
                <w:b/>
              </w:rPr>
              <w:t>published /</w:t>
            </w:r>
            <w:r w:rsidRPr="00765C41">
              <w:rPr>
                <w:rFonts w:ascii="Times New Roman" w:hAnsi="Times New Roman" w:cs="Times New Roman"/>
                <w:b/>
                <w:spacing w:val="1"/>
              </w:rPr>
              <w:t xml:space="preserve"> </w:t>
            </w:r>
            <w:r w:rsidRPr="00765C41">
              <w:rPr>
                <w:rFonts w:ascii="Times New Roman" w:hAnsi="Times New Roman" w:cs="Times New Roman"/>
                <w:b/>
                <w:spacing w:val="-2"/>
              </w:rPr>
              <w:t>approved</w:t>
            </w:r>
          </w:p>
        </w:tc>
        <w:tc>
          <w:tcPr>
            <w:tcW w:w="4149" w:type="dxa"/>
          </w:tcPr>
          <w:p w14:paraId="679DF733" w14:textId="28644A77" w:rsidR="00765C41" w:rsidRPr="00765C41" w:rsidRDefault="003215D3" w:rsidP="00311F89">
            <w:pPr>
              <w:pStyle w:val="TableParagraph"/>
              <w:ind w:left="108"/>
              <w:rPr>
                <w:rFonts w:ascii="Times New Roman" w:hAnsi="Times New Roman" w:cs="Times New Roman"/>
              </w:rPr>
            </w:pPr>
            <w:r>
              <w:rPr>
                <w:rFonts w:ascii="Times New Roman" w:hAnsi="Times New Roman" w:cs="Times New Roman"/>
              </w:rPr>
              <w:t>17 December 2025</w:t>
            </w:r>
          </w:p>
        </w:tc>
      </w:tr>
      <w:tr w:rsidR="00765C41" w14:paraId="66417154" w14:textId="77777777" w:rsidTr="00311F89">
        <w:trPr>
          <w:trHeight w:val="777"/>
        </w:trPr>
        <w:tc>
          <w:tcPr>
            <w:tcW w:w="4147" w:type="dxa"/>
          </w:tcPr>
          <w:p w14:paraId="4004586C"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Version</w:t>
            </w:r>
          </w:p>
        </w:tc>
        <w:tc>
          <w:tcPr>
            <w:tcW w:w="4149" w:type="dxa"/>
          </w:tcPr>
          <w:p w14:paraId="01C10DF7" w14:textId="77777777" w:rsidR="00765C41" w:rsidRPr="00765C41" w:rsidRDefault="00765C41" w:rsidP="00311F89">
            <w:pPr>
              <w:pStyle w:val="TableParagraph"/>
              <w:ind w:left="108"/>
              <w:rPr>
                <w:rFonts w:ascii="Times New Roman" w:hAnsi="Times New Roman" w:cs="Times New Roman"/>
              </w:rPr>
            </w:pPr>
            <w:r w:rsidRPr="00765C41">
              <w:rPr>
                <w:rFonts w:ascii="Times New Roman" w:hAnsi="Times New Roman" w:cs="Times New Roman"/>
              </w:rPr>
              <w:t>3</w:t>
            </w:r>
          </w:p>
        </w:tc>
      </w:tr>
      <w:tr w:rsidR="00765C41" w14:paraId="21B8000D" w14:textId="77777777" w:rsidTr="00311F89">
        <w:trPr>
          <w:trHeight w:val="779"/>
        </w:trPr>
        <w:tc>
          <w:tcPr>
            <w:tcW w:w="4147" w:type="dxa"/>
          </w:tcPr>
          <w:p w14:paraId="77A590FC" w14:textId="77777777" w:rsidR="00765C41" w:rsidRPr="00765C41" w:rsidRDefault="00765C41" w:rsidP="00311F89">
            <w:pPr>
              <w:pStyle w:val="TableParagraph"/>
              <w:spacing w:before="114"/>
              <w:rPr>
                <w:rFonts w:ascii="Times New Roman" w:hAnsi="Times New Roman" w:cs="Times New Roman"/>
                <w:b/>
              </w:rPr>
            </w:pPr>
            <w:r w:rsidRPr="00765C41">
              <w:rPr>
                <w:rFonts w:ascii="Times New Roman" w:hAnsi="Times New Roman" w:cs="Times New Roman"/>
                <w:b/>
              </w:rPr>
              <w:t>Date</w:t>
            </w:r>
            <w:r w:rsidRPr="00765C41">
              <w:rPr>
                <w:rFonts w:ascii="Times New Roman" w:hAnsi="Times New Roman" w:cs="Times New Roman"/>
                <w:b/>
                <w:spacing w:val="-2"/>
              </w:rPr>
              <w:t xml:space="preserve"> </w:t>
            </w:r>
            <w:r w:rsidRPr="00765C41">
              <w:rPr>
                <w:rFonts w:ascii="Times New Roman" w:hAnsi="Times New Roman" w:cs="Times New Roman"/>
                <w:b/>
              </w:rPr>
              <w:t>for</w:t>
            </w:r>
            <w:r w:rsidRPr="00765C41">
              <w:rPr>
                <w:rFonts w:ascii="Times New Roman" w:hAnsi="Times New Roman" w:cs="Times New Roman"/>
                <w:b/>
                <w:spacing w:val="-1"/>
              </w:rPr>
              <w:t xml:space="preserve"> </w:t>
            </w:r>
            <w:r w:rsidRPr="00765C41">
              <w:rPr>
                <w:rFonts w:ascii="Times New Roman" w:hAnsi="Times New Roman" w:cs="Times New Roman"/>
                <w:b/>
              </w:rPr>
              <w:t>Next</w:t>
            </w:r>
            <w:r w:rsidRPr="00765C41">
              <w:rPr>
                <w:rFonts w:ascii="Times New Roman" w:hAnsi="Times New Roman" w:cs="Times New Roman"/>
                <w:b/>
                <w:spacing w:val="-1"/>
              </w:rPr>
              <w:t xml:space="preserve"> </w:t>
            </w:r>
            <w:r w:rsidRPr="00765C41">
              <w:rPr>
                <w:rFonts w:ascii="Times New Roman" w:hAnsi="Times New Roman" w:cs="Times New Roman"/>
                <w:b/>
                <w:spacing w:val="-2"/>
              </w:rPr>
              <w:t>Review</w:t>
            </w:r>
          </w:p>
        </w:tc>
        <w:tc>
          <w:tcPr>
            <w:tcW w:w="4149" w:type="dxa"/>
          </w:tcPr>
          <w:p w14:paraId="25B812DA" w14:textId="77777777" w:rsidR="00765C41" w:rsidRPr="00765C41" w:rsidRDefault="00765C41" w:rsidP="00311F89">
            <w:pPr>
              <w:pStyle w:val="TableParagraph"/>
              <w:spacing w:before="114"/>
              <w:ind w:left="108"/>
              <w:rPr>
                <w:rFonts w:ascii="Times New Roman" w:hAnsi="Times New Roman" w:cs="Times New Roman"/>
              </w:rPr>
            </w:pPr>
            <w:r w:rsidRPr="00765C41">
              <w:rPr>
                <w:rFonts w:ascii="Times New Roman" w:hAnsi="Times New Roman" w:cs="Times New Roman"/>
              </w:rPr>
              <w:t>2027 (following publication of UKRI’s revised Research Data Policy)</w:t>
            </w:r>
          </w:p>
        </w:tc>
      </w:tr>
      <w:tr w:rsidR="00765C41" w14:paraId="0750E63A" w14:textId="77777777" w:rsidTr="00311F89">
        <w:trPr>
          <w:trHeight w:val="501"/>
        </w:trPr>
        <w:tc>
          <w:tcPr>
            <w:tcW w:w="4147" w:type="dxa"/>
          </w:tcPr>
          <w:p w14:paraId="2AE6B7CF"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Audience</w:t>
            </w:r>
          </w:p>
        </w:tc>
        <w:tc>
          <w:tcPr>
            <w:tcW w:w="4149" w:type="dxa"/>
          </w:tcPr>
          <w:p w14:paraId="702645CE" w14:textId="77777777" w:rsidR="00765C41" w:rsidRPr="00765C41" w:rsidRDefault="00765C41" w:rsidP="00311F89">
            <w:pPr>
              <w:pStyle w:val="TableParagraph"/>
              <w:ind w:left="108"/>
              <w:rPr>
                <w:rFonts w:ascii="Times New Roman" w:hAnsi="Times New Roman" w:cs="Times New Roman"/>
              </w:rPr>
            </w:pPr>
            <w:r w:rsidRPr="00765C41">
              <w:rPr>
                <w:rFonts w:ascii="Times New Roman" w:hAnsi="Times New Roman" w:cs="Times New Roman"/>
              </w:rPr>
              <w:t>Research Staff and Students</w:t>
            </w:r>
          </w:p>
        </w:tc>
      </w:tr>
      <w:tr w:rsidR="00765C41" w14:paraId="567AB13B" w14:textId="77777777" w:rsidTr="00311F89">
        <w:trPr>
          <w:trHeight w:val="777"/>
        </w:trPr>
        <w:tc>
          <w:tcPr>
            <w:tcW w:w="4147" w:type="dxa"/>
          </w:tcPr>
          <w:p w14:paraId="459CF23F"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Related</w:t>
            </w:r>
          </w:p>
        </w:tc>
        <w:tc>
          <w:tcPr>
            <w:tcW w:w="4149" w:type="dxa"/>
          </w:tcPr>
          <w:p w14:paraId="3106370D" w14:textId="76D604F9" w:rsidR="00765C41" w:rsidRPr="00765C41" w:rsidRDefault="00765C41" w:rsidP="00311F89">
            <w:pPr>
              <w:pStyle w:val="TableParagraph"/>
              <w:ind w:left="0"/>
              <w:rPr>
                <w:rFonts w:ascii="Times New Roman" w:hAnsi="Times New Roman" w:cs="Times New Roman"/>
              </w:rPr>
            </w:pPr>
            <w:r w:rsidRPr="00765C41">
              <w:rPr>
                <w:rFonts w:ascii="Times New Roman" w:hAnsi="Times New Roman" w:cs="Times New Roman"/>
              </w:rPr>
              <w:t xml:space="preserve">  Research Data Management </w:t>
            </w:r>
            <w:r w:rsidR="00F80C25">
              <w:rPr>
                <w:rFonts w:ascii="Times New Roman" w:hAnsi="Times New Roman" w:cs="Times New Roman"/>
              </w:rPr>
              <w:t>Guidance Note</w:t>
            </w:r>
          </w:p>
        </w:tc>
      </w:tr>
      <w:tr w:rsidR="00765C41" w14:paraId="575644FD" w14:textId="77777777" w:rsidTr="00311F89">
        <w:trPr>
          <w:trHeight w:val="779"/>
        </w:trPr>
        <w:tc>
          <w:tcPr>
            <w:tcW w:w="4147" w:type="dxa"/>
          </w:tcPr>
          <w:p w14:paraId="3BEE1786" w14:textId="77777777" w:rsidR="00765C41" w:rsidRPr="00765C41" w:rsidRDefault="00765C41" w:rsidP="00311F89">
            <w:pPr>
              <w:pStyle w:val="TableParagraph"/>
              <w:spacing w:before="114"/>
              <w:rPr>
                <w:rFonts w:ascii="Times New Roman" w:hAnsi="Times New Roman" w:cs="Times New Roman"/>
                <w:b/>
              </w:rPr>
            </w:pPr>
            <w:r w:rsidRPr="00765C41">
              <w:rPr>
                <w:rFonts w:ascii="Times New Roman" w:hAnsi="Times New Roman" w:cs="Times New Roman"/>
                <w:b/>
              </w:rPr>
              <w:t>Subject</w:t>
            </w:r>
            <w:r w:rsidRPr="00765C41">
              <w:rPr>
                <w:rFonts w:ascii="Times New Roman" w:hAnsi="Times New Roman" w:cs="Times New Roman"/>
                <w:b/>
                <w:spacing w:val="-3"/>
              </w:rPr>
              <w:t xml:space="preserve"> </w:t>
            </w:r>
            <w:r w:rsidRPr="00765C41">
              <w:rPr>
                <w:rFonts w:ascii="Times New Roman" w:hAnsi="Times New Roman" w:cs="Times New Roman"/>
                <w:b/>
              </w:rPr>
              <w:t>/</w:t>
            </w:r>
            <w:r w:rsidRPr="00765C41">
              <w:rPr>
                <w:rFonts w:ascii="Times New Roman" w:hAnsi="Times New Roman" w:cs="Times New Roman"/>
                <w:b/>
                <w:spacing w:val="-1"/>
              </w:rPr>
              <w:t xml:space="preserve"> </w:t>
            </w:r>
            <w:r w:rsidRPr="00765C41">
              <w:rPr>
                <w:rFonts w:ascii="Times New Roman" w:hAnsi="Times New Roman" w:cs="Times New Roman"/>
                <w:b/>
                <w:spacing w:val="-2"/>
              </w:rPr>
              <w:t>Description</w:t>
            </w:r>
          </w:p>
        </w:tc>
        <w:tc>
          <w:tcPr>
            <w:tcW w:w="4149" w:type="dxa"/>
          </w:tcPr>
          <w:p w14:paraId="38094985" w14:textId="0A26722A" w:rsidR="00765C41" w:rsidRPr="00765C41" w:rsidRDefault="00765C41" w:rsidP="00311F89">
            <w:pPr>
              <w:pStyle w:val="TableParagraph"/>
              <w:spacing w:before="114"/>
              <w:ind w:left="108"/>
              <w:rPr>
                <w:rFonts w:ascii="Times New Roman" w:hAnsi="Times New Roman" w:cs="Times New Roman"/>
              </w:rPr>
            </w:pPr>
            <w:r w:rsidRPr="00765C41">
              <w:rPr>
                <w:rFonts w:ascii="Times New Roman" w:hAnsi="Times New Roman" w:cs="Times New Roman"/>
              </w:rPr>
              <w:t xml:space="preserve">University </w:t>
            </w:r>
            <w:r w:rsidR="00F80C25">
              <w:rPr>
                <w:rFonts w:ascii="Times New Roman" w:hAnsi="Times New Roman" w:cs="Times New Roman"/>
              </w:rPr>
              <w:t>Policy on</w:t>
            </w:r>
            <w:r w:rsidRPr="00765C41">
              <w:rPr>
                <w:rFonts w:ascii="Times New Roman" w:hAnsi="Times New Roman" w:cs="Times New Roman"/>
              </w:rPr>
              <w:t xml:space="preserve"> Research Data Management</w:t>
            </w:r>
          </w:p>
        </w:tc>
      </w:tr>
      <w:tr w:rsidR="00765C41" w14:paraId="079DD749" w14:textId="77777777" w:rsidTr="00311F89">
        <w:trPr>
          <w:trHeight w:val="1053"/>
        </w:trPr>
        <w:tc>
          <w:tcPr>
            <w:tcW w:w="4147" w:type="dxa"/>
          </w:tcPr>
          <w:p w14:paraId="23A1774D"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rPr>
              <w:t>Equality</w:t>
            </w:r>
            <w:r w:rsidRPr="00765C41">
              <w:rPr>
                <w:rFonts w:ascii="Times New Roman" w:hAnsi="Times New Roman" w:cs="Times New Roman"/>
                <w:b/>
                <w:spacing w:val="-3"/>
              </w:rPr>
              <w:t xml:space="preserve"> </w:t>
            </w:r>
            <w:r w:rsidRPr="00765C41">
              <w:rPr>
                <w:rFonts w:ascii="Times New Roman" w:hAnsi="Times New Roman" w:cs="Times New Roman"/>
                <w:b/>
              </w:rPr>
              <w:t>Impact</w:t>
            </w:r>
            <w:r w:rsidRPr="00765C41">
              <w:rPr>
                <w:rFonts w:ascii="Times New Roman" w:hAnsi="Times New Roman" w:cs="Times New Roman"/>
                <w:b/>
                <w:spacing w:val="-3"/>
              </w:rPr>
              <w:t xml:space="preserve"> </w:t>
            </w:r>
            <w:r w:rsidRPr="00765C41">
              <w:rPr>
                <w:rFonts w:ascii="Times New Roman" w:hAnsi="Times New Roman" w:cs="Times New Roman"/>
                <w:b/>
                <w:spacing w:val="-2"/>
              </w:rPr>
              <w:t>Assessment</w:t>
            </w:r>
          </w:p>
        </w:tc>
        <w:tc>
          <w:tcPr>
            <w:tcW w:w="4149" w:type="dxa"/>
          </w:tcPr>
          <w:p w14:paraId="046A9334" w14:textId="77777777" w:rsidR="00765C41" w:rsidRPr="00765C41" w:rsidRDefault="00765C41" w:rsidP="00311F89">
            <w:pPr>
              <w:pStyle w:val="TableParagraph"/>
              <w:ind w:left="108" w:right="476"/>
              <w:jc w:val="both"/>
              <w:rPr>
                <w:rFonts w:ascii="Times New Roman" w:hAnsi="Times New Roman" w:cs="Times New Roman"/>
              </w:rPr>
            </w:pPr>
            <w:r w:rsidRPr="00765C41">
              <w:rPr>
                <w:rFonts w:ascii="Times New Roman" w:hAnsi="Times New Roman" w:cs="Times New Roman"/>
              </w:rPr>
              <w:t>Not applicable (there are no equality issues arising from the application of this policy or guidance note)</w:t>
            </w:r>
          </w:p>
        </w:tc>
      </w:tr>
      <w:tr w:rsidR="00765C41" w14:paraId="5FE34050" w14:textId="77777777" w:rsidTr="00311F89">
        <w:trPr>
          <w:trHeight w:val="777"/>
        </w:trPr>
        <w:tc>
          <w:tcPr>
            <w:tcW w:w="4147" w:type="dxa"/>
          </w:tcPr>
          <w:p w14:paraId="4D58B122"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Section</w:t>
            </w:r>
          </w:p>
        </w:tc>
        <w:tc>
          <w:tcPr>
            <w:tcW w:w="4149" w:type="dxa"/>
          </w:tcPr>
          <w:p w14:paraId="5E90463B" w14:textId="77777777" w:rsidR="00765C41" w:rsidRPr="00765C41" w:rsidRDefault="00765C41" w:rsidP="00311F89">
            <w:pPr>
              <w:pStyle w:val="TableParagraph"/>
              <w:ind w:left="108"/>
              <w:rPr>
                <w:rFonts w:ascii="Times New Roman" w:hAnsi="Times New Roman" w:cs="Times New Roman"/>
              </w:rPr>
            </w:pPr>
            <w:r w:rsidRPr="00765C41">
              <w:rPr>
                <w:rFonts w:ascii="Times New Roman" w:hAnsi="Times New Roman" w:cs="Times New Roman"/>
              </w:rPr>
              <w:t>Research &amp; Innovation</w:t>
            </w:r>
          </w:p>
        </w:tc>
      </w:tr>
      <w:tr w:rsidR="00765C41" w14:paraId="6333B163" w14:textId="77777777" w:rsidTr="00311F89">
        <w:trPr>
          <w:trHeight w:val="779"/>
        </w:trPr>
        <w:tc>
          <w:tcPr>
            <w:tcW w:w="4147" w:type="dxa"/>
          </w:tcPr>
          <w:p w14:paraId="2C273912"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Theme</w:t>
            </w:r>
          </w:p>
        </w:tc>
        <w:tc>
          <w:tcPr>
            <w:tcW w:w="4149" w:type="dxa"/>
          </w:tcPr>
          <w:p w14:paraId="77C5329D" w14:textId="77777777" w:rsidR="00765C41" w:rsidRPr="00765C41" w:rsidRDefault="00765C41" w:rsidP="00311F89">
            <w:pPr>
              <w:pStyle w:val="TableParagraph"/>
              <w:ind w:left="108"/>
              <w:rPr>
                <w:rFonts w:ascii="Times New Roman" w:hAnsi="Times New Roman" w:cs="Times New Roman"/>
              </w:rPr>
            </w:pPr>
            <w:r w:rsidRPr="00765C41">
              <w:rPr>
                <w:rFonts w:ascii="Times New Roman" w:hAnsi="Times New Roman" w:cs="Times New Roman"/>
              </w:rPr>
              <w:t>Research Data Management</w:t>
            </w:r>
          </w:p>
        </w:tc>
      </w:tr>
      <w:tr w:rsidR="00765C41" w14:paraId="0ECD6417" w14:textId="77777777" w:rsidTr="00311F89">
        <w:trPr>
          <w:trHeight w:val="1053"/>
        </w:trPr>
        <w:tc>
          <w:tcPr>
            <w:tcW w:w="4147" w:type="dxa"/>
          </w:tcPr>
          <w:p w14:paraId="512902A6" w14:textId="77777777" w:rsidR="00765C41" w:rsidRPr="00765C41" w:rsidRDefault="00765C41" w:rsidP="00311F89">
            <w:pPr>
              <w:pStyle w:val="TableParagraph"/>
              <w:rPr>
                <w:rFonts w:ascii="Times New Roman" w:hAnsi="Times New Roman" w:cs="Times New Roman"/>
                <w:b/>
              </w:rPr>
            </w:pPr>
            <w:r w:rsidRPr="00765C41">
              <w:rPr>
                <w:rFonts w:ascii="Times New Roman" w:hAnsi="Times New Roman" w:cs="Times New Roman"/>
                <w:b/>
                <w:spacing w:val="-2"/>
              </w:rPr>
              <w:t>Keywords</w:t>
            </w:r>
          </w:p>
        </w:tc>
        <w:tc>
          <w:tcPr>
            <w:tcW w:w="4149" w:type="dxa"/>
          </w:tcPr>
          <w:p w14:paraId="2D57726C" w14:textId="77777777" w:rsidR="00765C41" w:rsidRPr="00765C41" w:rsidRDefault="00765C41" w:rsidP="00311F89">
            <w:pPr>
              <w:pStyle w:val="TableParagraph"/>
              <w:ind w:left="108" w:right="159"/>
              <w:rPr>
                <w:rFonts w:ascii="Times New Roman" w:hAnsi="Times New Roman" w:cs="Times New Roman"/>
              </w:rPr>
            </w:pPr>
            <w:r w:rsidRPr="00765C41">
              <w:rPr>
                <w:rFonts w:ascii="Times New Roman" w:hAnsi="Times New Roman" w:cs="Times New Roman"/>
              </w:rPr>
              <w:t>Research, research data, data management, data storage, data retention, retention period, data protection, open research</w:t>
            </w:r>
          </w:p>
        </w:tc>
      </w:tr>
    </w:tbl>
    <w:p w14:paraId="2EC1AC89" w14:textId="77777777" w:rsidR="00673341" w:rsidRDefault="00673341" w:rsidP="000C2460"/>
    <w:sectPr w:rsidR="00673341">
      <w:headerReference w:type="default" r:id="rId24"/>
      <w:footerReference w:type="default" r:id="rId25"/>
      <w:pgSz w:w="11910" w:h="16840"/>
      <w:pgMar w:top="1340" w:right="1417" w:bottom="740" w:left="1417" w:header="0"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E8B3" w14:textId="77777777" w:rsidR="00950A52" w:rsidRPr="00E203F1" w:rsidRDefault="00950A52">
      <w:r w:rsidRPr="00E203F1">
        <w:separator/>
      </w:r>
    </w:p>
  </w:endnote>
  <w:endnote w:type="continuationSeparator" w:id="0">
    <w:p w14:paraId="6FCCDC93" w14:textId="77777777" w:rsidR="00950A52" w:rsidRPr="00E203F1" w:rsidRDefault="00950A52">
      <w:r w:rsidRPr="00E20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7AEC" w14:textId="77777777" w:rsidR="00F053FA" w:rsidRPr="00E203F1" w:rsidRDefault="00673341">
    <w:pPr>
      <w:pStyle w:val="BodyText"/>
      <w:spacing w:line="14" w:lineRule="auto"/>
    </w:pPr>
    <w:r w:rsidRPr="00E203F1">
      <w:rPr>
        <w:noProof/>
      </w:rPr>
      <mc:AlternateContent>
        <mc:Choice Requires="wps">
          <w:drawing>
            <wp:anchor distT="0" distB="0" distL="0" distR="0" simplePos="0" relativeHeight="251657216" behindDoc="1" locked="0" layoutInCell="1" allowOverlap="1" wp14:anchorId="544DFB2F" wp14:editId="4EAA20A7">
              <wp:simplePos x="0" y="0"/>
              <wp:positionH relativeFrom="page">
                <wp:posOffset>3507740</wp:posOffset>
              </wp:positionH>
              <wp:positionV relativeFrom="page">
                <wp:posOffset>10206248</wp:posOffset>
              </wp:positionV>
              <wp:extent cx="54737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 cy="139700"/>
                      </a:xfrm>
                      <a:prstGeom prst="rect">
                        <a:avLst/>
                      </a:prstGeom>
                    </wps:spPr>
                    <wps:txbx>
                      <w:txbxContent>
                        <w:p w14:paraId="6FB373B1" w14:textId="77777777" w:rsidR="00F053FA" w:rsidRPr="00E203F1" w:rsidRDefault="00673341">
                          <w:pPr>
                            <w:spacing w:before="15"/>
                            <w:ind w:left="20"/>
                            <w:rPr>
                              <w:b/>
                              <w:sz w:val="16"/>
                            </w:rPr>
                          </w:pPr>
                          <w:r w:rsidRPr="00E203F1">
                            <w:rPr>
                              <w:sz w:val="16"/>
                            </w:rPr>
                            <w:t>Page</w:t>
                          </w:r>
                          <w:r w:rsidRPr="00E203F1">
                            <w:rPr>
                              <w:spacing w:val="-2"/>
                              <w:sz w:val="16"/>
                            </w:rPr>
                            <w:t xml:space="preserve"> </w:t>
                          </w:r>
                          <w:r w:rsidRPr="00E203F1">
                            <w:rPr>
                              <w:b/>
                              <w:sz w:val="16"/>
                            </w:rPr>
                            <w:fldChar w:fldCharType="begin"/>
                          </w:r>
                          <w:r w:rsidRPr="00E203F1">
                            <w:rPr>
                              <w:b/>
                              <w:sz w:val="16"/>
                            </w:rPr>
                            <w:instrText xml:space="preserve"> PAGE </w:instrText>
                          </w:r>
                          <w:r w:rsidRPr="00E203F1">
                            <w:rPr>
                              <w:b/>
                              <w:sz w:val="16"/>
                            </w:rPr>
                            <w:fldChar w:fldCharType="separate"/>
                          </w:r>
                          <w:r w:rsidRPr="00E203F1">
                            <w:rPr>
                              <w:b/>
                              <w:sz w:val="16"/>
                            </w:rPr>
                            <w:t>1</w:t>
                          </w:r>
                          <w:r w:rsidRPr="00E203F1">
                            <w:rPr>
                              <w:b/>
                              <w:sz w:val="16"/>
                            </w:rPr>
                            <w:fldChar w:fldCharType="end"/>
                          </w:r>
                          <w:r w:rsidRPr="00E203F1">
                            <w:rPr>
                              <w:b/>
                              <w:spacing w:val="-2"/>
                              <w:sz w:val="16"/>
                            </w:rPr>
                            <w:t xml:space="preserve"> </w:t>
                          </w:r>
                          <w:r w:rsidRPr="00E203F1">
                            <w:rPr>
                              <w:sz w:val="16"/>
                            </w:rPr>
                            <w:t xml:space="preserve">of </w:t>
                          </w:r>
                          <w:r w:rsidRPr="00E203F1">
                            <w:rPr>
                              <w:b/>
                              <w:spacing w:val="-10"/>
                              <w:sz w:val="16"/>
                            </w:rPr>
                            <w:fldChar w:fldCharType="begin"/>
                          </w:r>
                          <w:r w:rsidRPr="00E203F1">
                            <w:rPr>
                              <w:b/>
                              <w:spacing w:val="-10"/>
                              <w:sz w:val="16"/>
                            </w:rPr>
                            <w:instrText xml:space="preserve"> NUMPAGES </w:instrText>
                          </w:r>
                          <w:r w:rsidRPr="00E203F1">
                            <w:rPr>
                              <w:b/>
                              <w:spacing w:val="-10"/>
                              <w:sz w:val="16"/>
                            </w:rPr>
                            <w:fldChar w:fldCharType="separate"/>
                          </w:r>
                          <w:r w:rsidRPr="00E203F1">
                            <w:rPr>
                              <w:b/>
                              <w:spacing w:val="-10"/>
                              <w:sz w:val="16"/>
                            </w:rPr>
                            <w:t>3</w:t>
                          </w:r>
                          <w:r w:rsidRPr="00E203F1">
                            <w:rPr>
                              <w:b/>
                              <w:spacing w:val="-10"/>
                              <w:sz w:val="16"/>
                            </w:rPr>
                            <w:fldChar w:fldCharType="end"/>
                          </w:r>
                        </w:p>
                      </w:txbxContent>
                    </wps:txbx>
                    <wps:bodyPr wrap="square" lIns="0" tIns="0" rIns="0" bIns="0" rtlCol="0">
                      <a:noAutofit/>
                    </wps:bodyPr>
                  </wps:wsp>
                </a:graphicData>
              </a:graphic>
            </wp:anchor>
          </w:drawing>
        </mc:Choice>
        <mc:Fallback>
          <w:pict>
            <v:shapetype w14:anchorId="544DFB2F" id="_x0000_t202" coordsize="21600,21600" o:spt="202" path="m,l,21600r21600,l21600,xe">
              <v:stroke joinstyle="miter"/>
              <v:path gradientshapeok="t" o:connecttype="rect"/>
            </v:shapetype>
            <v:shape id="Textbox 1" o:spid="_x0000_s1026" type="#_x0000_t202" style="position:absolute;margin-left:276.2pt;margin-top:803.65pt;width:43.1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" filled="f" stroked="f">
              <v:textbox inset="0,0,0,0">
                <w:txbxContent>
                  <w:p w14:paraId="6FB373B1" w14:textId="77777777" w:rsidR="00F053FA" w:rsidRPr="00E203F1" w:rsidRDefault="00673341">
                    <w:pPr>
                      <w:spacing w:before="15"/>
                      <w:ind w:left="20"/>
                      <w:rPr>
                        <w:b/>
                        <w:sz w:val="16"/>
                      </w:rPr>
                    </w:pPr>
                    <w:r w:rsidRPr="00E203F1">
                      <w:rPr>
                        <w:sz w:val="16"/>
                      </w:rPr>
                      <w:t>Page</w:t>
                    </w:r>
                    <w:r w:rsidRPr="00E203F1">
                      <w:rPr>
                        <w:spacing w:val="-2"/>
                        <w:sz w:val="16"/>
                      </w:rPr>
                      <w:t xml:space="preserve"> </w:t>
                    </w:r>
                    <w:r w:rsidRPr="00E203F1">
                      <w:rPr>
                        <w:b/>
                        <w:sz w:val="16"/>
                      </w:rPr>
                      <w:fldChar w:fldCharType="begin"/>
                    </w:r>
                    <w:r w:rsidRPr="00E203F1">
                      <w:rPr>
                        <w:b/>
                        <w:sz w:val="16"/>
                      </w:rPr>
                      <w:instrText xml:space="preserve"> PAGE </w:instrText>
                    </w:r>
                    <w:r w:rsidRPr="00E203F1">
                      <w:rPr>
                        <w:b/>
                        <w:sz w:val="16"/>
                      </w:rPr>
                      <w:fldChar w:fldCharType="separate"/>
                    </w:r>
                    <w:r w:rsidRPr="00E203F1">
                      <w:rPr>
                        <w:b/>
                        <w:sz w:val="16"/>
                      </w:rPr>
                      <w:t>1</w:t>
                    </w:r>
                    <w:r w:rsidRPr="00E203F1">
                      <w:rPr>
                        <w:b/>
                        <w:sz w:val="16"/>
                      </w:rPr>
                      <w:fldChar w:fldCharType="end"/>
                    </w:r>
                    <w:r w:rsidRPr="00E203F1">
                      <w:rPr>
                        <w:b/>
                        <w:spacing w:val="-2"/>
                        <w:sz w:val="16"/>
                      </w:rPr>
                      <w:t xml:space="preserve"> </w:t>
                    </w:r>
                    <w:r w:rsidRPr="00E203F1">
                      <w:rPr>
                        <w:sz w:val="16"/>
                      </w:rPr>
                      <w:t xml:space="preserve">of </w:t>
                    </w:r>
                    <w:r w:rsidRPr="00E203F1">
                      <w:rPr>
                        <w:b/>
                        <w:spacing w:val="-10"/>
                        <w:sz w:val="16"/>
                      </w:rPr>
                      <w:fldChar w:fldCharType="begin"/>
                    </w:r>
                    <w:r w:rsidRPr="00E203F1">
                      <w:rPr>
                        <w:b/>
                        <w:spacing w:val="-10"/>
                        <w:sz w:val="16"/>
                      </w:rPr>
                      <w:instrText xml:space="preserve"> NUMPAGES </w:instrText>
                    </w:r>
                    <w:r w:rsidRPr="00E203F1">
                      <w:rPr>
                        <w:b/>
                        <w:spacing w:val="-10"/>
                        <w:sz w:val="16"/>
                      </w:rPr>
                      <w:fldChar w:fldCharType="separate"/>
                    </w:r>
                    <w:r w:rsidRPr="00E203F1">
                      <w:rPr>
                        <w:b/>
                        <w:spacing w:val="-10"/>
                        <w:sz w:val="16"/>
                      </w:rPr>
                      <w:t>3</w:t>
                    </w:r>
                    <w:r w:rsidRPr="00E203F1">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1CD9" w14:textId="77777777" w:rsidR="00950A52" w:rsidRPr="00E203F1" w:rsidRDefault="00950A52">
      <w:r w:rsidRPr="00E203F1">
        <w:separator/>
      </w:r>
    </w:p>
  </w:footnote>
  <w:footnote w:type="continuationSeparator" w:id="0">
    <w:p w14:paraId="55BDA98C" w14:textId="77777777" w:rsidR="00950A52" w:rsidRPr="00E203F1" w:rsidRDefault="00950A52">
      <w:r w:rsidRPr="00E20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16B4" w14:textId="77777777" w:rsidR="000E1C26" w:rsidRDefault="000E1C26">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5590"/>
    <w:multiLevelType w:val="hybridMultilevel"/>
    <w:tmpl w:val="E5A824C8"/>
    <w:lvl w:ilvl="0" w:tplc="5AA043E0">
      <w:start w:val="1"/>
      <w:numFmt w:val="decimal"/>
      <w:lvlText w:val="%1."/>
      <w:lvlJc w:val="left"/>
      <w:pPr>
        <w:ind w:left="720" w:hanging="360"/>
      </w:pPr>
    </w:lvl>
    <w:lvl w:ilvl="1" w:tplc="6B3A033A">
      <w:start w:val="1"/>
      <w:numFmt w:val="lowerLetter"/>
      <w:lvlText w:val="%2."/>
      <w:lvlJc w:val="left"/>
      <w:pPr>
        <w:ind w:left="1440" w:hanging="360"/>
      </w:pPr>
    </w:lvl>
    <w:lvl w:ilvl="2" w:tplc="1610B0B2">
      <w:start w:val="1"/>
      <w:numFmt w:val="lowerRoman"/>
      <w:lvlText w:val="%3."/>
      <w:lvlJc w:val="right"/>
      <w:pPr>
        <w:ind w:left="2160" w:hanging="180"/>
      </w:pPr>
    </w:lvl>
    <w:lvl w:ilvl="3" w:tplc="1FFEB30A">
      <w:start w:val="1"/>
      <w:numFmt w:val="decimal"/>
      <w:lvlText w:val="%4."/>
      <w:lvlJc w:val="left"/>
      <w:pPr>
        <w:ind w:left="2880" w:hanging="360"/>
      </w:pPr>
    </w:lvl>
    <w:lvl w:ilvl="4" w:tplc="1E82C1EE">
      <w:start w:val="1"/>
      <w:numFmt w:val="lowerLetter"/>
      <w:lvlText w:val="%5."/>
      <w:lvlJc w:val="left"/>
      <w:pPr>
        <w:ind w:left="3600" w:hanging="360"/>
      </w:pPr>
    </w:lvl>
    <w:lvl w:ilvl="5" w:tplc="3CB44584">
      <w:start w:val="1"/>
      <w:numFmt w:val="lowerRoman"/>
      <w:lvlText w:val="%6."/>
      <w:lvlJc w:val="right"/>
      <w:pPr>
        <w:ind w:left="4320" w:hanging="180"/>
      </w:pPr>
    </w:lvl>
    <w:lvl w:ilvl="6" w:tplc="6B60CCC6">
      <w:start w:val="1"/>
      <w:numFmt w:val="decimal"/>
      <w:lvlText w:val="%7."/>
      <w:lvlJc w:val="left"/>
      <w:pPr>
        <w:ind w:left="5040" w:hanging="360"/>
      </w:pPr>
    </w:lvl>
    <w:lvl w:ilvl="7" w:tplc="53D8FD1A">
      <w:start w:val="1"/>
      <w:numFmt w:val="lowerLetter"/>
      <w:lvlText w:val="%8."/>
      <w:lvlJc w:val="left"/>
      <w:pPr>
        <w:ind w:left="5760" w:hanging="360"/>
      </w:pPr>
    </w:lvl>
    <w:lvl w:ilvl="8" w:tplc="5590F966">
      <w:start w:val="1"/>
      <w:numFmt w:val="lowerRoman"/>
      <w:lvlText w:val="%9."/>
      <w:lvlJc w:val="right"/>
      <w:pPr>
        <w:ind w:left="6480" w:hanging="180"/>
      </w:pPr>
    </w:lvl>
  </w:abstractNum>
  <w:abstractNum w:abstractNumId="1" w15:restartNumberingAfterBreak="0">
    <w:nsid w:val="14257527"/>
    <w:multiLevelType w:val="multilevel"/>
    <w:tmpl w:val="9CDAE60E"/>
    <w:lvl w:ilvl="0">
      <w:start w:val="1"/>
      <w:numFmt w:val="decimal"/>
      <w:lvlText w:val="%1."/>
      <w:lvlJc w:val="left"/>
      <w:pPr>
        <w:ind w:left="450" w:hanging="428"/>
      </w:pPr>
      <w:rPr>
        <w:rFonts w:ascii="Arial" w:eastAsia="Arial" w:hAnsi="Arial" w:cs="Arial" w:hint="default"/>
        <w:b w:val="0"/>
        <w:bCs w:val="0"/>
        <w:i w:val="0"/>
        <w:iCs w:val="0"/>
        <w:color w:val="auto"/>
        <w:spacing w:val="-1"/>
        <w:w w:val="99"/>
        <w:sz w:val="20"/>
        <w:szCs w:val="20"/>
        <w:lang w:val="en-US" w:eastAsia="en-US" w:bidi="ar-SA"/>
      </w:rPr>
    </w:lvl>
    <w:lvl w:ilvl="1">
      <w:start w:val="1"/>
      <w:numFmt w:val="decimal"/>
      <w:lvlText w:val="%1.%2"/>
      <w:lvlJc w:val="left"/>
      <w:pPr>
        <w:ind w:left="1017" w:hanging="569"/>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914" w:hanging="569"/>
      </w:pPr>
      <w:rPr>
        <w:rFonts w:hint="default"/>
        <w:lang w:val="en-US" w:eastAsia="en-US" w:bidi="ar-SA"/>
      </w:rPr>
    </w:lvl>
    <w:lvl w:ilvl="3">
      <w:numFmt w:val="bullet"/>
      <w:lvlText w:val="•"/>
      <w:lvlJc w:val="left"/>
      <w:pPr>
        <w:ind w:left="2809" w:hanging="569"/>
      </w:pPr>
      <w:rPr>
        <w:rFonts w:hint="default"/>
        <w:lang w:val="en-US" w:eastAsia="en-US" w:bidi="ar-SA"/>
      </w:rPr>
    </w:lvl>
    <w:lvl w:ilvl="4">
      <w:numFmt w:val="bullet"/>
      <w:lvlText w:val="•"/>
      <w:lvlJc w:val="left"/>
      <w:pPr>
        <w:ind w:left="3704" w:hanging="569"/>
      </w:pPr>
      <w:rPr>
        <w:rFonts w:hint="default"/>
        <w:lang w:val="en-US" w:eastAsia="en-US" w:bidi="ar-SA"/>
      </w:rPr>
    </w:lvl>
    <w:lvl w:ilvl="5">
      <w:numFmt w:val="bullet"/>
      <w:lvlText w:val="•"/>
      <w:lvlJc w:val="left"/>
      <w:pPr>
        <w:ind w:left="4598" w:hanging="569"/>
      </w:pPr>
      <w:rPr>
        <w:rFonts w:hint="default"/>
        <w:lang w:val="en-US" w:eastAsia="en-US" w:bidi="ar-SA"/>
      </w:rPr>
    </w:lvl>
    <w:lvl w:ilvl="6">
      <w:numFmt w:val="bullet"/>
      <w:lvlText w:val="•"/>
      <w:lvlJc w:val="left"/>
      <w:pPr>
        <w:ind w:left="5493" w:hanging="569"/>
      </w:pPr>
      <w:rPr>
        <w:rFonts w:hint="default"/>
        <w:lang w:val="en-US" w:eastAsia="en-US" w:bidi="ar-SA"/>
      </w:rPr>
    </w:lvl>
    <w:lvl w:ilvl="7">
      <w:numFmt w:val="bullet"/>
      <w:lvlText w:val="•"/>
      <w:lvlJc w:val="left"/>
      <w:pPr>
        <w:ind w:left="6388" w:hanging="569"/>
      </w:pPr>
      <w:rPr>
        <w:rFonts w:hint="default"/>
        <w:lang w:val="en-US" w:eastAsia="en-US" w:bidi="ar-SA"/>
      </w:rPr>
    </w:lvl>
    <w:lvl w:ilvl="8">
      <w:numFmt w:val="bullet"/>
      <w:lvlText w:val="•"/>
      <w:lvlJc w:val="left"/>
      <w:pPr>
        <w:ind w:left="7282" w:hanging="569"/>
      </w:pPr>
      <w:rPr>
        <w:rFonts w:hint="default"/>
        <w:lang w:val="en-US" w:eastAsia="en-US" w:bidi="ar-SA"/>
      </w:rPr>
    </w:lvl>
  </w:abstractNum>
  <w:abstractNum w:abstractNumId="2" w15:restartNumberingAfterBreak="0">
    <w:nsid w:val="389D13E9"/>
    <w:multiLevelType w:val="hybridMultilevel"/>
    <w:tmpl w:val="1E02A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100BAB"/>
    <w:multiLevelType w:val="hybridMultilevel"/>
    <w:tmpl w:val="A7E21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141595">
    <w:abstractNumId w:val="0"/>
  </w:num>
  <w:num w:numId="2" w16cid:durableId="842086724">
    <w:abstractNumId w:val="1"/>
  </w:num>
  <w:num w:numId="3" w16cid:durableId="783042208">
    <w:abstractNumId w:val="3"/>
  </w:num>
  <w:num w:numId="4" w16cid:durableId="144966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FA"/>
    <w:rsid w:val="00005E33"/>
    <w:rsid w:val="00047BCE"/>
    <w:rsid w:val="00057567"/>
    <w:rsid w:val="00057C79"/>
    <w:rsid w:val="00061F03"/>
    <w:rsid w:val="00072E0E"/>
    <w:rsid w:val="0008365F"/>
    <w:rsid w:val="00092676"/>
    <w:rsid w:val="000A1CC3"/>
    <w:rsid w:val="000C2460"/>
    <w:rsid w:val="000D1248"/>
    <w:rsid w:val="000E1C26"/>
    <w:rsid w:val="00145589"/>
    <w:rsid w:val="0018280C"/>
    <w:rsid w:val="00194098"/>
    <w:rsid w:val="001E314D"/>
    <w:rsid w:val="001F5739"/>
    <w:rsid w:val="00205BF8"/>
    <w:rsid w:val="00207BF0"/>
    <w:rsid w:val="002477A1"/>
    <w:rsid w:val="00254F0F"/>
    <w:rsid w:val="00281ADB"/>
    <w:rsid w:val="002C304C"/>
    <w:rsid w:val="002E28FD"/>
    <w:rsid w:val="002F44A7"/>
    <w:rsid w:val="00306653"/>
    <w:rsid w:val="003215D3"/>
    <w:rsid w:val="0032235B"/>
    <w:rsid w:val="00377C93"/>
    <w:rsid w:val="003A6C3F"/>
    <w:rsid w:val="003C7C44"/>
    <w:rsid w:val="003F0E2D"/>
    <w:rsid w:val="00413469"/>
    <w:rsid w:val="00447A8F"/>
    <w:rsid w:val="00452AB7"/>
    <w:rsid w:val="00477850"/>
    <w:rsid w:val="00492662"/>
    <w:rsid w:val="004F63A5"/>
    <w:rsid w:val="00542AAA"/>
    <w:rsid w:val="00551C8A"/>
    <w:rsid w:val="00551EDD"/>
    <w:rsid w:val="00562EFF"/>
    <w:rsid w:val="00578F9C"/>
    <w:rsid w:val="005A79EC"/>
    <w:rsid w:val="005B0EDB"/>
    <w:rsid w:val="005C7D4D"/>
    <w:rsid w:val="005E5810"/>
    <w:rsid w:val="00626038"/>
    <w:rsid w:val="00653FB0"/>
    <w:rsid w:val="00673341"/>
    <w:rsid w:val="006741A9"/>
    <w:rsid w:val="0068412A"/>
    <w:rsid w:val="006B561B"/>
    <w:rsid w:val="006C5040"/>
    <w:rsid w:val="006F4847"/>
    <w:rsid w:val="00720C42"/>
    <w:rsid w:val="007354FA"/>
    <w:rsid w:val="00765C41"/>
    <w:rsid w:val="007A3FAC"/>
    <w:rsid w:val="007C6740"/>
    <w:rsid w:val="007D09D9"/>
    <w:rsid w:val="00801D07"/>
    <w:rsid w:val="00815979"/>
    <w:rsid w:val="00833605"/>
    <w:rsid w:val="008503B8"/>
    <w:rsid w:val="0087604B"/>
    <w:rsid w:val="008836DF"/>
    <w:rsid w:val="008D2A33"/>
    <w:rsid w:val="00921FB1"/>
    <w:rsid w:val="00922704"/>
    <w:rsid w:val="00950A52"/>
    <w:rsid w:val="00965823"/>
    <w:rsid w:val="0099100A"/>
    <w:rsid w:val="009A23A5"/>
    <w:rsid w:val="009E146C"/>
    <w:rsid w:val="009F3162"/>
    <w:rsid w:val="00A01BEB"/>
    <w:rsid w:val="00A04471"/>
    <w:rsid w:val="00A20DAD"/>
    <w:rsid w:val="00A23CAF"/>
    <w:rsid w:val="00A6439E"/>
    <w:rsid w:val="00A931A9"/>
    <w:rsid w:val="00AB2591"/>
    <w:rsid w:val="00AB67FC"/>
    <w:rsid w:val="00AB77BA"/>
    <w:rsid w:val="00AD3E51"/>
    <w:rsid w:val="00BC075B"/>
    <w:rsid w:val="00C27618"/>
    <w:rsid w:val="00C878B5"/>
    <w:rsid w:val="00C94D88"/>
    <w:rsid w:val="00CF7D30"/>
    <w:rsid w:val="00D07BAC"/>
    <w:rsid w:val="00D163E9"/>
    <w:rsid w:val="00D2237A"/>
    <w:rsid w:val="00D2556F"/>
    <w:rsid w:val="00D62046"/>
    <w:rsid w:val="00D94538"/>
    <w:rsid w:val="00D97787"/>
    <w:rsid w:val="00DD1B9F"/>
    <w:rsid w:val="00DD3877"/>
    <w:rsid w:val="00E16BEB"/>
    <w:rsid w:val="00E203F1"/>
    <w:rsid w:val="00E529FD"/>
    <w:rsid w:val="00EB0F79"/>
    <w:rsid w:val="00EC2C27"/>
    <w:rsid w:val="00EC65DA"/>
    <w:rsid w:val="00F005FD"/>
    <w:rsid w:val="00F053FA"/>
    <w:rsid w:val="00F56287"/>
    <w:rsid w:val="00F80C25"/>
    <w:rsid w:val="00F840A5"/>
    <w:rsid w:val="00F971D9"/>
    <w:rsid w:val="00FA0574"/>
    <w:rsid w:val="00FD0B2D"/>
    <w:rsid w:val="00FD3E63"/>
    <w:rsid w:val="0100EB60"/>
    <w:rsid w:val="012DC73C"/>
    <w:rsid w:val="024CE3D8"/>
    <w:rsid w:val="026201BF"/>
    <w:rsid w:val="030D18E4"/>
    <w:rsid w:val="036FE042"/>
    <w:rsid w:val="0429168D"/>
    <w:rsid w:val="04BA6FDB"/>
    <w:rsid w:val="04EF9282"/>
    <w:rsid w:val="054A707C"/>
    <w:rsid w:val="0593324C"/>
    <w:rsid w:val="05FB6A40"/>
    <w:rsid w:val="0619547F"/>
    <w:rsid w:val="072A6515"/>
    <w:rsid w:val="0743D410"/>
    <w:rsid w:val="0782FED9"/>
    <w:rsid w:val="081F8C4F"/>
    <w:rsid w:val="08383FE1"/>
    <w:rsid w:val="08947811"/>
    <w:rsid w:val="09D7DDBE"/>
    <w:rsid w:val="0A0C8C68"/>
    <w:rsid w:val="0ABC72A1"/>
    <w:rsid w:val="0AF0F62B"/>
    <w:rsid w:val="0B839323"/>
    <w:rsid w:val="0BBC2B6A"/>
    <w:rsid w:val="0C54F7A1"/>
    <w:rsid w:val="0CCB5CBC"/>
    <w:rsid w:val="0D4C7498"/>
    <w:rsid w:val="0D55452C"/>
    <w:rsid w:val="0D83EEA3"/>
    <w:rsid w:val="0E71E218"/>
    <w:rsid w:val="0E9A0F32"/>
    <w:rsid w:val="0F4503D5"/>
    <w:rsid w:val="0FB1DBAF"/>
    <w:rsid w:val="105DB403"/>
    <w:rsid w:val="10626BDF"/>
    <w:rsid w:val="10ACBBE0"/>
    <w:rsid w:val="12424E4D"/>
    <w:rsid w:val="12FEF58F"/>
    <w:rsid w:val="135FB28C"/>
    <w:rsid w:val="145169C1"/>
    <w:rsid w:val="14A957E7"/>
    <w:rsid w:val="15496F66"/>
    <w:rsid w:val="157F0247"/>
    <w:rsid w:val="15803684"/>
    <w:rsid w:val="16B032D4"/>
    <w:rsid w:val="178339AC"/>
    <w:rsid w:val="179DD28E"/>
    <w:rsid w:val="17F0AE0E"/>
    <w:rsid w:val="18718EBD"/>
    <w:rsid w:val="1879F87B"/>
    <w:rsid w:val="1912ED0F"/>
    <w:rsid w:val="1960AEBE"/>
    <w:rsid w:val="19EFFFFB"/>
    <w:rsid w:val="1B965F72"/>
    <w:rsid w:val="1BEF2270"/>
    <w:rsid w:val="1BF04C31"/>
    <w:rsid w:val="1C2D4FD2"/>
    <w:rsid w:val="1DC36A6A"/>
    <w:rsid w:val="1E3AFC1E"/>
    <w:rsid w:val="1EA713C5"/>
    <w:rsid w:val="1F282E7D"/>
    <w:rsid w:val="1F43DEDE"/>
    <w:rsid w:val="2098D093"/>
    <w:rsid w:val="20CAA64F"/>
    <w:rsid w:val="212B010F"/>
    <w:rsid w:val="21A4F3E8"/>
    <w:rsid w:val="221895FB"/>
    <w:rsid w:val="22EC4BE6"/>
    <w:rsid w:val="2343D8B8"/>
    <w:rsid w:val="239C0A7A"/>
    <w:rsid w:val="250EAA63"/>
    <w:rsid w:val="274E7593"/>
    <w:rsid w:val="28ADB875"/>
    <w:rsid w:val="29DB7BC8"/>
    <w:rsid w:val="2A042EF1"/>
    <w:rsid w:val="2B590C05"/>
    <w:rsid w:val="2BA01AFA"/>
    <w:rsid w:val="2C45A8CB"/>
    <w:rsid w:val="2CC5279C"/>
    <w:rsid w:val="2CF25AE8"/>
    <w:rsid w:val="2D19E6AD"/>
    <w:rsid w:val="2DC5542F"/>
    <w:rsid w:val="2DFA036F"/>
    <w:rsid w:val="2FE33515"/>
    <w:rsid w:val="30B309AD"/>
    <w:rsid w:val="30E65ECC"/>
    <w:rsid w:val="316F88B3"/>
    <w:rsid w:val="31AF8E4D"/>
    <w:rsid w:val="32300703"/>
    <w:rsid w:val="32B98191"/>
    <w:rsid w:val="32C1BC91"/>
    <w:rsid w:val="32FDB541"/>
    <w:rsid w:val="34583B94"/>
    <w:rsid w:val="3471ADF1"/>
    <w:rsid w:val="34CD4DA1"/>
    <w:rsid w:val="3534E158"/>
    <w:rsid w:val="36499EAE"/>
    <w:rsid w:val="37158CDD"/>
    <w:rsid w:val="37E196BD"/>
    <w:rsid w:val="3848DCCA"/>
    <w:rsid w:val="386E34F6"/>
    <w:rsid w:val="38F038F4"/>
    <w:rsid w:val="397895B4"/>
    <w:rsid w:val="39A34A84"/>
    <w:rsid w:val="3A25BFBA"/>
    <w:rsid w:val="3B4D0F3D"/>
    <w:rsid w:val="3B86AAEA"/>
    <w:rsid w:val="3BC02EFE"/>
    <w:rsid w:val="3C05F6A6"/>
    <w:rsid w:val="3C16546D"/>
    <w:rsid w:val="3C96D257"/>
    <w:rsid w:val="3CC72282"/>
    <w:rsid w:val="3D11CE8A"/>
    <w:rsid w:val="3D6F91D2"/>
    <w:rsid w:val="3DB0BF51"/>
    <w:rsid w:val="3DC022BF"/>
    <w:rsid w:val="3DC9DFE9"/>
    <w:rsid w:val="3E1E068D"/>
    <w:rsid w:val="3E65D7FF"/>
    <w:rsid w:val="3F3015D5"/>
    <w:rsid w:val="3F92BEE4"/>
    <w:rsid w:val="405835B0"/>
    <w:rsid w:val="41306200"/>
    <w:rsid w:val="42145C30"/>
    <w:rsid w:val="425A08BD"/>
    <w:rsid w:val="428A6B12"/>
    <w:rsid w:val="42F9E55C"/>
    <w:rsid w:val="437E9996"/>
    <w:rsid w:val="443A5444"/>
    <w:rsid w:val="448DAB78"/>
    <w:rsid w:val="44E4F8F1"/>
    <w:rsid w:val="45A0D7D0"/>
    <w:rsid w:val="4674926A"/>
    <w:rsid w:val="48231CE8"/>
    <w:rsid w:val="487FA3BF"/>
    <w:rsid w:val="492F0C9F"/>
    <w:rsid w:val="494AABEA"/>
    <w:rsid w:val="4953D1D5"/>
    <w:rsid w:val="4AE5EC58"/>
    <w:rsid w:val="4B7F7140"/>
    <w:rsid w:val="4F151623"/>
    <w:rsid w:val="4F7AB2F3"/>
    <w:rsid w:val="4F8EE4BB"/>
    <w:rsid w:val="4FC4A9F2"/>
    <w:rsid w:val="4FFA23DA"/>
    <w:rsid w:val="50B0832B"/>
    <w:rsid w:val="517CA73A"/>
    <w:rsid w:val="51DE481B"/>
    <w:rsid w:val="51E4E4CC"/>
    <w:rsid w:val="523823B9"/>
    <w:rsid w:val="5242470F"/>
    <w:rsid w:val="5275F553"/>
    <w:rsid w:val="52C5E106"/>
    <w:rsid w:val="53E1571C"/>
    <w:rsid w:val="543A63C7"/>
    <w:rsid w:val="54B31FA6"/>
    <w:rsid w:val="5500E1F5"/>
    <w:rsid w:val="581ABE75"/>
    <w:rsid w:val="581CC69E"/>
    <w:rsid w:val="5829F0C6"/>
    <w:rsid w:val="5839B70A"/>
    <w:rsid w:val="58C98706"/>
    <w:rsid w:val="590CE0E2"/>
    <w:rsid w:val="5A1FA91B"/>
    <w:rsid w:val="5B2BC121"/>
    <w:rsid w:val="5B6E505F"/>
    <w:rsid w:val="5BE73883"/>
    <w:rsid w:val="5CC3D97E"/>
    <w:rsid w:val="5CD71571"/>
    <w:rsid w:val="5DA733DB"/>
    <w:rsid w:val="5E307104"/>
    <w:rsid w:val="5E33BA4B"/>
    <w:rsid w:val="5F2951C0"/>
    <w:rsid w:val="5FD5273F"/>
    <w:rsid w:val="603227A5"/>
    <w:rsid w:val="6050D948"/>
    <w:rsid w:val="6088A873"/>
    <w:rsid w:val="636462CC"/>
    <w:rsid w:val="63B70969"/>
    <w:rsid w:val="63F29138"/>
    <w:rsid w:val="65E6EA2E"/>
    <w:rsid w:val="67CD910F"/>
    <w:rsid w:val="67F8CA29"/>
    <w:rsid w:val="69046D02"/>
    <w:rsid w:val="69A62AC8"/>
    <w:rsid w:val="6A0B74D3"/>
    <w:rsid w:val="6A42C8E0"/>
    <w:rsid w:val="6A4E95C2"/>
    <w:rsid w:val="6B80DBE1"/>
    <w:rsid w:val="6D186099"/>
    <w:rsid w:val="6DAEF939"/>
    <w:rsid w:val="6EDB3018"/>
    <w:rsid w:val="6F025DD4"/>
    <w:rsid w:val="6FE4C65E"/>
    <w:rsid w:val="703E1EC4"/>
    <w:rsid w:val="70DA09D0"/>
    <w:rsid w:val="7100B536"/>
    <w:rsid w:val="717260C7"/>
    <w:rsid w:val="71A309C1"/>
    <w:rsid w:val="720C12D2"/>
    <w:rsid w:val="73908E6F"/>
    <w:rsid w:val="73BFE792"/>
    <w:rsid w:val="74E56B5F"/>
    <w:rsid w:val="75168EAA"/>
    <w:rsid w:val="75918705"/>
    <w:rsid w:val="75B006C6"/>
    <w:rsid w:val="75B19C61"/>
    <w:rsid w:val="760F0ABF"/>
    <w:rsid w:val="764B50DE"/>
    <w:rsid w:val="766D0E8D"/>
    <w:rsid w:val="7803A3AD"/>
    <w:rsid w:val="78AD0DD1"/>
    <w:rsid w:val="797D6E00"/>
    <w:rsid w:val="7AE620F2"/>
    <w:rsid w:val="7B3ACEB7"/>
    <w:rsid w:val="7B9A1AE0"/>
    <w:rsid w:val="7BCCE942"/>
    <w:rsid w:val="7BF96B99"/>
    <w:rsid w:val="7C3AC6E9"/>
    <w:rsid w:val="7D4D1F96"/>
    <w:rsid w:val="7D90F48B"/>
    <w:rsid w:val="7DCCF61E"/>
    <w:rsid w:val="7F78BC93"/>
    <w:rsid w:val="7FBCE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14A0"/>
  <w15:docId w15:val="{47FD88E4-0435-4B2A-A87C-9E675A42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50" w:right="20" w:hanging="428"/>
      <w:jc w:val="both"/>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194098"/>
    <w:rPr>
      <w:sz w:val="16"/>
      <w:szCs w:val="16"/>
    </w:rPr>
  </w:style>
  <w:style w:type="paragraph" w:styleId="CommentText">
    <w:name w:val="annotation text"/>
    <w:basedOn w:val="Normal"/>
    <w:link w:val="CommentTextChar"/>
    <w:uiPriority w:val="99"/>
    <w:unhideWhenUsed/>
    <w:rsid w:val="00194098"/>
    <w:rPr>
      <w:sz w:val="20"/>
      <w:szCs w:val="20"/>
    </w:rPr>
  </w:style>
  <w:style w:type="character" w:customStyle="1" w:styleId="CommentTextChar">
    <w:name w:val="Comment Text Char"/>
    <w:basedOn w:val="DefaultParagraphFont"/>
    <w:link w:val="CommentText"/>
    <w:uiPriority w:val="99"/>
    <w:rsid w:val="001940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94098"/>
    <w:rPr>
      <w:b/>
      <w:bCs/>
    </w:rPr>
  </w:style>
  <w:style w:type="character" w:customStyle="1" w:styleId="CommentSubjectChar">
    <w:name w:val="Comment Subject Char"/>
    <w:basedOn w:val="CommentTextChar"/>
    <w:link w:val="CommentSubject"/>
    <w:uiPriority w:val="99"/>
    <w:semiHidden/>
    <w:rsid w:val="00194098"/>
    <w:rPr>
      <w:rFonts w:ascii="Arial" w:eastAsia="Arial" w:hAnsi="Arial" w:cs="Arial"/>
      <w:b/>
      <w:bCs/>
      <w:sz w:val="20"/>
      <w:szCs w:val="20"/>
    </w:rPr>
  </w:style>
  <w:style w:type="paragraph" w:styleId="Revision">
    <w:name w:val="Revision"/>
    <w:hidden/>
    <w:uiPriority w:val="99"/>
    <w:semiHidden/>
    <w:rsid w:val="002E28FD"/>
    <w:pPr>
      <w:widowControl/>
      <w:autoSpaceDE/>
      <w:autoSpaceDN/>
    </w:pPr>
    <w:rPr>
      <w:rFonts w:ascii="Arial" w:eastAsia="Arial" w:hAnsi="Arial" w:cs="Arial"/>
    </w:rPr>
  </w:style>
  <w:style w:type="character" w:styleId="Hyperlink">
    <w:name w:val="Hyperlink"/>
    <w:basedOn w:val="DefaultParagraphFont"/>
    <w:uiPriority w:val="99"/>
    <w:unhideWhenUsed/>
    <w:rsid w:val="00AB77BA"/>
    <w:rPr>
      <w:color w:val="0000FF" w:themeColor="hyperlink"/>
      <w:u w:val="single"/>
    </w:rPr>
  </w:style>
  <w:style w:type="character" w:styleId="UnresolvedMention">
    <w:name w:val="Unresolved Mention"/>
    <w:basedOn w:val="DefaultParagraphFont"/>
    <w:uiPriority w:val="99"/>
    <w:semiHidden/>
    <w:unhideWhenUsed/>
    <w:rsid w:val="00AB77BA"/>
    <w:rPr>
      <w:color w:val="605E5C"/>
      <w:shd w:val="clear" w:color="auto" w:fill="E1DFDD"/>
    </w:rPr>
  </w:style>
  <w:style w:type="character" w:styleId="FollowedHyperlink">
    <w:name w:val="FollowedHyperlink"/>
    <w:basedOn w:val="DefaultParagraphFont"/>
    <w:uiPriority w:val="99"/>
    <w:semiHidden/>
    <w:unhideWhenUsed/>
    <w:rsid w:val="008836DF"/>
    <w:rPr>
      <w:color w:val="800080" w:themeColor="followedHyperlink"/>
      <w:u w:val="single"/>
    </w:rPr>
  </w:style>
  <w:style w:type="paragraph" w:styleId="Header">
    <w:name w:val="header"/>
    <w:basedOn w:val="Normal"/>
    <w:link w:val="HeaderChar"/>
    <w:uiPriority w:val="99"/>
    <w:unhideWhenUsed/>
    <w:rsid w:val="00815979"/>
    <w:pPr>
      <w:tabs>
        <w:tab w:val="center" w:pos="4513"/>
        <w:tab w:val="right" w:pos="9026"/>
      </w:tabs>
    </w:pPr>
  </w:style>
  <w:style w:type="character" w:customStyle="1" w:styleId="HeaderChar">
    <w:name w:val="Header Char"/>
    <w:basedOn w:val="DefaultParagraphFont"/>
    <w:link w:val="Header"/>
    <w:uiPriority w:val="99"/>
    <w:rsid w:val="00815979"/>
    <w:rPr>
      <w:rFonts w:ascii="Arial" w:eastAsia="Arial" w:hAnsi="Arial" w:cs="Arial"/>
      <w:lang w:val="en-GB"/>
    </w:rPr>
  </w:style>
  <w:style w:type="paragraph" w:styleId="Footer">
    <w:name w:val="footer"/>
    <w:basedOn w:val="Normal"/>
    <w:link w:val="FooterChar"/>
    <w:uiPriority w:val="99"/>
    <w:unhideWhenUsed/>
    <w:rsid w:val="00815979"/>
    <w:pPr>
      <w:tabs>
        <w:tab w:val="center" w:pos="4513"/>
        <w:tab w:val="right" w:pos="9026"/>
      </w:tabs>
    </w:pPr>
  </w:style>
  <w:style w:type="character" w:customStyle="1" w:styleId="FooterChar">
    <w:name w:val="Footer Char"/>
    <w:basedOn w:val="DefaultParagraphFont"/>
    <w:link w:val="Footer"/>
    <w:uiPriority w:val="99"/>
    <w:rsid w:val="00815979"/>
    <w:rPr>
      <w:rFonts w:ascii="Arial" w:eastAsia="Arial" w:hAnsi="Arial" w:cs="Arial"/>
      <w:lang w:val="en-GB"/>
    </w:rPr>
  </w:style>
  <w:style w:type="character" w:customStyle="1" w:styleId="normaltextrun">
    <w:name w:val="normaltextrun"/>
    <w:basedOn w:val="DefaultParagraphFont"/>
    <w:rsid w:val="00551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gro/planning/starting/sponsorship/" TargetMode="External"/><Relationship Id="rId18" Type="http://schemas.openxmlformats.org/officeDocument/2006/relationships/hyperlink" Target="mailto:dpa@abdn.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abdn.ac.uk/toolkit/documents/uploads/international-data-transfer-framework.pdf" TargetMode="External"/><Relationship Id="rId7" Type="http://schemas.openxmlformats.org/officeDocument/2006/relationships/settings" Target="settings.xml"/><Relationship Id="rId12" Type="http://schemas.openxmlformats.org/officeDocument/2006/relationships/hyperlink" Target="https://www.ukri.org/wp-content/uploads/2020/10/UKRI-020920-ConcordatonOpenResearchData.pdf" TargetMode="External"/><Relationship Id="rId17" Type="http://schemas.openxmlformats.org/officeDocument/2006/relationships/hyperlink" Target="https://www.abdn.ac.uk/library/support/open-data-at-the-university-of-aberdeen-636.ph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dn.ac.uk/staffnet/documents/policy-zone-research-and-knowledge-exchange/research_data_management%20guidance.pdf" TargetMode="External"/><Relationship Id="rId20" Type="http://schemas.openxmlformats.org/officeDocument/2006/relationships/hyperlink" Target="https://www.go-fair.org/fair-princip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manage-your-award/publishing-your-research-findings/making-your-research-data-op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iew.officeapps.live.com/op/view.aspx?src=https%3A%2F%2Fwww.abdn.ac.uk%2Fmedia%2Fsite%2Fstaffnet%2Fdocuments%2Fpolicy-zone-governance-and-compliance%2FData-Protection-policy.docx&amp;wdOrigin=BROWSELINK" TargetMode="External"/><Relationship Id="rId23" Type="http://schemas.openxmlformats.org/officeDocument/2006/relationships/hyperlink" Target="mailto:digitalresearch@abdn.ac.uk" TargetMode="External"/><Relationship Id="rId10" Type="http://schemas.openxmlformats.org/officeDocument/2006/relationships/endnotes" Target="endnotes.xml"/><Relationship Id="rId19" Type="http://schemas.openxmlformats.org/officeDocument/2006/relationships/hyperlink" Target="mailto:openresearch@abd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cc.ac.uk/resources/briefing-papers/making-case-rdm" TargetMode="External"/><Relationship Id="rId22" Type="http://schemas.openxmlformats.org/officeDocument/2006/relationships/hyperlink" Target="https://www.dcc.ac.uk/resources/data-management-pla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17AD0B375EE54ABEBC259EDB29C746" ma:contentTypeVersion="3" ma:contentTypeDescription="Create a new document." ma:contentTypeScope="" ma:versionID="46fa767d0732dfb13b0b07ae01a2e33d">
  <xsd:schema xmlns:xsd="http://www.w3.org/2001/XMLSchema" xmlns:xs="http://www.w3.org/2001/XMLSchema" xmlns:p="http://schemas.microsoft.com/office/2006/metadata/properties" xmlns:ns2="c5cf2128-fd34-457e-acb8-f686335cc034" targetNamespace="http://schemas.microsoft.com/office/2006/metadata/properties" ma:root="true" ma:fieldsID="98c6f44cca578d49671d66d47ae31513" ns2:_="">
    <xsd:import namespace="c5cf2128-fd34-457e-acb8-f686335cc0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2128-fd34-457e-acb8-f686335cc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EFE56-DA2F-4BA5-9574-DEDE4347FDF1}">
  <ds:schemaRefs>
    <ds:schemaRef ds:uri="http://schemas.microsoft.com/sharepoint/v3/contenttype/forms"/>
  </ds:schemaRefs>
</ds:datastoreItem>
</file>

<file path=customXml/itemProps2.xml><?xml version="1.0" encoding="utf-8"?>
<ds:datastoreItem xmlns:ds="http://schemas.openxmlformats.org/officeDocument/2006/customXml" ds:itemID="{F922E5B7-A827-4FA6-BAB6-098AF9FF99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BB1E4-1D97-4763-84DF-7BDF935447D6}">
  <ds:schemaRefs>
    <ds:schemaRef ds:uri="http://schemas.openxmlformats.org/officeDocument/2006/bibliography"/>
  </ds:schemaRefs>
</ds:datastoreItem>
</file>

<file path=customXml/itemProps4.xml><?xml version="1.0" encoding="utf-8"?>
<ds:datastoreItem xmlns:ds="http://schemas.openxmlformats.org/officeDocument/2006/customXml" ds:itemID="{FDDEE892-92C8-47FF-B1B4-7B942FF13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2128-fd34-457e-acb8-f686335cc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2318</Words>
  <Characters>13218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Glennie</dc:creator>
  <cp:keywords/>
  <dc:description/>
  <cp:lastModifiedBy>Foster, Dawn</cp:lastModifiedBy>
  <cp:revision>3</cp:revision>
  <dcterms:created xsi:type="dcterms:W3CDTF">2026-02-04T13:53:00Z</dcterms:created>
  <dcterms:modified xsi:type="dcterms:W3CDTF">2026-02-06T12:04:00Z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Acrobat PDFMaker 22 for Word</vt:lpwstr>
  </property>
  <property fmtid="{D5CDD505-2E9C-101B-9397-08002B2CF9AE}" pid="4" name="LastSaved">
    <vt:filetime>2025-05-08T00:00:00Z</vt:filetime>
  </property>
  <property fmtid="{D5CDD505-2E9C-101B-9397-08002B2CF9AE}" pid="5" name="Producer">
    <vt:lpwstr>Adobe PDF Library 22.3.39</vt:lpwstr>
  </property>
  <property fmtid="{D5CDD505-2E9C-101B-9397-08002B2CF9AE}" pid="6" name="SourceModified">
    <vt:lpwstr>D:20221108175452</vt:lpwstr>
  </property>
  <property fmtid="{D5CDD505-2E9C-101B-9397-08002B2CF9AE}" pid="7" name="ContentTypeId">
    <vt:lpwstr>0x0101003A17AD0B375EE54ABEBC259EDB29C746</vt:lpwstr>
  </property>
</Properties>
</file>