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E7D4" w14:textId="77777777" w:rsidR="006525BE" w:rsidRPr="006525BE" w:rsidRDefault="006525BE" w:rsidP="006525BE">
      <w:pPr>
        <w:pStyle w:val="Title"/>
        <w:rPr>
          <w:rFonts w:asciiTheme="minorHAnsi" w:hAnsiTheme="minorHAnsi" w:cstheme="minorHAnsi"/>
          <w:szCs w:val="24"/>
        </w:rPr>
      </w:pPr>
      <w:bookmarkStart w:id="0" w:name="_Toc519862875"/>
      <w:r w:rsidRPr="006525BE">
        <w:rPr>
          <w:rFonts w:asciiTheme="minorHAnsi" w:hAnsiTheme="minorHAnsi" w:cstheme="minorHAnsi"/>
          <w:szCs w:val="24"/>
        </w:rPr>
        <w:t>UNIVERSITY OF ABERDEEN</w:t>
      </w:r>
    </w:p>
    <w:p w14:paraId="5F85825C" w14:textId="77777777" w:rsidR="006525BE" w:rsidRPr="006525BE" w:rsidRDefault="006525BE" w:rsidP="006525BE">
      <w:pPr>
        <w:pStyle w:val="Title"/>
        <w:rPr>
          <w:rFonts w:asciiTheme="minorHAnsi" w:hAnsiTheme="minorHAnsi" w:cstheme="minorHAnsi"/>
          <w:szCs w:val="24"/>
        </w:rPr>
      </w:pPr>
    </w:p>
    <w:p w14:paraId="1FE6F52A" w14:textId="77777777" w:rsidR="006525BE" w:rsidRPr="006525BE" w:rsidRDefault="006525BE" w:rsidP="006525BE">
      <w:pPr>
        <w:pStyle w:val="Title"/>
        <w:rPr>
          <w:rFonts w:asciiTheme="minorHAnsi" w:hAnsiTheme="minorHAnsi" w:cstheme="minorHAnsi"/>
          <w:szCs w:val="24"/>
        </w:rPr>
      </w:pPr>
      <w:r w:rsidRPr="006525BE">
        <w:rPr>
          <w:rFonts w:asciiTheme="minorHAnsi" w:hAnsiTheme="minorHAnsi" w:cstheme="minorHAnsi"/>
          <w:szCs w:val="24"/>
        </w:rPr>
        <w:t>DATA PROTECTION POLICY</w:t>
      </w:r>
    </w:p>
    <w:p w14:paraId="7A581BC1" w14:textId="77777777" w:rsidR="006525BE" w:rsidRPr="006525BE" w:rsidRDefault="006525BE" w:rsidP="006525BE">
      <w:pPr>
        <w:tabs>
          <w:tab w:val="right" w:pos="9498"/>
        </w:tabs>
        <w:spacing w:before="0"/>
        <w:rPr>
          <w:rFonts w:cstheme="minorHAnsi"/>
          <w:sz w:val="24"/>
          <w:szCs w:val="24"/>
        </w:rPr>
      </w:pPr>
    </w:p>
    <w:p w14:paraId="212DB09A"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Purpose</w:t>
      </w:r>
      <w:bookmarkEnd w:id="0"/>
    </w:p>
    <w:p w14:paraId="70DCD697" w14:textId="1A881EAB" w:rsidR="006525BE" w:rsidRPr="006525BE" w:rsidRDefault="006525BE" w:rsidP="006525BE">
      <w:pPr>
        <w:ind w:left="0" w:firstLine="0"/>
        <w:rPr>
          <w:rFonts w:cstheme="minorHAnsi"/>
          <w:sz w:val="24"/>
          <w:szCs w:val="24"/>
        </w:rPr>
      </w:pPr>
      <w:r w:rsidRPr="006525BE">
        <w:rPr>
          <w:rFonts w:cstheme="minorHAnsi"/>
          <w:sz w:val="24"/>
          <w:szCs w:val="24"/>
        </w:rPr>
        <w:t xml:space="preserve">This policy sets out the principles, responsibilities and obligations for managing personal data within the University. The policy is designed to ensure the University complies with the UK General Data Protection Regulation (UK GDPR) and the Data Protection Act 2018 (DPA) when processing personal data for its teaching, research, administrative and other legitimate activities. </w:t>
      </w:r>
    </w:p>
    <w:p w14:paraId="6321461B"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Scope</w:t>
      </w:r>
    </w:p>
    <w:p w14:paraId="0E8B5F57" w14:textId="77777777" w:rsidR="006525BE" w:rsidRPr="006525BE" w:rsidRDefault="006525BE" w:rsidP="006525BE">
      <w:pPr>
        <w:ind w:hanging="1134"/>
        <w:rPr>
          <w:rFonts w:cstheme="minorHAnsi"/>
          <w:sz w:val="24"/>
          <w:szCs w:val="24"/>
        </w:rPr>
      </w:pPr>
      <w:r w:rsidRPr="006525BE">
        <w:rPr>
          <w:rFonts w:cstheme="minorHAnsi"/>
          <w:sz w:val="24"/>
          <w:szCs w:val="24"/>
        </w:rPr>
        <w:t>This policy applies to the processing of personal data as follows:</w:t>
      </w:r>
    </w:p>
    <w:p w14:paraId="13D544CE" w14:textId="657973CD"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 xml:space="preserve">It applies to processing activities performed on personal data on behalf of the University in its role either as the controller of personal data or as the processor of personal data for another controller. For definitions of ‘personal data’, ‘processing’, ‘controller’, ‘processor’ and other key terms, </w:t>
      </w:r>
      <w:hyperlink w:anchor="_Glossary_of_data" w:history="1">
        <w:r w:rsidRPr="006525BE">
          <w:rPr>
            <w:rStyle w:val="Hyperlink"/>
            <w:rFonts w:asciiTheme="minorHAnsi" w:hAnsiTheme="minorHAnsi" w:cstheme="minorHAnsi"/>
            <w:szCs w:val="24"/>
          </w:rPr>
          <w:t>see the Glossar</w:t>
        </w:r>
        <w:r w:rsidR="00D31D7F">
          <w:rPr>
            <w:rStyle w:val="Hyperlink"/>
            <w:rFonts w:asciiTheme="minorHAnsi" w:hAnsiTheme="minorHAnsi" w:cstheme="minorHAnsi"/>
            <w:szCs w:val="24"/>
          </w:rPr>
          <w:t>y at the end of this polic</w:t>
        </w:r>
        <w:r w:rsidRPr="006525BE">
          <w:rPr>
            <w:rStyle w:val="Hyperlink"/>
            <w:rFonts w:asciiTheme="minorHAnsi" w:hAnsiTheme="minorHAnsi" w:cstheme="minorHAnsi"/>
            <w:szCs w:val="24"/>
          </w:rPr>
          <w:t>y</w:t>
        </w:r>
      </w:hyperlink>
      <w:r w:rsidRPr="006525BE">
        <w:rPr>
          <w:rFonts w:asciiTheme="minorHAnsi" w:hAnsiTheme="minorHAnsi" w:cstheme="minorHAnsi"/>
          <w:szCs w:val="24"/>
        </w:rPr>
        <w:t>.</w:t>
      </w:r>
    </w:p>
    <w:p w14:paraId="77BD4F26" w14:textId="77777777"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It applies to personal data held in any format, including on paper and in digital formats.</w:t>
      </w:r>
    </w:p>
    <w:p w14:paraId="34926D7A" w14:textId="77777777"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It applies to all members of staff employed by the University, and to persons with honorary staff status given access to University information or IT facilities (‘staff’).</w:t>
      </w:r>
    </w:p>
    <w:p w14:paraId="707EA0C8" w14:textId="77777777"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It applies to registered students when they process personal data in connection with their academic studies or research at the University other than under the supervision or instruction of a University member of staff. The policy is likely to apply to registered students only in exceptional circumstances.</w:t>
      </w:r>
    </w:p>
    <w:p w14:paraId="44EB1317"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Roles and responsibilities</w:t>
      </w:r>
    </w:p>
    <w:p w14:paraId="09482BB5" w14:textId="066B3F7F" w:rsidR="006525BE" w:rsidRPr="00A87987" w:rsidRDefault="006525BE" w:rsidP="00F85F97">
      <w:pPr>
        <w:pStyle w:val="ListParagraph"/>
        <w:ind w:left="360" w:firstLine="0"/>
        <w:rPr>
          <w:rFonts w:cstheme="minorHAnsi"/>
          <w:sz w:val="24"/>
          <w:szCs w:val="24"/>
        </w:rPr>
      </w:pPr>
      <w:r w:rsidRPr="00A87987">
        <w:rPr>
          <w:rFonts w:cstheme="minorHAnsi"/>
          <w:sz w:val="24"/>
          <w:szCs w:val="24"/>
        </w:rPr>
        <w:t>The roles that carry responsibilities under this policy are as follows:</w:t>
      </w:r>
    </w:p>
    <w:p w14:paraId="30C163C5" w14:textId="62E4CDCE"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 xml:space="preserve">Heads of Schools and Directors of Professional Services are responsible for the operation of this policy within their respective areas of responsibility and for promoting compliant data protection practices. </w:t>
      </w:r>
    </w:p>
    <w:p w14:paraId="061D4C12" w14:textId="12F5D6FC"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Staff (and, where relevant, registered students) are responsible for acting in accordance with this policy and with any instructions for handling personal data they are given by the University. Staff are also responsible for ensuring that any processing of personal data they direct or require registered students to undertake for the purposes of academic studies or research complies with this policy.</w:t>
      </w:r>
      <w:r w:rsidR="00196F6D" w:rsidRPr="00196F6D">
        <w:t xml:space="preserve"> </w:t>
      </w:r>
    </w:p>
    <w:p w14:paraId="2CFBF74D" w14:textId="7554B4C8"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 xml:space="preserve">The University Data Protection Officer (DPO) is the designated data protection officer for the University, and shall provide support, training and guidance to </w:t>
      </w:r>
      <w:r w:rsidR="007D0288">
        <w:rPr>
          <w:rFonts w:asciiTheme="minorHAnsi" w:hAnsiTheme="minorHAnsi" w:cstheme="minorHAnsi"/>
          <w:szCs w:val="24"/>
        </w:rPr>
        <w:t xml:space="preserve">all </w:t>
      </w:r>
      <w:r w:rsidRPr="006525BE">
        <w:rPr>
          <w:rFonts w:asciiTheme="minorHAnsi" w:hAnsiTheme="minorHAnsi" w:cstheme="minorHAnsi"/>
          <w:szCs w:val="24"/>
        </w:rPr>
        <w:t xml:space="preserve">staff, assisted by other members of the Information Governance </w:t>
      </w:r>
      <w:r w:rsidRPr="00556FE4">
        <w:rPr>
          <w:rFonts w:asciiTheme="minorHAnsi" w:hAnsiTheme="minorHAnsi" w:cstheme="minorHAnsi"/>
          <w:szCs w:val="24"/>
        </w:rPr>
        <w:t>team</w:t>
      </w:r>
      <w:r w:rsidRPr="006525BE">
        <w:rPr>
          <w:rFonts w:asciiTheme="minorHAnsi" w:hAnsiTheme="minorHAnsi" w:cstheme="minorHAnsi"/>
          <w:szCs w:val="24"/>
        </w:rPr>
        <w:t>. The DPO shall perform the tasks and duties of the data protection officer specified in the UK GDPR.</w:t>
      </w:r>
    </w:p>
    <w:p w14:paraId="594B179E" w14:textId="6B3BD689" w:rsid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lastRenderedPageBreak/>
        <w:t xml:space="preserve">Members of senior management are responsible for involving the DPO in </w:t>
      </w:r>
      <w:r w:rsidR="00282DC8">
        <w:rPr>
          <w:rFonts w:asciiTheme="minorHAnsi" w:hAnsiTheme="minorHAnsi" w:cstheme="minorHAnsi"/>
          <w:szCs w:val="24"/>
        </w:rPr>
        <w:t xml:space="preserve">all </w:t>
      </w:r>
      <w:r w:rsidRPr="006525BE">
        <w:rPr>
          <w:rFonts w:asciiTheme="minorHAnsi" w:hAnsiTheme="minorHAnsi" w:cstheme="minorHAnsi"/>
          <w:szCs w:val="24"/>
        </w:rPr>
        <w:t>significant data protection issues affecting the University.</w:t>
      </w:r>
    </w:p>
    <w:p w14:paraId="6601CFB2" w14:textId="4018EF37" w:rsidR="00A87987" w:rsidRPr="00F85F97" w:rsidRDefault="00BE1944" w:rsidP="00F85F97">
      <w:pPr>
        <w:pStyle w:val="ListBullet"/>
        <w:rPr>
          <w:rFonts w:asciiTheme="minorHAnsi" w:hAnsiTheme="minorHAnsi" w:cstheme="minorHAnsi"/>
          <w:szCs w:val="24"/>
        </w:rPr>
      </w:pPr>
      <w:r>
        <w:t>The Director of Digital and Information Services has delegated responsibility for establishing and maintaining the University of Aberdeen’s ISMS to ensure the availability, integrity and confidentiality of the University of Aberdeen’s information. The Director of Digital and Information Services will lead on the definition and implementation of the University of Aberdeen’s information security and governance arrangements and make judgement calls when situations arise that are not covered by the current information security management framework.</w:t>
      </w:r>
    </w:p>
    <w:p w14:paraId="30D5EFA7" w14:textId="12C4F668" w:rsid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t>The Information Governance Committee has executive responsibility for data protection compliance within the University, and for taking steps to address risks and issues of concern.</w:t>
      </w:r>
      <w:bookmarkStart w:id="1" w:name="_Toc406748261"/>
      <w:bookmarkStart w:id="2" w:name="_Toc406749392"/>
      <w:bookmarkEnd w:id="1"/>
      <w:bookmarkEnd w:id="2"/>
    </w:p>
    <w:p w14:paraId="292DBEDC" w14:textId="379B6D12" w:rsidR="00116A73" w:rsidRDefault="00116A73" w:rsidP="006525BE">
      <w:pPr>
        <w:pStyle w:val="ListBullet"/>
        <w:rPr>
          <w:rFonts w:asciiTheme="minorHAnsi" w:hAnsiTheme="minorHAnsi" w:cstheme="minorHAnsi"/>
          <w:szCs w:val="24"/>
        </w:rPr>
      </w:pPr>
      <w:r>
        <w:rPr>
          <w:rFonts w:asciiTheme="minorHAnsi" w:hAnsiTheme="minorHAnsi" w:cstheme="minorHAnsi"/>
          <w:szCs w:val="24"/>
        </w:rPr>
        <w:t>The Information Risk Working Group is responsible for reviewing information governance and security risk and advising on risk treatment efforts and consistent implementation of this policy.</w:t>
      </w:r>
    </w:p>
    <w:p w14:paraId="40898803" w14:textId="77777777" w:rsidR="00556FE4" w:rsidRPr="006525BE" w:rsidRDefault="00556FE4" w:rsidP="00556FE4">
      <w:pPr>
        <w:pStyle w:val="ListBullet"/>
        <w:numPr>
          <w:ilvl w:val="0"/>
          <w:numId w:val="0"/>
        </w:numPr>
        <w:ind w:left="754"/>
        <w:rPr>
          <w:rFonts w:asciiTheme="minorHAnsi" w:hAnsiTheme="minorHAnsi" w:cstheme="minorHAnsi"/>
          <w:szCs w:val="24"/>
        </w:rPr>
      </w:pPr>
    </w:p>
    <w:p w14:paraId="1A5798AF"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Standards and procedures for processing personal data</w:t>
      </w:r>
    </w:p>
    <w:p w14:paraId="7326FF2A" w14:textId="69CE6A4A" w:rsidR="00C57921" w:rsidRPr="00695523" w:rsidRDefault="006525BE" w:rsidP="00695523">
      <w:pPr>
        <w:pStyle w:val="TOC1"/>
        <w:rPr>
          <w:rFonts w:asciiTheme="minorHAnsi" w:eastAsiaTheme="minorEastAsia" w:hAnsiTheme="minorHAnsi"/>
          <w:noProof/>
          <w:color w:val="0000FF"/>
          <w:sz w:val="22"/>
          <w:lang w:eastAsia="en-GB"/>
        </w:rPr>
      </w:pPr>
      <w:r w:rsidRPr="006525BE">
        <w:rPr>
          <w:rFonts w:asciiTheme="minorHAnsi" w:hAnsiTheme="minorHAnsi"/>
          <w:szCs w:val="24"/>
        </w:rPr>
        <w:fldChar w:fldCharType="begin"/>
      </w:r>
      <w:r w:rsidRPr="006525BE">
        <w:rPr>
          <w:rFonts w:asciiTheme="minorHAnsi" w:hAnsiTheme="minorHAnsi"/>
          <w:szCs w:val="24"/>
        </w:rPr>
        <w:instrText xml:space="preserve"> TOC \n \h \z \t "Heading 2,1" </w:instrText>
      </w:r>
      <w:r w:rsidRPr="006525BE">
        <w:rPr>
          <w:rFonts w:asciiTheme="minorHAnsi" w:hAnsiTheme="minorHAnsi"/>
          <w:szCs w:val="24"/>
        </w:rPr>
        <w:fldChar w:fldCharType="separate"/>
      </w:r>
      <w:hyperlink w:anchor="_Toc78902231" w:history="1">
        <w:r w:rsidR="00C57921" w:rsidRPr="00695523">
          <w:rPr>
            <w:rStyle w:val="Hyperlink"/>
            <w:rFonts w:cstheme="minorHAnsi"/>
            <w:noProof/>
            <w:color w:val="0000FF"/>
          </w:rPr>
          <w:t>Data protection principles</w:t>
        </w:r>
      </w:hyperlink>
    </w:p>
    <w:p w14:paraId="3A17F488" w14:textId="0E9CEB92" w:rsidR="00C57921" w:rsidRPr="00695523" w:rsidRDefault="00C57921" w:rsidP="00695523">
      <w:pPr>
        <w:pStyle w:val="TOC1"/>
        <w:rPr>
          <w:rFonts w:asciiTheme="minorHAnsi" w:eastAsiaTheme="minorEastAsia" w:hAnsiTheme="minorHAnsi"/>
          <w:noProof/>
          <w:color w:val="0000FF"/>
          <w:sz w:val="22"/>
          <w:lang w:eastAsia="en-GB"/>
        </w:rPr>
      </w:pPr>
      <w:hyperlink w:anchor="_Toc78902232" w:history="1">
        <w:r w:rsidRPr="00695523">
          <w:rPr>
            <w:rStyle w:val="Hyperlink"/>
            <w:noProof/>
            <w:color w:val="0000FF"/>
          </w:rPr>
          <w:t>Governance roles</w:t>
        </w:r>
      </w:hyperlink>
    </w:p>
    <w:p w14:paraId="440CCC10" w14:textId="41D18FD0" w:rsidR="00C57921" w:rsidRPr="00695523" w:rsidRDefault="00C57921" w:rsidP="00695523">
      <w:pPr>
        <w:pStyle w:val="TOC1"/>
        <w:rPr>
          <w:rFonts w:asciiTheme="minorHAnsi" w:eastAsiaTheme="minorEastAsia" w:hAnsiTheme="minorHAnsi"/>
          <w:noProof/>
          <w:color w:val="0000FF"/>
          <w:sz w:val="22"/>
          <w:lang w:eastAsia="en-GB"/>
        </w:rPr>
      </w:pPr>
      <w:hyperlink w:anchor="_Toc78902233" w:history="1">
        <w:r w:rsidRPr="00695523">
          <w:rPr>
            <w:rStyle w:val="Hyperlink"/>
            <w:rFonts w:cstheme="minorHAnsi"/>
            <w:noProof/>
            <w:color w:val="0000FF"/>
          </w:rPr>
          <w:t>Lawful bases for processing personal data</w:t>
        </w:r>
      </w:hyperlink>
    </w:p>
    <w:p w14:paraId="39FD66AB" w14:textId="1816D78A" w:rsidR="00C57921" w:rsidRPr="00695523" w:rsidRDefault="00C57921" w:rsidP="00695523">
      <w:pPr>
        <w:pStyle w:val="TOC1"/>
        <w:rPr>
          <w:rFonts w:asciiTheme="minorHAnsi" w:eastAsiaTheme="minorEastAsia" w:hAnsiTheme="minorHAnsi"/>
          <w:noProof/>
          <w:color w:val="0000FF"/>
          <w:sz w:val="22"/>
          <w:lang w:eastAsia="en-GB"/>
        </w:rPr>
      </w:pPr>
      <w:hyperlink w:anchor="_Toc78902234" w:history="1">
        <w:r w:rsidRPr="00695523">
          <w:rPr>
            <w:rStyle w:val="Hyperlink"/>
            <w:rFonts w:cstheme="minorHAnsi"/>
            <w:noProof/>
            <w:color w:val="0000FF"/>
          </w:rPr>
          <w:t>Requirements for special categories of personal data and criminal offence data</w:t>
        </w:r>
      </w:hyperlink>
    </w:p>
    <w:p w14:paraId="49587454" w14:textId="1E59500C" w:rsidR="00C57921" w:rsidRPr="00695523" w:rsidRDefault="00C57921" w:rsidP="00695523">
      <w:pPr>
        <w:pStyle w:val="TOC1"/>
        <w:rPr>
          <w:rFonts w:asciiTheme="minorHAnsi" w:eastAsiaTheme="minorEastAsia" w:hAnsiTheme="minorHAnsi"/>
          <w:noProof/>
          <w:color w:val="0000FF"/>
          <w:sz w:val="22"/>
          <w:lang w:eastAsia="en-GB"/>
        </w:rPr>
      </w:pPr>
      <w:hyperlink w:anchor="_Toc78902235" w:history="1">
        <w:r w:rsidRPr="00695523">
          <w:rPr>
            <w:rStyle w:val="Hyperlink"/>
            <w:rFonts w:cstheme="minorHAnsi"/>
            <w:noProof/>
            <w:color w:val="0000FF"/>
          </w:rPr>
          <w:t>Requirements for processing personal data of vulnerable people</w:t>
        </w:r>
      </w:hyperlink>
    </w:p>
    <w:p w14:paraId="61739BEC" w14:textId="0D88B33E" w:rsidR="00C57921" w:rsidRPr="00695523" w:rsidRDefault="00C57921" w:rsidP="00695523">
      <w:pPr>
        <w:pStyle w:val="TOC1"/>
        <w:rPr>
          <w:rFonts w:asciiTheme="minorHAnsi" w:eastAsiaTheme="minorEastAsia" w:hAnsiTheme="minorHAnsi"/>
          <w:noProof/>
          <w:color w:val="0000FF"/>
          <w:sz w:val="22"/>
          <w:lang w:eastAsia="en-GB"/>
        </w:rPr>
      </w:pPr>
      <w:hyperlink w:anchor="_Toc78902236" w:history="1">
        <w:r w:rsidRPr="00695523">
          <w:rPr>
            <w:rStyle w:val="Hyperlink"/>
            <w:rFonts w:cstheme="minorHAnsi"/>
            <w:noProof/>
            <w:color w:val="0000FF"/>
          </w:rPr>
          <w:t>Purposes for processing personal data</w:t>
        </w:r>
      </w:hyperlink>
    </w:p>
    <w:p w14:paraId="2B318BAC" w14:textId="4DE671EF" w:rsidR="00C57921" w:rsidRPr="00695523" w:rsidRDefault="00C57921" w:rsidP="00695523">
      <w:pPr>
        <w:pStyle w:val="TOC1"/>
        <w:rPr>
          <w:rFonts w:asciiTheme="minorHAnsi" w:eastAsiaTheme="minorEastAsia" w:hAnsiTheme="minorHAnsi"/>
          <w:noProof/>
          <w:color w:val="0000FF"/>
          <w:sz w:val="22"/>
          <w:lang w:eastAsia="en-GB"/>
        </w:rPr>
      </w:pPr>
      <w:hyperlink w:anchor="_Toc78902237" w:history="1">
        <w:r w:rsidRPr="00695523">
          <w:rPr>
            <w:rStyle w:val="Hyperlink"/>
            <w:rFonts w:cstheme="minorHAnsi"/>
            <w:noProof/>
            <w:color w:val="0000FF"/>
          </w:rPr>
          <w:t>Technical, organisational and security measures to manage data protection risks</w:t>
        </w:r>
      </w:hyperlink>
    </w:p>
    <w:p w14:paraId="26C7FE48" w14:textId="4D7D5CAC" w:rsidR="00C57921" w:rsidRPr="00695523" w:rsidRDefault="00C57921" w:rsidP="00695523">
      <w:pPr>
        <w:pStyle w:val="TOC1"/>
        <w:rPr>
          <w:rFonts w:asciiTheme="minorHAnsi" w:eastAsiaTheme="minorEastAsia" w:hAnsiTheme="minorHAnsi"/>
          <w:noProof/>
          <w:color w:val="0000FF"/>
          <w:sz w:val="22"/>
          <w:lang w:eastAsia="en-GB"/>
        </w:rPr>
      </w:pPr>
      <w:hyperlink w:anchor="_Toc78902238" w:history="1">
        <w:r w:rsidRPr="00695523">
          <w:rPr>
            <w:rStyle w:val="Hyperlink"/>
            <w:rFonts w:cstheme="minorHAnsi"/>
            <w:noProof/>
            <w:color w:val="0000FF"/>
          </w:rPr>
          <w:t>Data processing arrangements – the University as controller</w:t>
        </w:r>
      </w:hyperlink>
    </w:p>
    <w:p w14:paraId="6172DDDB" w14:textId="3EE6BF0C" w:rsidR="00C57921" w:rsidRPr="00695523" w:rsidRDefault="00C57921" w:rsidP="00695523">
      <w:pPr>
        <w:pStyle w:val="TOC1"/>
        <w:rPr>
          <w:rFonts w:asciiTheme="minorHAnsi" w:eastAsiaTheme="minorEastAsia" w:hAnsiTheme="minorHAnsi"/>
          <w:noProof/>
          <w:color w:val="0000FF"/>
          <w:sz w:val="22"/>
          <w:lang w:eastAsia="en-GB"/>
        </w:rPr>
      </w:pPr>
      <w:hyperlink w:anchor="_Toc78902239" w:history="1">
        <w:r w:rsidRPr="00695523">
          <w:rPr>
            <w:rStyle w:val="Hyperlink"/>
            <w:rFonts w:cstheme="minorHAnsi"/>
            <w:noProof/>
            <w:color w:val="0000FF"/>
          </w:rPr>
          <w:t>Data processing arrangements – the University as processor</w:t>
        </w:r>
      </w:hyperlink>
    </w:p>
    <w:p w14:paraId="0EB60243" w14:textId="57E6E17A" w:rsidR="00C57921" w:rsidRPr="00695523" w:rsidRDefault="00C57921" w:rsidP="00695523">
      <w:pPr>
        <w:pStyle w:val="TOC1"/>
        <w:rPr>
          <w:rFonts w:asciiTheme="minorHAnsi" w:eastAsiaTheme="minorEastAsia" w:hAnsiTheme="minorHAnsi"/>
          <w:noProof/>
          <w:color w:val="0000FF"/>
          <w:sz w:val="22"/>
          <w:lang w:eastAsia="en-GB"/>
        </w:rPr>
      </w:pPr>
      <w:hyperlink w:anchor="_Toc78902240" w:history="1">
        <w:r w:rsidRPr="00695523">
          <w:rPr>
            <w:rStyle w:val="Hyperlink"/>
            <w:rFonts w:cstheme="minorHAnsi"/>
            <w:noProof/>
            <w:color w:val="0000FF"/>
          </w:rPr>
          <w:t>Data sharing arrangements</w:t>
        </w:r>
      </w:hyperlink>
    </w:p>
    <w:p w14:paraId="778186CC" w14:textId="70558593" w:rsidR="00C57921" w:rsidRPr="00695523" w:rsidRDefault="00C57921" w:rsidP="00695523">
      <w:pPr>
        <w:pStyle w:val="TOC1"/>
        <w:rPr>
          <w:rFonts w:asciiTheme="minorHAnsi" w:eastAsiaTheme="minorEastAsia" w:hAnsiTheme="minorHAnsi"/>
          <w:noProof/>
          <w:color w:val="0000FF"/>
          <w:sz w:val="22"/>
          <w:lang w:eastAsia="en-GB"/>
        </w:rPr>
      </w:pPr>
      <w:hyperlink w:anchor="_Toc78902241" w:history="1">
        <w:r w:rsidRPr="00695523">
          <w:rPr>
            <w:rStyle w:val="Hyperlink"/>
            <w:rFonts w:cstheme="minorHAnsi"/>
            <w:noProof/>
            <w:color w:val="0000FF"/>
          </w:rPr>
          <w:t>Disclosures of personal data</w:t>
        </w:r>
      </w:hyperlink>
    </w:p>
    <w:p w14:paraId="3F1D44BC" w14:textId="3A1E90FD" w:rsidR="00C57921" w:rsidRPr="00695523" w:rsidRDefault="00C57921" w:rsidP="00695523">
      <w:pPr>
        <w:pStyle w:val="TOC1"/>
        <w:rPr>
          <w:rFonts w:asciiTheme="minorHAnsi" w:eastAsiaTheme="minorEastAsia" w:hAnsiTheme="minorHAnsi"/>
          <w:noProof/>
          <w:color w:val="0000FF"/>
          <w:sz w:val="22"/>
          <w:lang w:eastAsia="en-GB"/>
        </w:rPr>
      </w:pPr>
      <w:hyperlink w:anchor="_Toc78902242" w:history="1">
        <w:r w:rsidRPr="00695523">
          <w:rPr>
            <w:rStyle w:val="Hyperlink"/>
            <w:rFonts w:cstheme="minorHAnsi"/>
            <w:noProof/>
            <w:color w:val="0000FF"/>
          </w:rPr>
          <w:t>International transfers of personal data</w:t>
        </w:r>
      </w:hyperlink>
    </w:p>
    <w:p w14:paraId="60E2A741" w14:textId="275A243E" w:rsidR="00C57921" w:rsidRPr="00695523" w:rsidRDefault="00C57921" w:rsidP="00695523">
      <w:pPr>
        <w:pStyle w:val="TOC1"/>
        <w:rPr>
          <w:rFonts w:asciiTheme="minorHAnsi" w:eastAsiaTheme="minorEastAsia" w:hAnsiTheme="minorHAnsi"/>
          <w:noProof/>
          <w:color w:val="0000FF"/>
          <w:sz w:val="22"/>
          <w:lang w:eastAsia="en-GB"/>
        </w:rPr>
      </w:pPr>
      <w:hyperlink w:anchor="_Toc78902243" w:history="1">
        <w:r w:rsidRPr="00695523">
          <w:rPr>
            <w:rStyle w:val="Hyperlink"/>
            <w:rFonts w:cstheme="minorHAnsi"/>
            <w:noProof/>
            <w:color w:val="0000FF"/>
          </w:rPr>
          <w:t>Personal data breaches</w:t>
        </w:r>
      </w:hyperlink>
    </w:p>
    <w:p w14:paraId="723742F9" w14:textId="08D2853B" w:rsidR="00C57921" w:rsidRPr="00695523" w:rsidRDefault="00C57921" w:rsidP="00695523">
      <w:pPr>
        <w:pStyle w:val="TOC1"/>
        <w:rPr>
          <w:rFonts w:asciiTheme="minorHAnsi" w:eastAsiaTheme="minorEastAsia" w:hAnsiTheme="minorHAnsi"/>
          <w:noProof/>
          <w:color w:val="0000FF"/>
          <w:sz w:val="22"/>
          <w:lang w:eastAsia="en-GB"/>
        </w:rPr>
      </w:pPr>
      <w:hyperlink w:anchor="_Toc78902244" w:history="1">
        <w:r w:rsidRPr="00695523">
          <w:rPr>
            <w:rStyle w:val="Hyperlink"/>
            <w:rFonts w:cstheme="minorHAnsi"/>
            <w:noProof/>
            <w:color w:val="0000FF"/>
          </w:rPr>
          <w:t>Data subjects’ rights</w:t>
        </w:r>
      </w:hyperlink>
    </w:p>
    <w:p w14:paraId="4D114CE8" w14:textId="379E7AF7" w:rsidR="00C57921" w:rsidRPr="00695523" w:rsidRDefault="00C57921" w:rsidP="00695523">
      <w:pPr>
        <w:pStyle w:val="TOC1"/>
        <w:rPr>
          <w:rFonts w:asciiTheme="minorHAnsi" w:eastAsiaTheme="minorEastAsia" w:hAnsiTheme="minorHAnsi"/>
          <w:noProof/>
          <w:color w:val="0000FF"/>
          <w:sz w:val="22"/>
          <w:lang w:eastAsia="en-GB"/>
        </w:rPr>
      </w:pPr>
      <w:hyperlink w:anchor="_Toc78902245" w:history="1">
        <w:r w:rsidRPr="00695523">
          <w:rPr>
            <w:rStyle w:val="Hyperlink"/>
            <w:rFonts w:cstheme="minorHAnsi"/>
            <w:noProof/>
            <w:color w:val="0000FF"/>
          </w:rPr>
          <w:t>Data subject rights – requests to the University</w:t>
        </w:r>
      </w:hyperlink>
    </w:p>
    <w:p w14:paraId="2BC04343" w14:textId="1479A69F" w:rsidR="00C57921" w:rsidRPr="00695523" w:rsidRDefault="00C57921" w:rsidP="00695523">
      <w:pPr>
        <w:pStyle w:val="TOC1"/>
        <w:rPr>
          <w:rFonts w:asciiTheme="minorHAnsi" w:eastAsiaTheme="minorEastAsia" w:hAnsiTheme="minorHAnsi"/>
          <w:noProof/>
          <w:color w:val="0000FF"/>
          <w:sz w:val="22"/>
          <w:lang w:eastAsia="en-GB"/>
        </w:rPr>
      </w:pPr>
      <w:hyperlink w:anchor="_Toc78902246" w:history="1">
        <w:r w:rsidRPr="00695523">
          <w:rPr>
            <w:rStyle w:val="Hyperlink"/>
            <w:rFonts w:cstheme="minorHAnsi"/>
            <w:noProof/>
            <w:color w:val="0000FF"/>
          </w:rPr>
          <w:t>Data subject rights - the right to be informed</w:t>
        </w:r>
      </w:hyperlink>
    </w:p>
    <w:p w14:paraId="09E13929" w14:textId="1EF80809" w:rsidR="00C57921" w:rsidRPr="00695523" w:rsidRDefault="00C57921" w:rsidP="00695523">
      <w:pPr>
        <w:pStyle w:val="TOC1"/>
        <w:rPr>
          <w:rFonts w:asciiTheme="minorHAnsi" w:eastAsiaTheme="minorEastAsia" w:hAnsiTheme="minorHAnsi"/>
          <w:noProof/>
          <w:color w:val="0000FF"/>
          <w:sz w:val="22"/>
          <w:lang w:eastAsia="en-GB"/>
        </w:rPr>
      </w:pPr>
      <w:hyperlink w:anchor="_Toc78902247" w:history="1">
        <w:r w:rsidRPr="00695523">
          <w:rPr>
            <w:rStyle w:val="Hyperlink"/>
            <w:rFonts w:cstheme="minorHAnsi"/>
            <w:noProof/>
            <w:color w:val="0000FF"/>
          </w:rPr>
          <w:t>Procedures, training and guidance</w:t>
        </w:r>
      </w:hyperlink>
    </w:p>
    <w:p w14:paraId="205A88E0" w14:textId="6D4762D2" w:rsidR="00C57921" w:rsidRDefault="00C57921" w:rsidP="00695523">
      <w:pPr>
        <w:pStyle w:val="TOC1"/>
        <w:rPr>
          <w:rFonts w:asciiTheme="minorHAnsi" w:eastAsiaTheme="minorEastAsia" w:hAnsiTheme="minorHAnsi"/>
          <w:noProof/>
          <w:sz w:val="22"/>
          <w:lang w:eastAsia="en-GB"/>
        </w:rPr>
      </w:pPr>
      <w:hyperlink w:anchor="_Toc78902248" w:history="1">
        <w:r w:rsidRPr="00695523">
          <w:rPr>
            <w:rStyle w:val="Hyperlink"/>
            <w:rFonts w:cstheme="minorHAnsi"/>
            <w:noProof/>
            <w:color w:val="0000FF"/>
          </w:rPr>
          <w:t>Compliance and monitoring</w:t>
        </w:r>
      </w:hyperlink>
    </w:p>
    <w:p w14:paraId="1719B2B5" w14:textId="4C41CEF1" w:rsidR="00D31D7F" w:rsidRDefault="006525BE" w:rsidP="00231F72">
      <w:pPr>
        <w:pStyle w:val="Heading2"/>
        <w:spacing w:before="360"/>
        <w:ind w:left="0" w:firstLine="0"/>
        <w:rPr>
          <w:rFonts w:cstheme="minorHAnsi"/>
          <w:color w:val="00B0F0"/>
          <w:szCs w:val="24"/>
        </w:rPr>
      </w:pPr>
      <w:r w:rsidRPr="006525BE">
        <w:rPr>
          <w:rFonts w:cstheme="minorHAnsi"/>
          <w:color w:val="00B0F0"/>
          <w:szCs w:val="24"/>
        </w:rPr>
        <w:fldChar w:fldCharType="end"/>
      </w:r>
      <w:r w:rsidR="00D31D7F">
        <w:rPr>
          <w:rFonts w:cstheme="minorHAnsi"/>
          <w:color w:val="00B0F0"/>
          <w:szCs w:val="24"/>
        </w:rPr>
        <w:br w:type="page"/>
      </w:r>
    </w:p>
    <w:p w14:paraId="7C622255" w14:textId="4C2BFF59" w:rsidR="006525BE" w:rsidRPr="006525BE" w:rsidRDefault="006525BE" w:rsidP="006525BE">
      <w:pPr>
        <w:pStyle w:val="Heading2"/>
        <w:spacing w:before="360"/>
        <w:ind w:left="709" w:firstLine="0"/>
        <w:rPr>
          <w:rFonts w:cstheme="minorHAnsi"/>
          <w:szCs w:val="24"/>
        </w:rPr>
      </w:pPr>
      <w:bookmarkStart w:id="3" w:name="_Toc78902231"/>
      <w:r w:rsidRPr="006525BE">
        <w:rPr>
          <w:rFonts w:cstheme="minorHAnsi"/>
          <w:szCs w:val="24"/>
        </w:rPr>
        <w:lastRenderedPageBreak/>
        <w:t>Data protection principles</w:t>
      </w:r>
      <w:bookmarkEnd w:id="3"/>
    </w:p>
    <w:p w14:paraId="5BCC1A74"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sets out the following seven governing principles.</w:t>
      </w:r>
    </w:p>
    <w:p w14:paraId="401FAC7B" w14:textId="77777777" w:rsidR="006525BE" w:rsidRPr="006525BE" w:rsidRDefault="006525BE" w:rsidP="00CC4F12">
      <w:pPr>
        <w:pStyle w:val="NoSpacing"/>
        <w:spacing w:after="120"/>
        <w:ind w:left="709" w:firstLine="0"/>
        <w:rPr>
          <w:rFonts w:cstheme="minorHAnsi"/>
          <w:b/>
          <w:bCs/>
          <w:sz w:val="24"/>
          <w:szCs w:val="24"/>
        </w:rPr>
      </w:pPr>
      <w:r w:rsidRPr="006525BE">
        <w:rPr>
          <w:rFonts w:cstheme="minorHAnsi"/>
          <w:sz w:val="24"/>
          <w:szCs w:val="24"/>
        </w:rPr>
        <w:t xml:space="preserve">Principle 1: </w:t>
      </w:r>
      <w:r w:rsidRPr="006525BE">
        <w:rPr>
          <w:rFonts w:cstheme="minorHAnsi"/>
          <w:b/>
          <w:bCs/>
          <w:sz w:val="24"/>
          <w:szCs w:val="24"/>
        </w:rPr>
        <w:t>Lawfulness, fairness, transparency</w:t>
      </w:r>
    </w:p>
    <w:p w14:paraId="1A28CA72"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Personal data shall be processed lawfully, fairly and in a transparent manner in relation to the data subject.</w:t>
      </w:r>
    </w:p>
    <w:p w14:paraId="29EB3023"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 xml:space="preserve">Principle 2: </w:t>
      </w:r>
      <w:r w:rsidRPr="006525BE">
        <w:rPr>
          <w:rFonts w:cstheme="minorHAnsi"/>
          <w:b/>
          <w:bCs/>
          <w:sz w:val="24"/>
          <w:szCs w:val="24"/>
        </w:rPr>
        <w:t>Purpose limitation</w:t>
      </w:r>
    </w:p>
    <w:p w14:paraId="3EA27573"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Personal data shall be collected for specific, explicit and legitimate purposes and not further processed in a manner that is incompatible with those purposes.</w:t>
      </w:r>
    </w:p>
    <w:p w14:paraId="5211203F"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 xml:space="preserve">Principle 3: </w:t>
      </w:r>
      <w:r w:rsidRPr="006525BE">
        <w:rPr>
          <w:rFonts w:cstheme="minorHAnsi"/>
          <w:b/>
          <w:bCs/>
          <w:sz w:val="24"/>
          <w:szCs w:val="24"/>
        </w:rPr>
        <w:t>Data minimisation</w:t>
      </w:r>
    </w:p>
    <w:p w14:paraId="760EF2D1"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Personal data shall be adequate, relevant and limited to what is necessary in relation to the purposes for which they are processed.</w:t>
      </w:r>
    </w:p>
    <w:p w14:paraId="36862547"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Principle 4:</w:t>
      </w:r>
      <w:r w:rsidRPr="006525BE">
        <w:rPr>
          <w:rFonts w:cstheme="minorHAnsi"/>
          <w:b/>
          <w:bCs/>
          <w:sz w:val="24"/>
          <w:szCs w:val="24"/>
        </w:rPr>
        <w:t xml:space="preserve"> Accuracy</w:t>
      </w:r>
    </w:p>
    <w:p w14:paraId="5350D741"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Personal data shall be accurate and, where necessary, kept up to date. Every reasonable step must be taken to ensure that personal data that are inaccurate, having regard to the purposes for which they are processed, are erased or rectified without delay.</w:t>
      </w:r>
    </w:p>
    <w:p w14:paraId="5F5EB6DF"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 xml:space="preserve">Principle 5: </w:t>
      </w:r>
      <w:r w:rsidRPr="006525BE">
        <w:rPr>
          <w:rFonts w:cstheme="minorHAnsi"/>
          <w:b/>
          <w:bCs/>
          <w:sz w:val="24"/>
          <w:szCs w:val="24"/>
        </w:rPr>
        <w:t>Storage limitation</w:t>
      </w:r>
    </w:p>
    <w:p w14:paraId="4F9A762E"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Personal data shall be kept in a form which permits identification of data subjects for no longer than is necessary for the purposes for which they are processed.</w:t>
      </w:r>
    </w:p>
    <w:p w14:paraId="73B4B580"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 xml:space="preserve">Principle 6: </w:t>
      </w:r>
      <w:r w:rsidRPr="006525BE">
        <w:rPr>
          <w:rFonts w:cstheme="minorHAnsi"/>
          <w:b/>
          <w:bCs/>
          <w:sz w:val="24"/>
          <w:szCs w:val="24"/>
        </w:rPr>
        <w:t>Integrity and confidentiality</w:t>
      </w:r>
    </w:p>
    <w:p w14:paraId="76A3D3D3"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06024E40" w14:textId="77777777" w:rsidR="006525BE" w:rsidRPr="006525BE" w:rsidRDefault="006525BE" w:rsidP="00CC4F12">
      <w:pPr>
        <w:pStyle w:val="NoSpacing"/>
        <w:spacing w:after="120"/>
        <w:ind w:left="709" w:firstLine="0"/>
        <w:rPr>
          <w:rFonts w:cstheme="minorHAnsi"/>
          <w:sz w:val="24"/>
          <w:szCs w:val="24"/>
        </w:rPr>
      </w:pPr>
      <w:bookmarkStart w:id="4" w:name="_Hlk63253140"/>
      <w:r w:rsidRPr="006525BE">
        <w:rPr>
          <w:rFonts w:cstheme="minorHAnsi"/>
          <w:sz w:val="24"/>
          <w:szCs w:val="24"/>
        </w:rPr>
        <w:t xml:space="preserve">Principle 7: </w:t>
      </w:r>
      <w:r w:rsidRPr="006525BE">
        <w:rPr>
          <w:rFonts w:cstheme="minorHAnsi"/>
          <w:b/>
          <w:bCs/>
          <w:sz w:val="24"/>
          <w:szCs w:val="24"/>
        </w:rPr>
        <w:t>Accountability</w:t>
      </w:r>
    </w:p>
    <w:p w14:paraId="2180A5D3" w14:textId="33361725" w:rsidR="006525BE" w:rsidRDefault="006525BE" w:rsidP="00CC4F12">
      <w:pPr>
        <w:pStyle w:val="NoSpacing"/>
        <w:spacing w:after="120"/>
        <w:ind w:left="709" w:firstLine="0"/>
        <w:rPr>
          <w:rFonts w:cstheme="minorHAnsi"/>
          <w:sz w:val="24"/>
          <w:szCs w:val="24"/>
        </w:rPr>
      </w:pPr>
      <w:r w:rsidRPr="006525BE">
        <w:rPr>
          <w:rFonts w:cstheme="minorHAnsi"/>
          <w:sz w:val="24"/>
          <w:szCs w:val="24"/>
        </w:rPr>
        <w:t>The University shall be responsible for, and be able to demonstrate compliance with, the UK GDPR.</w:t>
      </w:r>
    </w:p>
    <w:p w14:paraId="3D22B02C" w14:textId="50401CA9" w:rsidR="008C21BD" w:rsidRPr="006525BE" w:rsidRDefault="008C21BD" w:rsidP="008C21BD">
      <w:pPr>
        <w:pStyle w:val="Heading2"/>
        <w:ind w:hanging="425"/>
      </w:pPr>
      <w:bookmarkStart w:id="5" w:name="_Toc78902232"/>
      <w:r>
        <w:t>Governance roles</w:t>
      </w:r>
      <w:bookmarkEnd w:id="5"/>
    </w:p>
    <w:bookmarkEnd w:id="4"/>
    <w:p w14:paraId="54C05EA4" w14:textId="4EF137AF" w:rsidR="00A65930" w:rsidRPr="00A65930" w:rsidRDefault="00F841B3" w:rsidP="00A65930">
      <w:pPr>
        <w:pStyle w:val="ListParagraph"/>
        <w:numPr>
          <w:ilvl w:val="0"/>
          <w:numId w:val="25"/>
        </w:numPr>
        <w:spacing w:before="240" w:after="120"/>
        <w:ind w:left="680" w:hanging="680"/>
        <w:contextualSpacing w:val="0"/>
        <w:rPr>
          <w:rFonts w:cstheme="minorHAnsi"/>
          <w:sz w:val="24"/>
          <w:szCs w:val="24"/>
        </w:rPr>
      </w:pPr>
      <w:r>
        <w:rPr>
          <w:rFonts w:cstheme="minorHAnsi"/>
          <w:sz w:val="24"/>
          <w:szCs w:val="24"/>
        </w:rPr>
        <w:t>The University is responsible for complying with the</w:t>
      </w:r>
      <w:r w:rsidR="00A65930">
        <w:rPr>
          <w:rFonts w:cstheme="minorHAnsi"/>
          <w:sz w:val="24"/>
          <w:szCs w:val="24"/>
        </w:rPr>
        <w:t xml:space="preserve"> data</w:t>
      </w:r>
      <w:r>
        <w:rPr>
          <w:rFonts w:cstheme="minorHAnsi"/>
          <w:sz w:val="24"/>
          <w:szCs w:val="24"/>
        </w:rPr>
        <w:t xml:space="preserve"> </w:t>
      </w:r>
      <w:r w:rsidR="00A65930">
        <w:rPr>
          <w:rFonts w:cstheme="minorHAnsi"/>
          <w:sz w:val="24"/>
          <w:szCs w:val="24"/>
        </w:rPr>
        <w:t xml:space="preserve">protection </w:t>
      </w:r>
      <w:r>
        <w:rPr>
          <w:rFonts w:cstheme="minorHAnsi"/>
          <w:sz w:val="24"/>
          <w:szCs w:val="24"/>
        </w:rPr>
        <w:t xml:space="preserve">principles, and the underpinning obligations in </w:t>
      </w:r>
      <w:r w:rsidR="007F52AB">
        <w:rPr>
          <w:rFonts w:cstheme="minorHAnsi"/>
          <w:sz w:val="24"/>
          <w:szCs w:val="24"/>
        </w:rPr>
        <w:t>the D</w:t>
      </w:r>
      <w:r>
        <w:rPr>
          <w:rFonts w:cstheme="minorHAnsi"/>
          <w:sz w:val="24"/>
          <w:szCs w:val="24"/>
        </w:rPr>
        <w:t xml:space="preserve">ata </w:t>
      </w:r>
      <w:r w:rsidR="007F52AB">
        <w:rPr>
          <w:rFonts w:cstheme="minorHAnsi"/>
          <w:sz w:val="24"/>
          <w:szCs w:val="24"/>
        </w:rPr>
        <w:t>P</w:t>
      </w:r>
      <w:r>
        <w:rPr>
          <w:rFonts w:cstheme="minorHAnsi"/>
          <w:sz w:val="24"/>
          <w:szCs w:val="24"/>
        </w:rPr>
        <w:t xml:space="preserve">rotection </w:t>
      </w:r>
      <w:r w:rsidR="007F52AB">
        <w:rPr>
          <w:rFonts w:cstheme="minorHAnsi"/>
          <w:sz w:val="24"/>
          <w:szCs w:val="24"/>
        </w:rPr>
        <w:t>L</w:t>
      </w:r>
      <w:r>
        <w:rPr>
          <w:rFonts w:cstheme="minorHAnsi"/>
          <w:sz w:val="24"/>
          <w:szCs w:val="24"/>
        </w:rPr>
        <w:t>egislation, when processing personal data as a controller</w:t>
      </w:r>
      <w:r w:rsidR="00D64EAA">
        <w:rPr>
          <w:rFonts w:cstheme="minorHAnsi"/>
          <w:sz w:val="24"/>
          <w:szCs w:val="24"/>
        </w:rPr>
        <w:t xml:space="preserve"> for its own purposes such as in teaching, research and carrying out administrative functions</w:t>
      </w:r>
      <w:r>
        <w:rPr>
          <w:rFonts w:cstheme="minorHAnsi"/>
          <w:sz w:val="24"/>
          <w:szCs w:val="24"/>
        </w:rPr>
        <w:t xml:space="preserve">. </w:t>
      </w:r>
    </w:p>
    <w:p w14:paraId="39148F36" w14:textId="49C08BBC" w:rsidR="008C21BD" w:rsidRPr="00A65930" w:rsidRDefault="00D64EAA" w:rsidP="00A65930">
      <w:pPr>
        <w:pStyle w:val="ListParagraph"/>
        <w:numPr>
          <w:ilvl w:val="0"/>
          <w:numId w:val="25"/>
        </w:numPr>
        <w:spacing w:before="240" w:after="120"/>
        <w:ind w:left="680" w:hanging="680"/>
        <w:contextualSpacing w:val="0"/>
        <w:rPr>
          <w:rFonts w:cstheme="minorHAnsi"/>
          <w:sz w:val="24"/>
          <w:szCs w:val="24"/>
        </w:rPr>
      </w:pPr>
      <w:r w:rsidRPr="00A65930">
        <w:rPr>
          <w:rFonts w:cstheme="minorHAnsi"/>
          <w:sz w:val="24"/>
          <w:szCs w:val="24"/>
        </w:rPr>
        <w:t xml:space="preserve">External organisations </w:t>
      </w:r>
      <w:r w:rsidR="00914C3C" w:rsidRPr="00A65930">
        <w:rPr>
          <w:rFonts w:cstheme="minorHAnsi"/>
          <w:sz w:val="24"/>
          <w:szCs w:val="24"/>
        </w:rPr>
        <w:t xml:space="preserve">involved in a data processing activity </w:t>
      </w:r>
      <w:r w:rsidR="008C21BD" w:rsidRPr="00A65930">
        <w:rPr>
          <w:rFonts w:cstheme="minorHAnsi"/>
          <w:sz w:val="24"/>
          <w:szCs w:val="24"/>
        </w:rPr>
        <w:t xml:space="preserve">with </w:t>
      </w:r>
      <w:r w:rsidR="00A65930">
        <w:rPr>
          <w:rFonts w:cstheme="minorHAnsi"/>
          <w:sz w:val="24"/>
          <w:szCs w:val="24"/>
        </w:rPr>
        <w:t xml:space="preserve">or for </w:t>
      </w:r>
      <w:r w:rsidR="008C21BD" w:rsidRPr="00A65930">
        <w:rPr>
          <w:rFonts w:cstheme="minorHAnsi"/>
          <w:sz w:val="24"/>
          <w:szCs w:val="24"/>
        </w:rPr>
        <w:t>the University</w:t>
      </w:r>
      <w:r w:rsidRPr="00A65930">
        <w:rPr>
          <w:rFonts w:cstheme="minorHAnsi"/>
          <w:sz w:val="24"/>
          <w:szCs w:val="24"/>
        </w:rPr>
        <w:t xml:space="preserve"> also bear responsibility for complianc</w:t>
      </w:r>
      <w:r w:rsidR="00A65930">
        <w:rPr>
          <w:rFonts w:cstheme="minorHAnsi"/>
          <w:sz w:val="24"/>
          <w:szCs w:val="24"/>
        </w:rPr>
        <w:t xml:space="preserve">e </w:t>
      </w:r>
      <w:r w:rsidRPr="00A65930">
        <w:rPr>
          <w:rFonts w:cstheme="minorHAnsi"/>
          <w:sz w:val="24"/>
          <w:szCs w:val="24"/>
        </w:rPr>
        <w:t xml:space="preserve">under </w:t>
      </w:r>
      <w:r w:rsidR="007F52AB">
        <w:rPr>
          <w:rFonts w:cstheme="minorHAnsi"/>
          <w:sz w:val="24"/>
          <w:szCs w:val="24"/>
        </w:rPr>
        <w:t>the D</w:t>
      </w:r>
      <w:r w:rsidRPr="00A65930">
        <w:rPr>
          <w:rFonts w:cstheme="minorHAnsi"/>
          <w:sz w:val="24"/>
          <w:szCs w:val="24"/>
        </w:rPr>
        <w:t xml:space="preserve">ata </w:t>
      </w:r>
      <w:r w:rsidR="007F52AB">
        <w:rPr>
          <w:rFonts w:cstheme="minorHAnsi"/>
          <w:sz w:val="24"/>
          <w:szCs w:val="24"/>
        </w:rPr>
        <w:t>P</w:t>
      </w:r>
      <w:r w:rsidRPr="00A65930">
        <w:rPr>
          <w:rFonts w:cstheme="minorHAnsi"/>
          <w:sz w:val="24"/>
          <w:szCs w:val="24"/>
        </w:rPr>
        <w:t xml:space="preserve">rotection </w:t>
      </w:r>
      <w:r w:rsidR="007F52AB">
        <w:rPr>
          <w:rFonts w:cstheme="minorHAnsi"/>
          <w:sz w:val="24"/>
          <w:szCs w:val="24"/>
        </w:rPr>
        <w:t>L</w:t>
      </w:r>
      <w:r w:rsidRPr="00A65930">
        <w:rPr>
          <w:rFonts w:cstheme="minorHAnsi"/>
          <w:sz w:val="24"/>
          <w:szCs w:val="24"/>
        </w:rPr>
        <w:t>egislation. Those organisations may qualify as a controller, a</w:t>
      </w:r>
      <w:r w:rsidR="00914C3C" w:rsidRPr="00A65930">
        <w:rPr>
          <w:rFonts w:cstheme="minorHAnsi"/>
          <w:sz w:val="24"/>
          <w:szCs w:val="24"/>
        </w:rPr>
        <w:t xml:space="preserve"> </w:t>
      </w:r>
      <w:r w:rsidR="008C21BD" w:rsidRPr="00A65930">
        <w:rPr>
          <w:rFonts w:cstheme="minorHAnsi"/>
          <w:sz w:val="24"/>
          <w:szCs w:val="24"/>
        </w:rPr>
        <w:t xml:space="preserve">joint </w:t>
      </w:r>
      <w:r w:rsidR="00914C3C" w:rsidRPr="00A65930">
        <w:rPr>
          <w:rFonts w:cstheme="minorHAnsi"/>
          <w:sz w:val="24"/>
          <w:szCs w:val="24"/>
        </w:rPr>
        <w:t>controller</w:t>
      </w:r>
      <w:r w:rsidRPr="00A65930">
        <w:rPr>
          <w:rFonts w:cstheme="minorHAnsi"/>
          <w:sz w:val="24"/>
          <w:szCs w:val="24"/>
        </w:rPr>
        <w:t xml:space="preserve"> or a processor depending on their role in deciding why and how personal data are processed</w:t>
      </w:r>
      <w:r w:rsidR="00A65930" w:rsidRPr="00A65930">
        <w:rPr>
          <w:rFonts w:cstheme="minorHAnsi"/>
          <w:sz w:val="24"/>
          <w:szCs w:val="24"/>
        </w:rPr>
        <w:t xml:space="preserve"> in that data processing activity</w:t>
      </w:r>
      <w:r w:rsidR="00914C3C" w:rsidRPr="00A65930">
        <w:rPr>
          <w:rFonts w:cstheme="minorHAnsi"/>
          <w:sz w:val="24"/>
          <w:szCs w:val="24"/>
        </w:rPr>
        <w:t>.</w:t>
      </w:r>
      <w:bookmarkStart w:id="6" w:name="_Hlk78904215"/>
    </w:p>
    <w:p w14:paraId="7FC86756" w14:textId="143C4328" w:rsidR="00A65930" w:rsidRDefault="00A65930" w:rsidP="00914C3C">
      <w:pPr>
        <w:pStyle w:val="ListParagraph"/>
        <w:numPr>
          <w:ilvl w:val="0"/>
          <w:numId w:val="25"/>
        </w:numPr>
        <w:spacing w:before="240" w:after="120"/>
        <w:ind w:left="680" w:hanging="680"/>
        <w:contextualSpacing w:val="0"/>
        <w:rPr>
          <w:rFonts w:cstheme="minorHAnsi"/>
          <w:sz w:val="24"/>
          <w:szCs w:val="24"/>
        </w:rPr>
      </w:pPr>
      <w:r>
        <w:rPr>
          <w:rFonts w:cstheme="minorHAnsi"/>
          <w:sz w:val="24"/>
          <w:szCs w:val="24"/>
        </w:rPr>
        <w:lastRenderedPageBreak/>
        <w:t xml:space="preserve">Where the University processes personal data solely for the purposes of an external organisation, the primary responsibility for complying with </w:t>
      </w:r>
      <w:r w:rsidR="007F52AB">
        <w:rPr>
          <w:rFonts w:cstheme="minorHAnsi"/>
          <w:sz w:val="24"/>
          <w:szCs w:val="24"/>
        </w:rPr>
        <w:t>the D</w:t>
      </w:r>
      <w:r>
        <w:rPr>
          <w:rFonts w:cstheme="minorHAnsi"/>
          <w:sz w:val="24"/>
          <w:szCs w:val="24"/>
        </w:rPr>
        <w:t xml:space="preserve">ata </w:t>
      </w:r>
      <w:r w:rsidR="007F52AB">
        <w:rPr>
          <w:rFonts w:cstheme="minorHAnsi"/>
          <w:sz w:val="24"/>
          <w:szCs w:val="24"/>
        </w:rPr>
        <w:t>P</w:t>
      </w:r>
      <w:r>
        <w:rPr>
          <w:rFonts w:cstheme="minorHAnsi"/>
          <w:sz w:val="24"/>
          <w:szCs w:val="24"/>
        </w:rPr>
        <w:t xml:space="preserve">rotection </w:t>
      </w:r>
      <w:r w:rsidR="007F52AB">
        <w:rPr>
          <w:rFonts w:cstheme="minorHAnsi"/>
          <w:sz w:val="24"/>
          <w:szCs w:val="24"/>
        </w:rPr>
        <w:t>L</w:t>
      </w:r>
      <w:r>
        <w:rPr>
          <w:rFonts w:cstheme="minorHAnsi"/>
          <w:sz w:val="24"/>
          <w:szCs w:val="24"/>
        </w:rPr>
        <w:t xml:space="preserve">egislation lies with the external organisation as the controller. In those circumstances, the University functions as a processor and is responsible for the limited obligations placed on processors under </w:t>
      </w:r>
      <w:r w:rsidR="007F52AB">
        <w:rPr>
          <w:rFonts w:cstheme="minorHAnsi"/>
          <w:sz w:val="24"/>
          <w:szCs w:val="24"/>
        </w:rPr>
        <w:t>the D</w:t>
      </w:r>
      <w:r>
        <w:rPr>
          <w:rFonts w:cstheme="minorHAnsi"/>
          <w:sz w:val="24"/>
          <w:szCs w:val="24"/>
        </w:rPr>
        <w:t xml:space="preserve">ata </w:t>
      </w:r>
      <w:r w:rsidR="007F52AB">
        <w:rPr>
          <w:rFonts w:cstheme="minorHAnsi"/>
          <w:sz w:val="24"/>
          <w:szCs w:val="24"/>
        </w:rPr>
        <w:t>P</w:t>
      </w:r>
      <w:r>
        <w:rPr>
          <w:rFonts w:cstheme="minorHAnsi"/>
          <w:sz w:val="24"/>
          <w:szCs w:val="24"/>
        </w:rPr>
        <w:t xml:space="preserve">rotection </w:t>
      </w:r>
      <w:r w:rsidR="007F52AB">
        <w:rPr>
          <w:rFonts w:cstheme="minorHAnsi"/>
          <w:sz w:val="24"/>
          <w:szCs w:val="24"/>
        </w:rPr>
        <w:t>L</w:t>
      </w:r>
      <w:r>
        <w:rPr>
          <w:rFonts w:cstheme="minorHAnsi"/>
          <w:sz w:val="24"/>
          <w:szCs w:val="24"/>
        </w:rPr>
        <w:t>egislation.</w:t>
      </w:r>
    </w:p>
    <w:p w14:paraId="1C67EE99" w14:textId="53962BDD" w:rsidR="00A65930" w:rsidRDefault="00A65930" w:rsidP="00A65930">
      <w:pPr>
        <w:pStyle w:val="ListParagraph"/>
        <w:numPr>
          <w:ilvl w:val="0"/>
          <w:numId w:val="25"/>
        </w:numPr>
        <w:spacing w:before="240" w:after="120"/>
        <w:ind w:left="680" w:hanging="680"/>
        <w:contextualSpacing w:val="0"/>
        <w:rPr>
          <w:rFonts w:cstheme="minorHAnsi"/>
          <w:sz w:val="24"/>
          <w:szCs w:val="24"/>
        </w:rPr>
      </w:pPr>
      <w:r w:rsidRPr="008C21BD">
        <w:rPr>
          <w:rFonts w:cstheme="minorHAnsi"/>
          <w:sz w:val="24"/>
          <w:szCs w:val="24"/>
        </w:rPr>
        <w:t xml:space="preserve">Determining whether </w:t>
      </w:r>
      <w:r>
        <w:rPr>
          <w:rFonts w:cstheme="minorHAnsi"/>
          <w:sz w:val="24"/>
          <w:szCs w:val="24"/>
        </w:rPr>
        <w:t xml:space="preserve">the University </w:t>
      </w:r>
      <w:r w:rsidRPr="008C21BD">
        <w:rPr>
          <w:rFonts w:cstheme="minorHAnsi"/>
          <w:sz w:val="24"/>
          <w:szCs w:val="24"/>
        </w:rPr>
        <w:t>an</w:t>
      </w:r>
      <w:r>
        <w:rPr>
          <w:rFonts w:cstheme="minorHAnsi"/>
          <w:sz w:val="24"/>
          <w:szCs w:val="24"/>
        </w:rPr>
        <w:t>d</w:t>
      </w:r>
      <w:r w:rsidRPr="008C21BD">
        <w:rPr>
          <w:rFonts w:cstheme="minorHAnsi"/>
          <w:sz w:val="24"/>
          <w:szCs w:val="24"/>
        </w:rPr>
        <w:t xml:space="preserve"> external organisation</w:t>
      </w:r>
      <w:r>
        <w:rPr>
          <w:rFonts w:cstheme="minorHAnsi"/>
          <w:sz w:val="24"/>
          <w:szCs w:val="24"/>
        </w:rPr>
        <w:t>s</w:t>
      </w:r>
      <w:r w:rsidRPr="008C21BD">
        <w:rPr>
          <w:rFonts w:cstheme="minorHAnsi"/>
          <w:sz w:val="24"/>
          <w:szCs w:val="24"/>
        </w:rPr>
        <w:t xml:space="preserve"> qualif</w:t>
      </w:r>
      <w:r>
        <w:rPr>
          <w:rFonts w:cstheme="minorHAnsi"/>
          <w:sz w:val="24"/>
          <w:szCs w:val="24"/>
        </w:rPr>
        <w:t>y</w:t>
      </w:r>
      <w:r w:rsidRPr="008C21BD">
        <w:rPr>
          <w:rFonts w:cstheme="minorHAnsi"/>
          <w:sz w:val="24"/>
          <w:szCs w:val="24"/>
        </w:rPr>
        <w:t xml:space="preserve"> as </w:t>
      </w:r>
      <w:r w:rsidRPr="00914C3C">
        <w:rPr>
          <w:rFonts w:cstheme="minorHAnsi"/>
          <w:sz w:val="24"/>
          <w:szCs w:val="24"/>
        </w:rPr>
        <w:t>controller</w:t>
      </w:r>
      <w:r>
        <w:rPr>
          <w:rFonts w:cstheme="minorHAnsi"/>
          <w:sz w:val="24"/>
          <w:szCs w:val="24"/>
        </w:rPr>
        <w:t>s</w:t>
      </w:r>
      <w:r w:rsidRPr="00914C3C">
        <w:rPr>
          <w:rFonts w:cstheme="minorHAnsi"/>
          <w:sz w:val="24"/>
          <w:szCs w:val="24"/>
        </w:rPr>
        <w:t xml:space="preserve"> or processor</w:t>
      </w:r>
      <w:r>
        <w:rPr>
          <w:rFonts w:cstheme="minorHAnsi"/>
          <w:sz w:val="24"/>
          <w:szCs w:val="24"/>
        </w:rPr>
        <w:t>s</w:t>
      </w:r>
      <w:r w:rsidRPr="00914C3C">
        <w:rPr>
          <w:rFonts w:cstheme="minorHAnsi"/>
          <w:sz w:val="24"/>
          <w:szCs w:val="24"/>
        </w:rPr>
        <w:t>, and determining whether controllers are independe</w:t>
      </w:r>
      <w:r w:rsidRPr="008C21BD">
        <w:rPr>
          <w:rFonts w:cstheme="minorHAnsi"/>
          <w:sz w:val="24"/>
          <w:szCs w:val="24"/>
        </w:rPr>
        <w:t xml:space="preserve">ntly or jointly responsible for data protection compliance, can be complex. Guidance on the factors that should be taken into account when deciding data </w:t>
      </w:r>
      <w:r w:rsidRPr="00C57921">
        <w:rPr>
          <w:rFonts w:cstheme="minorHAnsi"/>
          <w:sz w:val="24"/>
          <w:szCs w:val="24"/>
        </w:rPr>
        <w:t>protection roles is available from the DPO</w:t>
      </w:r>
      <w:r>
        <w:rPr>
          <w:rFonts w:cstheme="minorHAnsi"/>
          <w:sz w:val="24"/>
          <w:szCs w:val="24"/>
        </w:rPr>
        <w:t>.</w:t>
      </w:r>
      <w:bookmarkEnd w:id="6"/>
    </w:p>
    <w:p w14:paraId="71F6317A" w14:textId="7A24B638" w:rsidR="006525BE" w:rsidRPr="006525BE" w:rsidRDefault="006525BE" w:rsidP="00D31D7F">
      <w:pPr>
        <w:pStyle w:val="Heading2"/>
        <w:ind w:left="709" w:firstLine="0"/>
        <w:rPr>
          <w:rFonts w:cstheme="minorHAnsi"/>
          <w:szCs w:val="24"/>
        </w:rPr>
      </w:pPr>
      <w:bookmarkStart w:id="7" w:name="_Toc78902233"/>
      <w:r w:rsidRPr="006525BE">
        <w:rPr>
          <w:rFonts w:cstheme="minorHAnsi"/>
          <w:szCs w:val="24"/>
        </w:rPr>
        <w:t>Lawful bases for processing personal data</w:t>
      </w:r>
      <w:bookmarkEnd w:id="7"/>
    </w:p>
    <w:p w14:paraId="0CD4FD06"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requires that personal data shall be processed only if one or more of the following conditions apply. (Note that the conditions are not ranked in order of importance or relevance to the University.)</w:t>
      </w:r>
    </w:p>
    <w:p w14:paraId="61FB91A4" w14:textId="78407D73"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Article 6</w:t>
      </w:r>
      <w:r w:rsidR="00A65930">
        <w:rPr>
          <w:rFonts w:cstheme="minorHAnsi"/>
          <w:sz w:val="24"/>
          <w:szCs w:val="24"/>
        </w:rPr>
        <w:t>(</w:t>
      </w:r>
      <w:r w:rsidRPr="006525BE">
        <w:rPr>
          <w:rFonts w:cstheme="minorHAnsi"/>
          <w:sz w:val="24"/>
          <w:szCs w:val="24"/>
        </w:rPr>
        <w:t>1</w:t>
      </w:r>
      <w:r w:rsidR="00A65930">
        <w:rPr>
          <w:rFonts w:cstheme="minorHAnsi"/>
          <w:sz w:val="24"/>
          <w:szCs w:val="24"/>
        </w:rPr>
        <w:t>)</w:t>
      </w:r>
      <w:r w:rsidRPr="006525BE">
        <w:rPr>
          <w:rFonts w:cstheme="minorHAnsi"/>
          <w:sz w:val="24"/>
          <w:szCs w:val="24"/>
        </w:rPr>
        <w:t xml:space="preserve">(a): </w:t>
      </w:r>
      <w:r w:rsidRPr="006525BE">
        <w:rPr>
          <w:rFonts w:cstheme="minorHAnsi"/>
          <w:b/>
          <w:bCs/>
          <w:sz w:val="24"/>
          <w:szCs w:val="24"/>
        </w:rPr>
        <w:t>Consent</w:t>
      </w:r>
    </w:p>
    <w:p w14:paraId="0B0F1ED7"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The data subject has given consent to the processing of their personal data for one or more specific purposes.</w:t>
      </w:r>
    </w:p>
    <w:p w14:paraId="5E1EE4E9" w14:textId="04A27683"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Article 6</w:t>
      </w:r>
      <w:r w:rsidR="00A65930">
        <w:rPr>
          <w:rFonts w:cstheme="minorHAnsi"/>
          <w:sz w:val="24"/>
          <w:szCs w:val="24"/>
        </w:rPr>
        <w:t>(</w:t>
      </w:r>
      <w:r w:rsidR="00A65930" w:rsidRPr="006525BE">
        <w:rPr>
          <w:rFonts w:cstheme="minorHAnsi"/>
          <w:sz w:val="24"/>
          <w:szCs w:val="24"/>
        </w:rPr>
        <w:t>1</w:t>
      </w:r>
      <w:r w:rsidR="00A65930">
        <w:rPr>
          <w:rFonts w:cstheme="minorHAnsi"/>
          <w:sz w:val="24"/>
          <w:szCs w:val="24"/>
        </w:rPr>
        <w:t>)</w:t>
      </w:r>
      <w:r w:rsidRPr="006525BE">
        <w:rPr>
          <w:rFonts w:cstheme="minorHAnsi"/>
          <w:sz w:val="24"/>
          <w:szCs w:val="24"/>
        </w:rPr>
        <w:t xml:space="preserve">(b): </w:t>
      </w:r>
      <w:r w:rsidRPr="006525BE">
        <w:rPr>
          <w:rFonts w:cstheme="minorHAnsi"/>
          <w:b/>
          <w:bCs/>
          <w:sz w:val="24"/>
          <w:szCs w:val="24"/>
        </w:rPr>
        <w:t>Contract</w:t>
      </w:r>
    </w:p>
    <w:p w14:paraId="6240B16F"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Processing is necessary for the performance of a contract to which the data subject is a party or to take steps at the request of the data subject prior to entering into a contract.</w:t>
      </w:r>
    </w:p>
    <w:p w14:paraId="66E3D3A7" w14:textId="158B9CE4"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Article 6</w:t>
      </w:r>
      <w:r w:rsidR="00A65930">
        <w:rPr>
          <w:rFonts w:cstheme="minorHAnsi"/>
          <w:sz w:val="24"/>
          <w:szCs w:val="24"/>
        </w:rPr>
        <w:t>(</w:t>
      </w:r>
      <w:r w:rsidR="00A65930" w:rsidRPr="006525BE">
        <w:rPr>
          <w:rFonts w:cstheme="minorHAnsi"/>
          <w:sz w:val="24"/>
          <w:szCs w:val="24"/>
        </w:rPr>
        <w:t>1</w:t>
      </w:r>
      <w:r w:rsidR="00A65930">
        <w:rPr>
          <w:rFonts w:cstheme="minorHAnsi"/>
          <w:sz w:val="24"/>
          <w:szCs w:val="24"/>
        </w:rPr>
        <w:t>)</w:t>
      </w:r>
      <w:r w:rsidRPr="006525BE">
        <w:rPr>
          <w:rFonts w:cstheme="minorHAnsi"/>
          <w:sz w:val="24"/>
          <w:szCs w:val="24"/>
        </w:rPr>
        <w:t xml:space="preserve">(c): </w:t>
      </w:r>
      <w:r w:rsidRPr="006525BE">
        <w:rPr>
          <w:rFonts w:cstheme="minorHAnsi"/>
          <w:b/>
          <w:bCs/>
          <w:sz w:val="24"/>
          <w:szCs w:val="24"/>
        </w:rPr>
        <w:t>Legal obligation</w:t>
      </w:r>
    </w:p>
    <w:p w14:paraId="4D3B8FD3"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Processing is necessary for compliance with a legal obligation to which the controller is subject.</w:t>
      </w:r>
    </w:p>
    <w:p w14:paraId="6122D5CE" w14:textId="5AEA12F5"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Article 6</w:t>
      </w:r>
      <w:r w:rsidR="00A65930">
        <w:rPr>
          <w:rFonts w:cstheme="minorHAnsi"/>
          <w:sz w:val="24"/>
          <w:szCs w:val="24"/>
        </w:rPr>
        <w:t>(</w:t>
      </w:r>
      <w:r w:rsidR="00A65930" w:rsidRPr="006525BE">
        <w:rPr>
          <w:rFonts w:cstheme="minorHAnsi"/>
          <w:sz w:val="24"/>
          <w:szCs w:val="24"/>
        </w:rPr>
        <w:t>1</w:t>
      </w:r>
      <w:r w:rsidR="00A65930">
        <w:rPr>
          <w:rFonts w:cstheme="minorHAnsi"/>
          <w:sz w:val="24"/>
          <w:szCs w:val="24"/>
        </w:rPr>
        <w:t>)</w:t>
      </w:r>
      <w:r w:rsidRPr="006525BE">
        <w:rPr>
          <w:rFonts w:cstheme="minorHAnsi"/>
          <w:sz w:val="24"/>
          <w:szCs w:val="24"/>
        </w:rPr>
        <w:t xml:space="preserve">(d): </w:t>
      </w:r>
      <w:r w:rsidRPr="006525BE">
        <w:rPr>
          <w:rFonts w:cstheme="minorHAnsi"/>
          <w:b/>
          <w:bCs/>
          <w:sz w:val="24"/>
          <w:szCs w:val="24"/>
        </w:rPr>
        <w:t>Vital interests</w:t>
      </w:r>
    </w:p>
    <w:p w14:paraId="107137A7"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Processing is necessary to protect the vital interests of the data subject or of another natural person.</w:t>
      </w:r>
    </w:p>
    <w:p w14:paraId="6270AB40" w14:textId="2D23107F"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Article 6</w:t>
      </w:r>
      <w:r w:rsidR="00A65930">
        <w:rPr>
          <w:rFonts w:cstheme="minorHAnsi"/>
          <w:sz w:val="24"/>
          <w:szCs w:val="24"/>
        </w:rPr>
        <w:t>(</w:t>
      </w:r>
      <w:r w:rsidR="00A65930" w:rsidRPr="006525BE">
        <w:rPr>
          <w:rFonts w:cstheme="minorHAnsi"/>
          <w:sz w:val="24"/>
          <w:szCs w:val="24"/>
        </w:rPr>
        <w:t>1</w:t>
      </w:r>
      <w:r w:rsidR="00A65930">
        <w:rPr>
          <w:rFonts w:cstheme="minorHAnsi"/>
          <w:sz w:val="24"/>
          <w:szCs w:val="24"/>
        </w:rPr>
        <w:t>)</w:t>
      </w:r>
      <w:r w:rsidRPr="006525BE">
        <w:rPr>
          <w:rFonts w:cstheme="minorHAnsi"/>
          <w:sz w:val="24"/>
          <w:szCs w:val="24"/>
        </w:rPr>
        <w:t xml:space="preserve">(e): </w:t>
      </w:r>
      <w:r w:rsidRPr="006525BE">
        <w:rPr>
          <w:rFonts w:cstheme="minorHAnsi"/>
          <w:b/>
          <w:bCs/>
          <w:sz w:val="24"/>
          <w:szCs w:val="24"/>
        </w:rPr>
        <w:t>Public task</w:t>
      </w:r>
    </w:p>
    <w:p w14:paraId="1766AF30"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Processing is necessary for the performance of a task carried out in the public interest or in the exercise of official authority vested in the controller</w:t>
      </w:r>
    </w:p>
    <w:p w14:paraId="595B7E5B" w14:textId="7622831B"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Article 6</w:t>
      </w:r>
      <w:r w:rsidR="00A65930">
        <w:rPr>
          <w:rFonts w:cstheme="minorHAnsi"/>
          <w:sz w:val="24"/>
          <w:szCs w:val="24"/>
        </w:rPr>
        <w:t>(</w:t>
      </w:r>
      <w:r w:rsidR="00A65930" w:rsidRPr="006525BE">
        <w:rPr>
          <w:rFonts w:cstheme="minorHAnsi"/>
          <w:sz w:val="24"/>
          <w:szCs w:val="24"/>
        </w:rPr>
        <w:t>1</w:t>
      </w:r>
      <w:r w:rsidR="00A65930">
        <w:rPr>
          <w:rFonts w:cstheme="minorHAnsi"/>
          <w:sz w:val="24"/>
          <w:szCs w:val="24"/>
        </w:rPr>
        <w:t>)</w:t>
      </w:r>
      <w:r w:rsidRPr="006525BE">
        <w:rPr>
          <w:rFonts w:cstheme="minorHAnsi"/>
          <w:sz w:val="24"/>
          <w:szCs w:val="24"/>
        </w:rPr>
        <w:t xml:space="preserve">(f): </w:t>
      </w:r>
      <w:r w:rsidRPr="006525BE">
        <w:rPr>
          <w:rFonts w:cstheme="minorHAnsi"/>
          <w:b/>
          <w:bCs/>
          <w:sz w:val="24"/>
          <w:szCs w:val="24"/>
        </w:rPr>
        <w:t>Legitimate interests</w:t>
      </w:r>
    </w:p>
    <w:p w14:paraId="260B528F" w14:textId="77777777"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B6B0833" w14:textId="38DC63E1" w:rsidR="006525BE" w:rsidRPr="006525BE" w:rsidRDefault="006525BE" w:rsidP="00CC4F12">
      <w:pPr>
        <w:pStyle w:val="NoSpacing"/>
        <w:spacing w:after="120"/>
        <w:ind w:left="709" w:firstLine="0"/>
        <w:rPr>
          <w:rFonts w:cstheme="minorHAnsi"/>
          <w:sz w:val="24"/>
          <w:szCs w:val="24"/>
        </w:rPr>
      </w:pPr>
      <w:r w:rsidRPr="006525BE">
        <w:rPr>
          <w:rFonts w:cstheme="minorHAnsi"/>
          <w:sz w:val="24"/>
          <w:szCs w:val="24"/>
        </w:rPr>
        <w:t xml:space="preserve">For guidance on the scope of each of the six conditions, see the </w:t>
      </w:r>
      <w:hyperlink r:id="rId11" w:anchor="panel8788" w:history="1">
        <w:r w:rsidRPr="006525BE">
          <w:rPr>
            <w:rStyle w:val="Hyperlink"/>
            <w:rFonts w:cstheme="minorHAnsi"/>
            <w:sz w:val="24"/>
            <w:szCs w:val="24"/>
          </w:rPr>
          <w:t>StaffNet Data Protection page on Lawful Basis</w:t>
        </w:r>
      </w:hyperlink>
      <w:r w:rsidRPr="006525BE">
        <w:rPr>
          <w:rFonts w:cstheme="minorHAnsi"/>
          <w:sz w:val="24"/>
          <w:szCs w:val="24"/>
        </w:rPr>
        <w:t>.</w:t>
      </w:r>
    </w:p>
    <w:p w14:paraId="7426549B"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A record of the conditions on which the University relies to process personal data shall be maintained by the DPO. Heads of School / Directors shall assist the DPO to maintain </w:t>
      </w:r>
      <w:r w:rsidRPr="006525BE">
        <w:rPr>
          <w:rFonts w:cstheme="minorHAnsi"/>
          <w:sz w:val="24"/>
          <w:szCs w:val="24"/>
        </w:rPr>
        <w:lastRenderedPageBreak/>
        <w:t>an accurate and up-to-date record of the lawful basis for data processing activities in their area of responsibility.</w:t>
      </w:r>
    </w:p>
    <w:p w14:paraId="7D88B478" w14:textId="6158D29E"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Routine processing of the personal data of applicants to study, students, alumni, applicant for posts, staff, former staff and research participants as part of the University’s core teaching, research and administrative tasks is likely to be lawful under conditions (b), (c) and/or (e). Many of the University’s data processing activities will be covered by these conditions.</w:t>
      </w:r>
    </w:p>
    <w:p w14:paraId="00804AAC" w14:textId="255871DA"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Where no contractual relationship exists between the University and the data subject, and there is no identified statutory or regulatory power or obligation to process personal data, staff shall ensure there is a lawful basis under </w:t>
      </w:r>
      <w:r w:rsidR="007F52AB">
        <w:rPr>
          <w:rFonts w:cstheme="minorHAnsi"/>
          <w:sz w:val="24"/>
          <w:szCs w:val="24"/>
        </w:rPr>
        <w:t>the D</w:t>
      </w:r>
      <w:r w:rsidRPr="006525BE">
        <w:rPr>
          <w:rFonts w:cstheme="minorHAnsi"/>
          <w:sz w:val="24"/>
          <w:szCs w:val="24"/>
        </w:rPr>
        <w:t xml:space="preserve">ata </w:t>
      </w:r>
      <w:r w:rsidR="007F52AB">
        <w:rPr>
          <w:rFonts w:cstheme="minorHAnsi"/>
          <w:sz w:val="24"/>
          <w:szCs w:val="24"/>
        </w:rPr>
        <w:t>P</w:t>
      </w:r>
      <w:r w:rsidRPr="006525BE">
        <w:rPr>
          <w:rFonts w:cstheme="minorHAnsi"/>
          <w:sz w:val="24"/>
          <w:szCs w:val="24"/>
        </w:rPr>
        <w:t xml:space="preserve">rotection </w:t>
      </w:r>
      <w:r w:rsidR="007F52AB">
        <w:rPr>
          <w:rFonts w:cstheme="minorHAnsi"/>
          <w:sz w:val="24"/>
          <w:szCs w:val="24"/>
        </w:rPr>
        <w:t>L</w:t>
      </w:r>
      <w:r w:rsidRPr="006525BE">
        <w:rPr>
          <w:rFonts w:cstheme="minorHAnsi"/>
          <w:sz w:val="24"/>
          <w:szCs w:val="24"/>
        </w:rPr>
        <w:t>egislation for their processing of personal data. Guidance on the lawful basis in particular circumstances is available from the DPO.</w:t>
      </w:r>
    </w:p>
    <w:p w14:paraId="54BD4B53" w14:textId="1F0002B4"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In cases where the University relies on consent of the data subject to process personal data, condition (a), staff shall keep an appropriate record of consent. The UK GDPR sets a high standard for obtaining, recording and refreshing consent. For guidance on the requirements, see</w:t>
      </w:r>
      <w:r w:rsidR="00231F72">
        <w:rPr>
          <w:rFonts w:cstheme="minorHAnsi"/>
          <w:sz w:val="24"/>
          <w:szCs w:val="24"/>
        </w:rPr>
        <w:t xml:space="preserve"> </w:t>
      </w:r>
      <w:r w:rsidRPr="006525BE">
        <w:rPr>
          <w:rFonts w:cstheme="minorHAnsi"/>
          <w:sz w:val="24"/>
          <w:szCs w:val="24"/>
        </w:rPr>
        <w:t xml:space="preserve">the </w:t>
      </w:r>
      <w:hyperlink r:id="rId12" w:anchor="panel8787" w:history="1">
        <w:r w:rsidRPr="00231F72">
          <w:rPr>
            <w:rStyle w:val="Hyperlink"/>
            <w:sz w:val="24"/>
            <w:szCs w:val="24"/>
          </w:rPr>
          <w:t>StaffNet Data Protection page on consent</w:t>
        </w:r>
      </w:hyperlink>
      <w:r w:rsidRPr="00231F72">
        <w:rPr>
          <w:rFonts w:cstheme="minorHAnsi"/>
          <w:sz w:val="24"/>
          <w:szCs w:val="24"/>
        </w:rPr>
        <w:t>. D</w:t>
      </w:r>
      <w:r w:rsidRPr="006525BE">
        <w:rPr>
          <w:rFonts w:cstheme="minorHAnsi"/>
          <w:sz w:val="24"/>
          <w:szCs w:val="24"/>
        </w:rPr>
        <w:t>PO advice is strongly recommended before embarking on new data processing activities based on this condition.</w:t>
      </w:r>
    </w:p>
    <w:p w14:paraId="7CFF9ABF" w14:textId="1427B8F1"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scope of the legitimate interests condition, condition (f) is limited to data processing activities that do not form part of the University’s core teaching, research and administrative tasks. In cases where this condition will be relied on to provide the lawful basis for processing, users shall undertake a ‘legitimate interests assessment’ before commencing any new data processing activities. Any legitimate interests assessment shall involve consultation with the DPO.</w:t>
      </w:r>
    </w:p>
    <w:p w14:paraId="74E096C2" w14:textId="77777777" w:rsidR="006525BE" w:rsidRPr="006525BE" w:rsidRDefault="006525BE" w:rsidP="00D31D7F">
      <w:pPr>
        <w:pStyle w:val="Heading2"/>
        <w:ind w:left="709" w:firstLine="0"/>
        <w:rPr>
          <w:rFonts w:cstheme="minorHAnsi"/>
          <w:szCs w:val="24"/>
        </w:rPr>
      </w:pPr>
      <w:bookmarkStart w:id="8" w:name="_Toc78902234"/>
      <w:r w:rsidRPr="006525BE">
        <w:rPr>
          <w:rFonts w:cstheme="minorHAnsi"/>
          <w:szCs w:val="24"/>
        </w:rPr>
        <w:t>Requirements for special categories of personal data and criminal offence data</w:t>
      </w:r>
      <w:bookmarkEnd w:id="8"/>
    </w:p>
    <w:p w14:paraId="6704769A" w14:textId="58607932"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and the DPA prohibit any processing of special categories of personal data or criminal offence data unless there is a relevant exemption for the activity. An exemption is required in addition to a lawful basis for processing</w:t>
      </w:r>
      <w:r w:rsidR="00AA5322">
        <w:rPr>
          <w:rFonts w:cstheme="minorHAnsi"/>
          <w:sz w:val="24"/>
          <w:szCs w:val="24"/>
        </w:rPr>
        <w:t>.</w:t>
      </w:r>
    </w:p>
    <w:p w14:paraId="3146E1F7" w14:textId="07AEF29B"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following types of personal data are classified as ‘special categories’ :</w:t>
      </w:r>
    </w:p>
    <w:p w14:paraId="0757896A" w14:textId="77777777"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Personal data revealing a person's racial or ethnic origin</w:t>
      </w:r>
    </w:p>
    <w:p w14:paraId="443F6254" w14:textId="77777777"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Personal data revealing a person's political opinions</w:t>
      </w:r>
    </w:p>
    <w:p w14:paraId="4EABFA8B" w14:textId="77777777"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Personal data revealing a person's religious or philosophical beliefs</w:t>
      </w:r>
    </w:p>
    <w:p w14:paraId="36B79205" w14:textId="77777777"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Personal data revealing a person's trade union membership</w:t>
      </w:r>
    </w:p>
    <w:p w14:paraId="3B699665" w14:textId="3FCB56DF"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 xml:space="preserve">Genetic data (see the </w:t>
      </w:r>
      <w:hyperlink w:anchor="_Glossary_of_data" w:history="1">
        <w:r w:rsidRPr="006525BE">
          <w:rPr>
            <w:rStyle w:val="Hyperlink"/>
            <w:rFonts w:asciiTheme="minorHAnsi" w:hAnsiTheme="minorHAnsi" w:cstheme="minorHAnsi"/>
            <w:szCs w:val="24"/>
          </w:rPr>
          <w:t>Glossar</w:t>
        </w:r>
        <w:r w:rsidR="00231F72">
          <w:rPr>
            <w:rStyle w:val="Hyperlink"/>
            <w:rFonts w:asciiTheme="minorHAnsi" w:hAnsiTheme="minorHAnsi" w:cstheme="minorHAnsi"/>
            <w:szCs w:val="24"/>
          </w:rPr>
          <w:t>y at the end of this polic</w:t>
        </w:r>
        <w:r w:rsidRPr="006525BE">
          <w:rPr>
            <w:rStyle w:val="Hyperlink"/>
            <w:rFonts w:asciiTheme="minorHAnsi" w:hAnsiTheme="minorHAnsi" w:cstheme="minorHAnsi"/>
            <w:szCs w:val="24"/>
          </w:rPr>
          <w:t>y</w:t>
        </w:r>
      </w:hyperlink>
      <w:r w:rsidRPr="006525BE">
        <w:rPr>
          <w:rFonts w:asciiTheme="minorHAnsi" w:hAnsiTheme="minorHAnsi" w:cstheme="minorHAnsi"/>
          <w:szCs w:val="24"/>
        </w:rPr>
        <w:t>)</w:t>
      </w:r>
    </w:p>
    <w:p w14:paraId="5CBB6C98" w14:textId="606E8470"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 xml:space="preserve">Biometric data processed for the purpose of uniquely identifying a person (see the </w:t>
      </w:r>
      <w:hyperlink w:anchor="_Glossary_of_data" w:history="1">
        <w:r w:rsidRPr="006525BE">
          <w:rPr>
            <w:rStyle w:val="Hyperlink"/>
            <w:rFonts w:asciiTheme="minorHAnsi" w:hAnsiTheme="minorHAnsi" w:cstheme="minorHAnsi"/>
            <w:szCs w:val="24"/>
          </w:rPr>
          <w:t>Glossar</w:t>
        </w:r>
        <w:r w:rsidR="00231F72">
          <w:rPr>
            <w:rStyle w:val="Hyperlink"/>
            <w:rFonts w:asciiTheme="minorHAnsi" w:hAnsiTheme="minorHAnsi" w:cstheme="minorHAnsi"/>
            <w:szCs w:val="24"/>
          </w:rPr>
          <w:t>y at the end of this polic</w:t>
        </w:r>
        <w:r w:rsidRPr="006525BE">
          <w:rPr>
            <w:rStyle w:val="Hyperlink"/>
            <w:rFonts w:asciiTheme="minorHAnsi" w:hAnsiTheme="minorHAnsi" w:cstheme="minorHAnsi"/>
            <w:szCs w:val="24"/>
          </w:rPr>
          <w:t>y</w:t>
        </w:r>
      </w:hyperlink>
      <w:r w:rsidRPr="006525BE">
        <w:rPr>
          <w:rFonts w:asciiTheme="minorHAnsi" w:hAnsiTheme="minorHAnsi" w:cstheme="minorHAnsi"/>
          <w:szCs w:val="24"/>
        </w:rPr>
        <w:t>)</w:t>
      </w:r>
    </w:p>
    <w:p w14:paraId="1D41DD23" w14:textId="77777777"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Personal data concerning a person's health</w:t>
      </w:r>
    </w:p>
    <w:p w14:paraId="02CD39FF" w14:textId="77777777"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t>Personal data concerning a person's sex life</w:t>
      </w:r>
    </w:p>
    <w:p w14:paraId="16369A8B" w14:textId="77777777" w:rsidR="006525BE" w:rsidRPr="006525BE" w:rsidRDefault="006525BE" w:rsidP="006525BE">
      <w:pPr>
        <w:pStyle w:val="ListBullet"/>
        <w:ind w:left="1134" w:hanging="425"/>
        <w:rPr>
          <w:rFonts w:asciiTheme="minorHAnsi" w:hAnsiTheme="minorHAnsi" w:cstheme="minorHAnsi"/>
          <w:color w:val="000000"/>
          <w:szCs w:val="24"/>
        </w:rPr>
      </w:pPr>
      <w:r w:rsidRPr="006525BE">
        <w:rPr>
          <w:rFonts w:asciiTheme="minorHAnsi" w:hAnsiTheme="minorHAnsi" w:cstheme="minorHAnsi"/>
          <w:szCs w:val="24"/>
        </w:rPr>
        <w:lastRenderedPageBreak/>
        <w:t>Personal data concerning a person’s sexual orientation</w:t>
      </w:r>
    </w:p>
    <w:p w14:paraId="47D39519" w14:textId="306E707C" w:rsidR="006525BE" w:rsidRPr="006525BE" w:rsidRDefault="006525BE" w:rsidP="006525BE">
      <w:pPr>
        <w:pStyle w:val="ListParagraph"/>
        <w:numPr>
          <w:ilvl w:val="0"/>
          <w:numId w:val="25"/>
        </w:numPr>
        <w:spacing w:before="240" w:after="120"/>
        <w:ind w:left="680" w:hanging="680"/>
        <w:contextualSpacing w:val="0"/>
        <w:rPr>
          <w:rFonts w:cstheme="minorHAnsi"/>
          <w:color w:val="000000"/>
          <w:sz w:val="24"/>
          <w:szCs w:val="24"/>
        </w:rPr>
      </w:pPr>
      <w:r w:rsidRPr="006525BE">
        <w:rPr>
          <w:rFonts w:cstheme="minorHAnsi"/>
          <w:sz w:val="24"/>
          <w:szCs w:val="24"/>
        </w:rPr>
        <w:t xml:space="preserve">Criminal offence data is personal data that relates to criminal convictions and penalties, allegations of criminal activity, investigation of allegations and criminal justice proceedings. It covers personal data of victims and witnesses of crime as well as of offenders and suspects. </w:t>
      </w:r>
    </w:p>
    <w:p w14:paraId="1B0BBF52" w14:textId="069FD00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exemptions permitting special categories of personal data to be processed are complex. Guidance on exemptions that may apply to new processing activities is available from the DPO.</w:t>
      </w:r>
    </w:p>
    <w:p w14:paraId="2CB75B19"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A record of the additional conditions on which the University relies to process special categories of personal data shall be maintained by the DPO. Heads of School / Directors shall assist the DPO to maintain an accurate and up-to-date record of the conditions for relevant data processing activities in their area of responsibility.</w:t>
      </w:r>
    </w:p>
    <w:p w14:paraId="112E8B4D" w14:textId="7D0AD156"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DPA requires any data processing involving special categories of personal data to be documented in an A</w:t>
      </w:r>
      <w:r w:rsidR="00AA5322">
        <w:rPr>
          <w:rFonts w:cstheme="minorHAnsi"/>
          <w:sz w:val="24"/>
          <w:szCs w:val="24"/>
        </w:rPr>
        <w:t>ppropriate</w:t>
      </w:r>
      <w:r w:rsidRPr="006525BE">
        <w:rPr>
          <w:rFonts w:cstheme="minorHAnsi"/>
          <w:sz w:val="24"/>
          <w:szCs w:val="24"/>
        </w:rPr>
        <w:t xml:space="preserve"> Policy Document. The DPO shall maintain the A</w:t>
      </w:r>
      <w:r w:rsidR="00AA5322">
        <w:rPr>
          <w:rFonts w:cstheme="minorHAnsi"/>
          <w:sz w:val="24"/>
          <w:szCs w:val="24"/>
        </w:rPr>
        <w:t>ppropriate</w:t>
      </w:r>
      <w:r w:rsidRPr="006525BE">
        <w:rPr>
          <w:rFonts w:cstheme="minorHAnsi"/>
          <w:sz w:val="24"/>
          <w:szCs w:val="24"/>
        </w:rPr>
        <w:t xml:space="preserve"> Policy Document(s) for the University’s activities as a controller as part of the University’s Record of Processing Activities.</w:t>
      </w:r>
    </w:p>
    <w:p w14:paraId="41A2CBCF" w14:textId="77777777" w:rsidR="006525BE" w:rsidRPr="006525BE" w:rsidRDefault="006525BE" w:rsidP="00D31D7F">
      <w:pPr>
        <w:pStyle w:val="Heading2"/>
        <w:ind w:left="709" w:firstLine="0"/>
        <w:rPr>
          <w:rFonts w:cstheme="minorHAnsi"/>
          <w:szCs w:val="24"/>
        </w:rPr>
      </w:pPr>
      <w:bookmarkStart w:id="9" w:name="_Toc78902235"/>
      <w:r w:rsidRPr="006525BE">
        <w:rPr>
          <w:rFonts w:cstheme="minorHAnsi"/>
          <w:szCs w:val="24"/>
        </w:rPr>
        <w:t>Requirements for processing personal data of vulnerable people</w:t>
      </w:r>
      <w:bookmarkEnd w:id="9"/>
    </w:p>
    <w:p w14:paraId="1D719EF1" w14:textId="77777777" w:rsidR="006525BE" w:rsidRPr="006525BE" w:rsidRDefault="006525BE" w:rsidP="00E57A79">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People who are unable to easily consent to, or oppose, the way their personal data is processed because of a power imbalance between them and the University are considered vulnerable in data protection terms. Vulnerable people may include staff and students who are dependent on the University for their employment or academic award as well as children and ill people who lack the capacity to exercise their privacy rights knowingly.</w:t>
      </w:r>
    </w:p>
    <w:p w14:paraId="2AEB35C1" w14:textId="7A8DAC96"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Collection and use of personal data of vulnerable people is an indicator of a potential high-risk processing activity. Staff shall note the groups classed as vulnerable when assessing whether a data protection impact assessment</w:t>
      </w:r>
      <w:r w:rsidR="00C4516C">
        <w:rPr>
          <w:rFonts w:cstheme="minorHAnsi"/>
          <w:sz w:val="24"/>
          <w:szCs w:val="24"/>
        </w:rPr>
        <w:t xml:space="preserve"> (DPIA)</w:t>
      </w:r>
      <w:r w:rsidRPr="006525BE">
        <w:rPr>
          <w:rFonts w:cstheme="minorHAnsi"/>
          <w:sz w:val="24"/>
          <w:szCs w:val="24"/>
        </w:rPr>
        <w:t xml:space="preserve"> is required for any new processing activity. See the </w:t>
      </w:r>
      <w:hyperlink w:anchor="_Technical,_organisational_and" w:history="1">
        <w:r w:rsidRPr="006525BE">
          <w:rPr>
            <w:rStyle w:val="Hyperlink"/>
            <w:rFonts w:cstheme="minorHAnsi"/>
            <w:sz w:val="24"/>
            <w:szCs w:val="24"/>
          </w:rPr>
          <w:t>section on Technical, organisational and security measures</w:t>
        </w:r>
      </w:hyperlink>
      <w:r w:rsidRPr="006525BE">
        <w:rPr>
          <w:rFonts w:cstheme="minorHAnsi"/>
          <w:sz w:val="24"/>
          <w:szCs w:val="24"/>
        </w:rPr>
        <w:t xml:space="preserve"> for further details on data protection impact assessments.</w:t>
      </w:r>
    </w:p>
    <w:p w14:paraId="1C79FB6A" w14:textId="73BDD2F9"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 Age Appropriate Design </w:t>
      </w:r>
      <w:r w:rsidR="009D2E1A">
        <w:rPr>
          <w:rFonts w:cstheme="minorHAnsi"/>
          <w:sz w:val="24"/>
          <w:szCs w:val="24"/>
        </w:rPr>
        <w:t>C</w:t>
      </w:r>
      <w:r w:rsidRPr="006525BE">
        <w:rPr>
          <w:rFonts w:cstheme="minorHAnsi"/>
          <w:sz w:val="24"/>
          <w:szCs w:val="24"/>
        </w:rPr>
        <w:t>ode</w:t>
      </w:r>
      <w:r w:rsidR="00A36756">
        <w:rPr>
          <w:rFonts w:cstheme="minorHAnsi"/>
          <w:sz w:val="24"/>
          <w:szCs w:val="24"/>
        </w:rPr>
        <w:t xml:space="preserve">, also known as </w:t>
      </w:r>
      <w:r w:rsidR="00BD69F9">
        <w:rPr>
          <w:rFonts w:cstheme="minorHAnsi"/>
          <w:sz w:val="24"/>
          <w:szCs w:val="24"/>
        </w:rPr>
        <w:t>The Children</w:t>
      </w:r>
      <w:r w:rsidR="004F4D37">
        <w:rPr>
          <w:rFonts w:cstheme="minorHAnsi"/>
          <w:sz w:val="24"/>
          <w:szCs w:val="24"/>
        </w:rPr>
        <w:t>’</w:t>
      </w:r>
      <w:r w:rsidR="00BD69F9">
        <w:rPr>
          <w:rFonts w:cstheme="minorHAnsi"/>
          <w:sz w:val="24"/>
          <w:szCs w:val="24"/>
        </w:rPr>
        <w:t xml:space="preserve">s </w:t>
      </w:r>
      <w:r w:rsidR="00977AC4">
        <w:rPr>
          <w:rFonts w:cstheme="minorHAnsi"/>
          <w:sz w:val="24"/>
          <w:szCs w:val="24"/>
        </w:rPr>
        <w:t xml:space="preserve">Code, </w:t>
      </w:r>
      <w:r w:rsidR="00977AC4" w:rsidRPr="006525BE">
        <w:rPr>
          <w:rFonts w:cstheme="minorHAnsi"/>
          <w:sz w:val="24"/>
          <w:szCs w:val="24"/>
        </w:rPr>
        <w:t>specifies</w:t>
      </w:r>
      <w:r w:rsidRPr="006525BE">
        <w:rPr>
          <w:rFonts w:cstheme="minorHAnsi"/>
          <w:sz w:val="24"/>
          <w:szCs w:val="24"/>
        </w:rPr>
        <w:t xml:space="preserve"> the design standards and privacy features for information society services likely to be accessed by children. Those services include websites, apps, search engines and social media platforms. Staff shall ensure that information society services offered by the University meet the requirements of the code wherever feasible. Guidance on the content and application of the code is available from the DPO.</w:t>
      </w:r>
    </w:p>
    <w:p w14:paraId="0EAEE43B" w14:textId="77777777" w:rsidR="006525BE" w:rsidRPr="006525BE" w:rsidRDefault="006525BE" w:rsidP="00D31D7F">
      <w:pPr>
        <w:pStyle w:val="Heading2"/>
        <w:ind w:left="709" w:firstLine="0"/>
        <w:rPr>
          <w:rFonts w:cstheme="minorHAnsi"/>
          <w:szCs w:val="24"/>
        </w:rPr>
      </w:pPr>
      <w:bookmarkStart w:id="10" w:name="_Toc78902236"/>
      <w:r w:rsidRPr="006525BE">
        <w:rPr>
          <w:rFonts w:cstheme="minorHAnsi"/>
          <w:szCs w:val="24"/>
        </w:rPr>
        <w:t>Purposes for processing personal data</w:t>
      </w:r>
      <w:bookmarkEnd w:id="10"/>
    </w:p>
    <w:p w14:paraId="6676734A"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A record of the purposes for which the University processes personal data shall be maintained by the DPO in the University’s Record of Processing Activities. Heads of School / Directors shall assist the DPO to maintain an accurate and up-to-date record for their area of responsibility.</w:t>
      </w:r>
    </w:p>
    <w:p w14:paraId="6931BF23"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lastRenderedPageBreak/>
        <w:t>The UK GDPR requires a ‘compatibility assessment’ to be carried out for any proposal to use existing personal data for an unrelated purpose, other than when the proposed processing is not based on the consent of the data subject or required by law. Users shall undertake and document a compatibility assessment when required to comply with this obligation. Any compatibility assessment shall involve consultation with the DPO.</w:t>
      </w:r>
    </w:p>
    <w:p w14:paraId="347E9914" w14:textId="77777777" w:rsidR="006525BE" w:rsidRPr="006525BE" w:rsidRDefault="006525BE" w:rsidP="00D31D7F">
      <w:pPr>
        <w:pStyle w:val="Heading2"/>
        <w:ind w:left="709" w:firstLine="0"/>
        <w:rPr>
          <w:rFonts w:cstheme="minorHAnsi"/>
          <w:szCs w:val="24"/>
        </w:rPr>
      </w:pPr>
      <w:bookmarkStart w:id="11" w:name="_Technical,_organisational_and"/>
      <w:bookmarkStart w:id="12" w:name="_Toc78902237"/>
      <w:bookmarkEnd w:id="11"/>
      <w:r w:rsidRPr="006525BE">
        <w:rPr>
          <w:rFonts w:cstheme="minorHAnsi"/>
          <w:szCs w:val="24"/>
        </w:rPr>
        <w:t>Technical, organisational and security measures to manage data protection risks</w:t>
      </w:r>
      <w:bookmarkEnd w:id="12"/>
    </w:p>
    <w:p w14:paraId="77C3554D"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requires that new procedures and systems for processing personal data incorporate measures at the design stage to comply with the data protection principles. When developing new ways in which personal data is collected or used by the University, the member of staff responsible for the business process shall ensure the proposals comply with the data protection principles and incorporate any necessary safeguards to meet the standards set out in paragraph 4.1. Advice on appropriate measures is available from the Digital &amp; Information Services Information Security team and Information Governance team.</w:t>
      </w:r>
    </w:p>
    <w:p w14:paraId="1BAC5E4A" w14:textId="7718423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 UK GDPR requires that a DPIA is undertaken prior to undertaking any new processing activity that is likely to result in a high risk to individuals. There are certain processing activities that always meet this condition, known as mandatory circumstances. For the current list of circumstances, </w:t>
      </w:r>
      <w:hyperlink r:id="rId13" w:anchor="panel8628" w:history="1">
        <w:r w:rsidRPr="006525BE">
          <w:rPr>
            <w:rStyle w:val="Hyperlink"/>
            <w:rFonts w:cstheme="minorHAnsi"/>
            <w:sz w:val="24"/>
            <w:szCs w:val="24"/>
          </w:rPr>
          <w:t>see the StaffNet Data Protection page on DPIAs</w:t>
        </w:r>
      </w:hyperlink>
      <w:r w:rsidRPr="006525BE">
        <w:rPr>
          <w:rFonts w:cstheme="minorHAnsi"/>
          <w:sz w:val="24"/>
          <w:szCs w:val="24"/>
        </w:rPr>
        <w:t>. Staff shall carry out a DPIA when the proposed data processing activity meets one or more of the mandatory circumstances or when the proposal would otherwise be likely to result in a high risk to individuals.</w:t>
      </w:r>
    </w:p>
    <w:p w14:paraId="3EAA0557"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requires that any DPIA shall involve consultation with the DPO. Early contact with the DPO is recommended to guide staff through the process and advise on relevant risks. As a minimum, the DPO’s comments shall be sought when the risk has been assessed and mitigation measures identified but before a decision is taken to proceed with the processing activity.</w:t>
      </w:r>
    </w:p>
    <w:p w14:paraId="1B9BA6E3"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Director of People shall ensure that the terms and conditions of employment require members of staff to process personal data only for the legitimate purposes of the University.</w:t>
      </w:r>
    </w:p>
    <w:p w14:paraId="3D5E027F" w14:textId="6FFD4979"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 UK GDPR requires the University to implement measures to ensure a level of security for personal data that is appropriate to the risk that processing poses to individuals. </w:t>
      </w:r>
      <w:r w:rsidR="0070449C">
        <w:rPr>
          <w:rFonts w:cstheme="minorHAnsi"/>
          <w:sz w:val="24"/>
          <w:szCs w:val="24"/>
        </w:rPr>
        <w:t xml:space="preserve">Security measures for University information, including personal data, are specified in the Information Security policy and procedures. </w:t>
      </w:r>
      <w:r w:rsidRPr="006525BE">
        <w:rPr>
          <w:rFonts w:cstheme="minorHAnsi"/>
          <w:sz w:val="24"/>
          <w:szCs w:val="24"/>
        </w:rPr>
        <w:t>The Director of Digital &amp; Information Services shall ensure there are information security policies and procedures that will provide an appropriate level of protection for personal data.</w:t>
      </w:r>
    </w:p>
    <w:p w14:paraId="5A92862C"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Staff shall act in accordance with information security policies and procedures when processing personal data on behalf of the University to protect personal data against accidental or unlawful destruction, loss and alteration or unauthorised disclosure or access.</w:t>
      </w:r>
    </w:p>
    <w:p w14:paraId="42321D20" w14:textId="77777777" w:rsidR="006525BE" w:rsidRPr="006525BE" w:rsidRDefault="006525BE" w:rsidP="00D31D7F">
      <w:pPr>
        <w:pStyle w:val="Heading2"/>
        <w:ind w:left="709" w:firstLine="0"/>
        <w:rPr>
          <w:rFonts w:cstheme="minorHAnsi"/>
          <w:szCs w:val="24"/>
        </w:rPr>
      </w:pPr>
      <w:bookmarkStart w:id="13" w:name="_Toc78902238"/>
      <w:r w:rsidRPr="006525BE">
        <w:rPr>
          <w:rFonts w:cstheme="minorHAnsi"/>
          <w:szCs w:val="24"/>
        </w:rPr>
        <w:lastRenderedPageBreak/>
        <w:t>Data processing arrangements – the University as controller</w:t>
      </w:r>
      <w:bookmarkEnd w:id="13"/>
    </w:p>
    <w:p w14:paraId="179437FC" w14:textId="09AF2075"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A third party that processes personal data on behalf of the University is a ‘processor’ for the purposes of the UK GDPR. This could be a person or an organisation. University staff are not classed as processors, nor are third parties that process University personal data for their own purposes: see </w:t>
      </w:r>
      <w:r w:rsidR="00E57A79">
        <w:rPr>
          <w:rFonts w:cstheme="minorHAnsi"/>
          <w:sz w:val="24"/>
          <w:szCs w:val="24"/>
        </w:rPr>
        <w:t xml:space="preserve">the </w:t>
      </w:r>
      <w:r w:rsidRPr="006525BE">
        <w:rPr>
          <w:rFonts w:cstheme="minorHAnsi"/>
          <w:sz w:val="24"/>
          <w:szCs w:val="24"/>
        </w:rPr>
        <w:t>section on Data Sharing for more details.</w:t>
      </w:r>
    </w:p>
    <w:p w14:paraId="2C346C7B" w14:textId="0ED78519"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 UK GDPR requires that only those organisations or people that have provided sufficient guarantees about their security and data protection arrangements should be engaged as a processor. The UK GDPR also requires that an arrangement between the University and a processor is governed by a written agreement that incorporates specific safeguards. Staff shall follow the established supplier assessment processes to meet these two requirements. For guidance on engaging a processor, </w:t>
      </w:r>
      <w:hyperlink r:id="rId14" w:anchor="panel8785" w:history="1">
        <w:r w:rsidRPr="0090039E">
          <w:rPr>
            <w:rStyle w:val="Hyperlink"/>
            <w:rFonts w:cstheme="minorHAnsi"/>
            <w:sz w:val="24"/>
            <w:szCs w:val="24"/>
          </w:rPr>
          <w:t>see the StaffNet Data Protection page on Supplier Assessment</w:t>
        </w:r>
      </w:hyperlink>
      <w:r w:rsidRPr="006525BE">
        <w:rPr>
          <w:rFonts w:cstheme="minorHAnsi"/>
          <w:sz w:val="24"/>
          <w:szCs w:val="24"/>
        </w:rPr>
        <w:t>.</w:t>
      </w:r>
    </w:p>
    <w:p w14:paraId="72326B6B"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Staff responsible for the data processing arrangement shall ensure instructions to processors on how to handle personal data on behalf of the University are provided in writing and that significant instructions affecting the way that University personal data is handled are retained for the duration of the processing arrangement and in accordance with the University retention policy.</w:t>
      </w:r>
    </w:p>
    <w:p w14:paraId="134FE5AE" w14:textId="77777777" w:rsidR="006525BE" w:rsidRPr="006525BE" w:rsidRDefault="006525BE" w:rsidP="00D31D7F">
      <w:pPr>
        <w:pStyle w:val="Heading2"/>
        <w:ind w:left="709" w:firstLine="0"/>
        <w:rPr>
          <w:rFonts w:cstheme="minorHAnsi"/>
          <w:szCs w:val="24"/>
        </w:rPr>
      </w:pPr>
      <w:bookmarkStart w:id="14" w:name="_Toc78902239"/>
      <w:r w:rsidRPr="006525BE">
        <w:rPr>
          <w:rFonts w:cstheme="minorHAnsi"/>
          <w:szCs w:val="24"/>
        </w:rPr>
        <w:t>Data processing arrangements – the University as processor</w:t>
      </w:r>
      <w:bookmarkEnd w:id="14"/>
    </w:p>
    <w:p w14:paraId="7B2AF6C9"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University may be engaged as the processor of personal data for the purposes of another controller. In these circumstances, the University is responsible to the controller for the way in which personal data is processed.</w:t>
      </w:r>
    </w:p>
    <w:p w14:paraId="3A4A6E29" w14:textId="77777777" w:rsidR="006525BE" w:rsidRPr="006525BE" w:rsidRDefault="006525BE" w:rsidP="006525BE">
      <w:pPr>
        <w:pStyle w:val="ListParagraph"/>
        <w:numPr>
          <w:ilvl w:val="0"/>
          <w:numId w:val="25"/>
        </w:numPr>
        <w:spacing w:before="240" w:after="120"/>
        <w:ind w:left="680" w:hanging="680"/>
        <w:contextualSpacing w:val="0"/>
        <w:rPr>
          <w:rFonts w:cstheme="minorHAnsi"/>
          <w:color w:val="000000"/>
          <w:sz w:val="24"/>
          <w:szCs w:val="24"/>
        </w:rPr>
      </w:pPr>
      <w:r w:rsidRPr="006525BE">
        <w:rPr>
          <w:rFonts w:cstheme="minorHAnsi"/>
          <w:sz w:val="24"/>
          <w:szCs w:val="24"/>
        </w:rPr>
        <w:t xml:space="preserve">Staff shall ensure that the terms of any data processing contract covering their University activities as a processor of personal data for another controller are reasonable for the University and meet the statutory requirements. </w:t>
      </w:r>
      <w:r w:rsidRPr="006525BE">
        <w:rPr>
          <w:rFonts w:cstheme="minorHAnsi"/>
          <w:color w:val="000000"/>
          <w:sz w:val="24"/>
          <w:szCs w:val="24"/>
        </w:rPr>
        <w:t>Guidance on the requirements is available on the StaffNet Data Protection pages.</w:t>
      </w:r>
    </w:p>
    <w:p w14:paraId="5470FF86" w14:textId="5EAC5224"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Where the University is a processor on behalf of another controller, staff shall ensure that they act only on the documented instructions of the controller and adhere to the terms of the data processing contract. Staff shall notify the controller</w:t>
      </w:r>
      <w:r w:rsidR="009A5A08">
        <w:rPr>
          <w:rFonts w:cstheme="minorHAnsi"/>
          <w:sz w:val="24"/>
          <w:szCs w:val="24"/>
        </w:rPr>
        <w:t>, after prior discussion with the DPO,</w:t>
      </w:r>
      <w:r w:rsidRPr="006525BE">
        <w:rPr>
          <w:rFonts w:cstheme="minorHAnsi"/>
          <w:sz w:val="24"/>
          <w:szCs w:val="24"/>
        </w:rPr>
        <w:t xml:space="preserve"> if they believe </w:t>
      </w:r>
      <w:r w:rsidR="009A5A08">
        <w:rPr>
          <w:rFonts w:cstheme="minorHAnsi"/>
          <w:sz w:val="24"/>
          <w:szCs w:val="24"/>
        </w:rPr>
        <w:t xml:space="preserve">that either </w:t>
      </w:r>
      <w:r w:rsidRPr="006525BE">
        <w:rPr>
          <w:rFonts w:cstheme="minorHAnsi"/>
          <w:sz w:val="24"/>
          <w:szCs w:val="24"/>
        </w:rPr>
        <w:t xml:space="preserve">any of the controller’s instructions are unlawful </w:t>
      </w:r>
      <w:r w:rsidR="00F80DA6">
        <w:rPr>
          <w:rFonts w:cstheme="minorHAnsi"/>
          <w:sz w:val="24"/>
          <w:szCs w:val="24"/>
        </w:rPr>
        <w:t xml:space="preserve"> </w:t>
      </w:r>
      <w:r w:rsidR="009A5A08">
        <w:rPr>
          <w:rFonts w:cstheme="minorHAnsi"/>
          <w:sz w:val="24"/>
          <w:szCs w:val="24"/>
        </w:rPr>
        <w:t>or</w:t>
      </w:r>
      <w:r w:rsidRPr="006525BE">
        <w:rPr>
          <w:rFonts w:cstheme="minorHAnsi"/>
          <w:sz w:val="24"/>
          <w:szCs w:val="24"/>
        </w:rPr>
        <w:t xml:space="preserve"> as soon as possible after becoming aware of a personal data breach of the controller’s data.</w:t>
      </w:r>
    </w:p>
    <w:p w14:paraId="0E078F59" w14:textId="77777777" w:rsidR="006525BE" w:rsidRPr="006525BE" w:rsidRDefault="006525BE" w:rsidP="00D31D7F">
      <w:pPr>
        <w:pStyle w:val="Heading2"/>
        <w:ind w:left="709" w:firstLine="0"/>
        <w:rPr>
          <w:rFonts w:cstheme="minorHAnsi"/>
          <w:szCs w:val="24"/>
        </w:rPr>
      </w:pPr>
      <w:bookmarkStart w:id="15" w:name="_Toc78902240"/>
      <w:r w:rsidRPr="006525BE">
        <w:rPr>
          <w:rFonts w:cstheme="minorHAnsi"/>
          <w:szCs w:val="24"/>
        </w:rPr>
        <w:t>Data sharing arrangements</w:t>
      </w:r>
      <w:bookmarkEnd w:id="15"/>
    </w:p>
    <w:p w14:paraId="531310BD" w14:textId="3646C6E9" w:rsidR="006525BE" w:rsidRPr="003F0397" w:rsidRDefault="006525BE" w:rsidP="003F0397">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An arrangement between the University and another organisation in which both parties determine why and how personal data will be processed is a ‘data sharing’ arrangement. In these circumstances, the University and the other organisation are both controllers for the purposes of the UK GDPR.</w:t>
      </w:r>
    </w:p>
    <w:p w14:paraId="29B22461" w14:textId="71EFA1C4" w:rsidR="0053297F" w:rsidRDefault="001B5278" w:rsidP="006525BE">
      <w:pPr>
        <w:pStyle w:val="ListParagraph"/>
        <w:numPr>
          <w:ilvl w:val="0"/>
          <w:numId w:val="25"/>
        </w:numPr>
        <w:spacing w:before="240" w:after="120"/>
        <w:ind w:left="680" w:hanging="680"/>
        <w:contextualSpacing w:val="0"/>
        <w:rPr>
          <w:rFonts w:cstheme="minorHAnsi"/>
          <w:sz w:val="24"/>
          <w:szCs w:val="24"/>
        </w:rPr>
      </w:pPr>
      <w:r>
        <w:rPr>
          <w:rFonts w:cstheme="minorHAnsi"/>
          <w:sz w:val="24"/>
          <w:szCs w:val="24"/>
        </w:rPr>
        <w:t>Where the University and the other organisation in a data sharing arrangement are independent controllers, s</w:t>
      </w:r>
      <w:r w:rsidR="006525BE" w:rsidRPr="006525BE">
        <w:rPr>
          <w:rFonts w:cstheme="minorHAnsi"/>
          <w:sz w:val="24"/>
          <w:szCs w:val="24"/>
        </w:rPr>
        <w:t>taff shall consider documenting any systematic, routine disclosure of personal data in a data sharing agreement</w:t>
      </w:r>
      <w:r w:rsidR="0053297F">
        <w:rPr>
          <w:rFonts w:cstheme="minorHAnsi"/>
          <w:sz w:val="24"/>
          <w:szCs w:val="24"/>
        </w:rPr>
        <w:t xml:space="preserve">. Where the University and the </w:t>
      </w:r>
      <w:r w:rsidR="0053297F">
        <w:rPr>
          <w:rFonts w:cstheme="minorHAnsi"/>
          <w:sz w:val="24"/>
          <w:szCs w:val="24"/>
        </w:rPr>
        <w:lastRenderedPageBreak/>
        <w:t>other organisation in a data sharing arrangement are joint controllers, staff must document the arrangement formally in a data sharing agreement.</w:t>
      </w:r>
    </w:p>
    <w:p w14:paraId="1D760079" w14:textId="4FF1565F" w:rsidR="006525BE" w:rsidRDefault="0053297F" w:rsidP="006525BE">
      <w:pPr>
        <w:pStyle w:val="ListParagraph"/>
        <w:numPr>
          <w:ilvl w:val="0"/>
          <w:numId w:val="25"/>
        </w:numPr>
        <w:spacing w:before="240" w:after="120"/>
        <w:ind w:left="680" w:hanging="680"/>
        <w:contextualSpacing w:val="0"/>
        <w:rPr>
          <w:rFonts w:cstheme="minorHAnsi"/>
          <w:sz w:val="24"/>
          <w:szCs w:val="24"/>
        </w:rPr>
      </w:pPr>
      <w:r>
        <w:rPr>
          <w:rFonts w:cstheme="minorHAnsi"/>
          <w:sz w:val="24"/>
          <w:szCs w:val="24"/>
        </w:rPr>
        <w:t xml:space="preserve">A data sharing agreement involving personal data should document </w:t>
      </w:r>
      <w:r w:rsidR="006525BE" w:rsidRPr="006525BE">
        <w:rPr>
          <w:rFonts w:cstheme="minorHAnsi"/>
          <w:sz w:val="24"/>
          <w:szCs w:val="24"/>
        </w:rPr>
        <w:t xml:space="preserve">the </w:t>
      </w:r>
      <w:r w:rsidR="001B5278">
        <w:rPr>
          <w:rFonts w:cstheme="minorHAnsi"/>
          <w:sz w:val="24"/>
          <w:szCs w:val="24"/>
        </w:rPr>
        <w:t xml:space="preserve">parties involved, the </w:t>
      </w:r>
      <w:r w:rsidR="006525BE" w:rsidRPr="006525BE">
        <w:rPr>
          <w:rFonts w:cstheme="minorHAnsi"/>
          <w:sz w:val="24"/>
          <w:szCs w:val="24"/>
        </w:rPr>
        <w:t>purposes of the arrangement, the data to be shared, the lawful basis</w:t>
      </w:r>
      <w:r>
        <w:rPr>
          <w:rFonts w:cstheme="minorHAnsi"/>
          <w:sz w:val="24"/>
          <w:szCs w:val="24"/>
        </w:rPr>
        <w:t xml:space="preserve"> and any exemptions for special category of personal data or criminal offence data, the arrangements for complying with data subjects’ rights</w:t>
      </w:r>
      <w:r w:rsidR="006525BE" w:rsidRPr="006525BE">
        <w:rPr>
          <w:rFonts w:cstheme="minorHAnsi"/>
          <w:sz w:val="24"/>
          <w:szCs w:val="24"/>
        </w:rPr>
        <w:t xml:space="preserve"> and the operational procedures for sharing data</w:t>
      </w:r>
      <w:r>
        <w:rPr>
          <w:rFonts w:cstheme="minorHAnsi"/>
          <w:sz w:val="24"/>
          <w:szCs w:val="24"/>
        </w:rPr>
        <w:t>, including any agreed security measures to protect the data</w:t>
      </w:r>
      <w:r w:rsidR="006525BE" w:rsidRPr="006525BE">
        <w:rPr>
          <w:rFonts w:cstheme="minorHAnsi"/>
          <w:sz w:val="24"/>
          <w:szCs w:val="24"/>
        </w:rPr>
        <w:t xml:space="preserve">. </w:t>
      </w:r>
      <w:r>
        <w:rPr>
          <w:rFonts w:cstheme="minorHAnsi"/>
          <w:sz w:val="24"/>
          <w:szCs w:val="24"/>
        </w:rPr>
        <w:t>Further</w:t>
      </w:r>
      <w:r w:rsidR="006525BE" w:rsidRPr="006525BE">
        <w:rPr>
          <w:rFonts w:cstheme="minorHAnsi"/>
          <w:sz w:val="24"/>
          <w:szCs w:val="24"/>
        </w:rPr>
        <w:t xml:space="preserve"> guidance </w:t>
      </w:r>
      <w:r>
        <w:rPr>
          <w:rFonts w:cstheme="minorHAnsi"/>
          <w:sz w:val="24"/>
          <w:szCs w:val="24"/>
        </w:rPr>
        <w:t xml:space="preserve">is available </w:t>
      </w:r>
      <w:r w:rsidR="006525BE" w:rsidRPr="006525BE">
        <w:rPr>
          <w:rFonts w:cstheme="minorHAnsi"/>
          <w:sz w:val="24"/>
          <w:szCs w:val="24"/>
        </w:rPr>
        <w:t xml:space="preserve">on the </w:t>
      </w:r>
      <w:hyperlink r:id="rId15" w:anchor="panel12616" w:history="1">
        <w:r w:rsidR="006525BE" w:rsidRPr="00231F72">
          <w:rPr>
            <w:rStyle w:val="Hyperlink"/>
            <w:rFonts w:cstheme="minorHAnsi"/>
            <w:sz w:val="24"/>
            <w:szCs w:val="24"/>
          </w:rPr>
          <w:t>StaffNet Data Protection page on data sharing</w:t>
        </w:r>
      </w:hyperlink>
      <w:r w:rsidR="006525BE" w:rsidRPr="006525BE">
        <w:rPr>
          <w:rFonts w:cstheme="minorHAnsi"/>
          <w:sz w:val="24"/>
          <w:szCs w:val="24"/>
        </w:rPr>
        <w:t>.</w:t>
      </w:r>
    </w:p>
    <w:p w14:paraId="52FCE551" w14:textId="77777777" w:rsidR="006525BE" w:rsidRPr="006525BE" w:rsidRDefault="006525BE" w:rsidP="00D31D7F">
      <w:pPr>
        <w:pStyle w:val="Heading2"/>
        <w:ind w:left="709" w:firstLine="0"/>
        <w:rPr>
          <w:rFonts w:cstheme="minorHAnsi"/>
          <w:szCs w:val="24"/>
        </w:rPr>
      </w:pPr>
      <w:bookmarkStart w:id="16" w:name="_Toc78902241"/>
      <w:r w:rsidRPr="006525BE">
        <w:rPr>
          <w:rFonts w:cstheme="minorHAnsi"/>
          <w:szCs w:val="24"/>
        </w:rPr>
        <w:t>Disclosures of personal data</w:t>
      </w:r>
      <w:bookmarkEnd w:id="16"/>
    </w:p>
    <w:p w14:paraId="4AF63994" w14:textId="271F02C6"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Staff shall ensure any disclosure of personal data to a third party is fair and lawful and complies with the data protection principles (see paragraph 4.1). In particular, staff shall ensure that a secure method is used to transfer personal data to an external party. For guidance on methods of secure data transfer, see the </w:t>
      </w:r>
      <w:hyperlink r:id="rId16" w:anchor="panel2639" w:history="1">
        <w:r w:rsidRPr="006525BE">
          <w:rPr>
            <w:rStyle w:val="Hyperlink"/>
            <w:rFonts w:cstheme="minorHAnsi"/>
            <w:sz w:val="24"/>
            <w:szCs w:val="24"/>
          </w:rPr>
          <w:t>StaffNet IT Services Collaboration page</w:t>
        </w:r>
      </w:hyperlink>
      <w:r w:rsidRPr="006525BE">
        <w:rPr>
          <w:rFonts w:cstheme="minorHAnsi"/>
          <w:sz w:val="24"/>
          <w:szCs w:val="24"/>
        </w:rPr>
        <w:t>. The recipient’s identity and address (including email address) should also be verified and checked before any internal or external transfer of personal data.</w:t>
      </w:r>
    </w:p>
    <w:p w14:paraId="630BC4D8"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Staff shall retain a record of personal data disclosed to a third party in accordance with the University retention policy.</w:t>
      </w:r>
    </w:p>
    <w:p w14:paraId="558B89C1" w14:textId="77777777" w:rsidR="006525BE" w:rsidRPr="006525BE" w:rsidRDefault="006525BE" w:rsidP="00D31D7F">
      <w:pPr>
        <w:pStyle w:val="Heading2"/>
        <w:ind w:left="709" w:firstLine="0"/>
        <w:rPr>
          <w:rFonts w:cstheme="minorHAnsi"/>
          <w:szCs w:val="24"/>
        </w:rPr>
      </w:pPr>
      <w:bookmarkStart w:id="17" w:name="_Toc78902242"/>
      <w:r w:rsidRPr="006525BE">
        <w:rPr>
          <w:rFonts w:cstheme="minorHAnsi"/>
          <w:szCs w:val="24"/>
        </w:rPr>
        <w:t>International transfers of personal data</w:t>
      </w:r>
      <w:bookmarkEnd w:id="17"/>
    </w:p>
    <w:p w14:paraId="6530918B" w14:textId="14551C6C" w:rsidR="006525BE" w:rsidRPr="005A339C" w:rsidRDefault="006525BE" w:rsidP="006525BE">
      <w:pPr>
        <w:pStyle w:val="ListParagraph"/>
        <w:numPr>
          <w:ilvl w:val="0"/>
          <w:numId w:val="25"/>
        </w:numPr>
        <w:spacing w:before="240" w:after="120"/>
        <w:ind w:left="680" w:hanging="680"/>
        <w:contextualSpacing w:val="0"/>
        <w:rPr>
          <w:rFonts w:cstheme="minorHAnsi"/>
          <w:color w:val="000000"/>
          <w:sz w:val="24"/>
          <w:szCs w:val="24"/>
        </w:rPr>
      </w:pPr>
      <w:r w:rsidRPr="006525BE">
        <w:rPr>
          <w:rFonts w:cstheme="minorHAnsi"/>
          <w:sz w:val="24"/>
          <w:szCs w:val="24"/>
        </w:rPr>
        <w:t xml:space="preserve">The UK GDPR allows personal data to be transferred to countries outside the United Kingdom or to international organisations only when one of the conditions specified in the UK GDPR are met by the controller and the processor. Transfers may be made </w:t>
      </w:r>
      <w:r w:rsidR="00173340">
        <w:rPr>
          <w:rFonts w:cstheme="minorHAnsi"/>
          <w:sz w:val="24"/>
          <w:szCs w:val="24"/>
        </w:rPr>
        <w:t xml:space="preserve">based </w:t>
      </w:r>
      <w:r w:rsidRPr="006525BE">
        <w:rPr>
          <w:rFonts w:cstheme="minorHAnsi"/>
          <w:sz w:val="24"/>
          <w:szCs w:val="24"/>
        </w:rPr>
        <w:t xml:space="preserve">on </w:t>
      </w:r>
      <w:r w:rsidR="00173340">
        <w:rPr>
          <w:rFonts w:cstheme="minorHAnsi"/>
          <w:sz w:val="24"/>
          <w:szCs w:val="24"/>
        </w:rPr>
        <w:t>a country’s</w:t>
      </w:r>
      <w:r w:rsidRPr="006525BE">
        <w:rPr>
          <w:rFonts w:cstheme="minorHAnsi"/>
          <w:sz w:val="24"/>
          <w:szCs w:val="24"/>
        </w:rPr>
        <w:t xml:space="preserve"> adequacy, under an appropriate </w:t>
      </w:r>
      <w:r w:rsidR="00173340">
        <w:rPr>
          <w:rFonts w:cstheme="minorHAnsi"/>
          <w:sz w:val="24"/>
          <w:szCs w:val="24"/>
        </w:rPr>
        <w:t xml:space="preserve">legal </w:t>
      </w:r>
      <w:r w:rsidRPr="006525BE">
        <w:rPr>
          <w:rFonts w:cstheme="minorHAnsi"/>
          <w:sz w:val="24"/>
          <w:szCs w:val="24"/>
        </w:rPr>
        <w:t xml:space="preserve">agreement </w:t>
      </w:r>
      <w:r w:rsidR="00173340">
        <w:rPr>
          <w:rFonts w:cstheme="minorHAnsi"/>
          <w:sz w:val="24"/>
          <w:szCs w:val="24"/>
        </w:rPr>
        <w:t xml:space="preserve">with the recipient </w:t>
      </w:r>
      <w:r w:rsidRPr="006525BE">
        <w:rPr>
          <w:rFonts w:cstheme="minorHAnsi"/>
          <w:sz w:val="24"/>
          <w:szCs w:val="24"/>
        </w:rPr>
        <w:t xml:space="preserve">or in exceptional circumstances. </w:t>
      </w:r>
    </w:p>
    <w:p w14:paraId="134C78EF" w14:textId="694B0CE0" w:rsidR="006525BE" w:rsidRPr="005A339C" w:rsidRDefault="00FD3AF7" w:rsidP="005A339C">
      <w:pPr>
        <w:pStyle w:val="ListParagraph"/>
        <w:numPr>
          <w:ilvl w:val="0"/>
          <w:numId w:val="25"/>
        </w:numPr>
        <w:spacing w:before="240" w:after="120"/>
        <w:ind w:left="680" w:hanging="680"/>
        <w:contextualSpacing w:val="0"/>
        <w:rPr>
          <w:rFonts w:cstheme="minorHAnsi"/>
          <w:color w:val="000000"/>
          <w:sz w:val="24"/>
          <w:szCs w:val="24"/>
        </w:rPr>
      </w:pPr>
      <w:r w:rsidRPr="005A339C">
        <w:rPr>
          <w:rFonts w:cstheme="minorHAnsi"/>
          <w:sz w:val="24"/>
          <w:szCs w:val="24"/>
        </w:rPr>
        <w:t xml:space="preserve">Prior to the transfer of any personal data outwith the UK (whether </w:t>
      </w:r>
      <w:r w:rsidR="00EC1D54" w:rsidRPr="005A339C">
        <w:rPr>
          <w:rFonts w:cstheme="minorHAnsi"/>
          <w:sz w:val="24"/>
          <w:szCs w:val="24"/>
        </w:rPr>
        <w:t xml:space="preserve">directly </w:t>
      </w:r>
      <w:r w:rsidRPr="005A339C">
        <w:rPr>
          <w:rFonts w:cstheme="minorHAnsi"/>
          <w:sz w:val="24"/>
          <w:szCs w:val="24"/>
        </w:rPr>
        <w:t xml:space="preserve">to another controller or </w:t>
      </w:r>
      <w:r w:rsidR="00EC1D54" w:rsidRPr="005A339C">
        <w:rPr>
          <w:rFonts w:cstheme="minorHAnsi"/>
          <w:sz w:val="24"/>
          <w:szCs w:val="24"/>
        </w:rPr>
        <w:t>to a supplier who sub contracts to an organisation outwith the UK)</w:t>
      </w:r>
      <w:r w:rsidRPr="005A339C">
        <w:rPr>
          <w:rFonts w:cstheme="minorHAnsi"/>
          <w:sz w:val="24"/>
          <w:szCs w:val="24"/>
        </w:rPr>
        <w:t>, s</w:t>
      </w:r>
      <w:r w:rsidR="006525BE" w:rsidRPr="005A339C">
        <w:rPr>
          <w:rFonts w:cstheme="minorHAnsi"/>
          <w:sz w:val="24"/>
          <w:szCs w:val="24"/>
        </w:rPr>
        <w:t xml:space="preserve">taff shall ensure that </w:t>
      </w:r>
      <w:r w:rsidRPr="005A339C">
        <w:rPr>
          <w:rFonts w:cstheme="minorHAnsi"/>
          <w:sz w:val="24"/>
          <w:szCs w:val="24"/>
        </w:rPr>
        <w:t xml:space="preserve">they complete the Information Governance International Data Transfer Framework or receive confirmation from the DPO that completion of the Framework is not required. See the </w:t>
      </w:r>
      <w:hyperlink r:id="rId17" w:anchor="panel8629" w:history="1">
        <w:r w:rsidRPr="005A339C">
          <w:rPr>
            <w:rStyle w:val="Hyperlink"/>
            <w:rFonts w:cstheme="minorHAnsi"/>
            <w:sz w:val="24"/>
            <w:szCs w:val="24"/>
          </w:rPr>
          <w:t>StaffNet Data Protection page on Transferring Data Abroad</w:t>
        </w:r>
      </w:hyperlink>
      <w:r w:rsidRPr="005A339C">
        <w:rPr>
          <w:rFonts w:cstheme="minorHAnsi"/>
          <w:sz w:val="24"/>
          <w:szCs w:val="24"/>
        </w:rPr>
        <w:t xml:space="preserve"> for the list of countries deemed ‘adequate’</w:t>
      </w:r>
      <w:r w:rsidR="00EC1D54" w:rsidRPr="005A339C">
        <w:rPr>
          <w:rFonts w:cstheme="minorHAnsi"/>
          <w:sz w:val="24"/>
          <w:szCs w:val="24"/>
        </w:rPr>
        <w:t xml:space="preserve"> and a link to the Framework.</w:t>
      </w:r>
      <w:r w:rsidRPr="005A339C">
        <w:rPr>
          <w:rFonts w:cstheme="minorHAnsi"/>
          <w:sz w:val="24"/>
          <w:szCs w:val="24"/>
        </w:rPr>
        <w:t xml:space="preserve"> </w:t>
      </w:r>
    </w:p>
    <w:p w14:paraId="56062435" w14:textId="77777777" w:rsidR="006525BE" w:rsidRPr="006525BE" w:rsidRDefault="006525BE" w:rsidP="00D31D7F">
      <w:pPr>
        <w:pStyle w:val="Heading2"/>
        <w:ind w:left="709" w:firstLine="0"/>
        <w:rPr>
          <w:rFonts w:cstheme="minorHAnsi"/>
          <w:szCs w:val="24"/>
        </w:rPr>
      </w:pPr>
      <w:bookmarkStart w:id="18" w:name="_Toc78902243"/>
      <w:r w:rsidRPr="006525BE">
        <w:rPr>
          <w:rFonts w:cstheme="minorHAnsi"/>
          <w:szCs w:val="24"/>
        </w:rPr>
        <w:t>Personal data breaches</w:t>
      </w:r>
      <w:bookmarkEnd w:id="18"/>
    </w:p>
    <w:p w14:paraId="44A7F45F"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classes a breach of security leading to the accidental or unlawful destruction, loss, alteration, unauthorised disclosure of, or access to, personal data as a ‘personal data breach’.</w:t>
      </w:r>
    </w:p>
    <w:p w14:paraId="7A56C8A9" w14:textId="77777777" w:rsidR="006525BE" w:rsidRPr="006525BE" w:rsidRDefault="006525BE" w:rsidP="006525BE">
      <w:pPr>
        <w:pStyle w:val="ListParagraph"/>
        <w:numPr>
          <w:ilvl w:val="0"/>
          <w:numId w:val="25"/>
        </w:numPr>
        <w:spacing w:before="240" w:after="120"/>
        <w:ind w:left="680" w:hanging="680"/>
        <w:contextualSpacing w:val="0"/>
        <w:rPr>
          <w:rFonts w:cstheme="minorHAnsi"/>
          <w:color w:val="000000"/>
          <w:sz w:val="24"/>
          <w:szCs w:val="24"/>
        </w:rPr>
      </w:pPr>
      <w:r w:rsidRPr="006525BE">
        <w:rPr>
          <w:rFonts w:cstheme="minorHAnsi"/>
          <w:color w:val="000000"/>
          <w:sz w:val="24"/>
          <w:szCs w:val="24"/>
        </w:rPr>
        <w:t xml:space="preserve">Staff shall </w:t>
      </w:r>
      <w:r w:rsidRPr="006525BE">
        <w:rPr>
          <w:rFonts w:cstheme="minorHAnsi"/>
          <w:sz w:val="24"/>
          <w:szCs w:val="24"/>
        </w:rPr>
        <w:t>notify the DPO or the IT Service Desk and, if appropriate, their Head of School / Director as soon as practicable after discovery of a personal data breach.</w:t>
      </w:r>
      <w:r w:rsidRPr="006525BE">
        <w:rPr>
          <w:rFonts w:cstheme="minorHAnsi"/>
          <w:color w:val="000000"/>
          <w:sz w:val="24"/>
          <w:szCs w:val="24"/>
        </w:rPr>
        <w:t xml:space="preserve"> Prompt notification is essential to meet the deadline for onward notification of breaches to the regulator and affected data subjects. </w:t>
      </w:r>
    </w:p>
    <w:p w14:paraId="6E5CE7AA"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lastRenderedPageBreak/>
        <w:t xml:space="preserve">Heads of School / Directors shall ensure the circumstances of all personal data breaches reported in their area of responsibility are investigated, and a risk assessment carried out to determine whether to notify the regulator and affected data subjects. The DPO or a member of the Information Governance team shall be involved in the assessment or investigation of all personal data breaches. </w:t>
      </w:r>
    </w:p>
    <w:p w14:paraId="7D3050BA"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If required, following the risk assessment, the DPO shall notify a personal data breach to the Information Commissioner within 72 hours of confirmation a breach has occurred. Heads of School / Directors shall ensure that individuals affected by a personal data breach are notified when required.</w:t>
      </w:r>
    </w:p>
    <w:p w14:paraId="4195E608"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Director of Research &amp; Innovation shall ensure that research funding bodies and/or partners are notified of personal data breaches where required by the relevant contract.</w:t>
      </w:r>
    </w:p>
    <w:p w14:paraId="4C23FD05" w14:textId="77777777" w:rsidR="005B7130" w:rsidRDefault="006525BE" w:rsidP="005B7130">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DPO shall maintain a record of personal data breaches on behalf of the University. Heads of School / Directors shall ensure information relating to the facts of the breach, its effects and remedial action taken are provided to the DPO or the Information Governance team where necessary to complete this record.</w:t>
      </w:r>
    </w:p>
    <w:p w14:paraId="126839B4" w14:textId="5A92C888" w:rsidR="00E05248" w:rsidRPr="005B7130" w:rsidRDefault="00795EA8" w:rsidP="005B7130">
      <w:pPr>
        <w:pStyle w:val="ListParagraph"/>
        <w:numPr>
          <w:ilvl w:val="0"/>
          <w:numId w:val="25"/>
        </w:numPr>
        <w:spacing w:before="240" w:after="120"/>
        <w:ind w:left="680" w:hanging="680"/>
        <w:contextualSpacing w:val="0"/>
        <w:rPr>
          <w:rFonts w:cstheme="minorHAnsi"/>
          <w:sz w:val="24"/>
          <w:szCs w:val="24"/>
        </w:rPr>
      </w:pPr>
      <w:r w:rsidRPr="005B7130">
        <w:rPr>
          <w:color w:val="000000"/>
          <w:sz w:val="24"/>
          <w:szCs w:val="24"/>
        </w:rPr>
        <w:t>Any member of staff who is found to have inappropriately accessed or divulged confidential (including personal</w:t>
      </w:r>
      <w:r w:rsidR="00AF4097" w:rsidRPr="005B7130">
        <w:rPr>
          <w:color w:val="000000"/>
          <w:sz w:val="24"/>
          <w:szCs w:val="24"/>
        </w:rPr>
        <w:t>)</w:t>
      </w:r>
      <w:r w:rsidRPr="005B7130">
        <w:rPr>
          <w:color w:val="000000"/>
          <w:sz w:val="24"/>
          <w:szCs w:val="24"/>
        </w:rPr>
        <w:t xml:space="preserve"> information will be subject to investigation under the University’s disciplinary procedure, which may result in dismissal and possible legal action. It is an offence under the Data Protection Act 2018 where an individual knowingly or recklessly obtains, discloses, procures, sells or offers for sale, personal data without the consent of the University, as controller.</w:t>
      </w:r>
    </w:p>
    <w:p w14:paraId="6B2549FF" w14:textId="1437A7F1" w:rsidR="006525BE" w:rsidRPr="006525BE" w:rsidRDefault="006525BE" w:rsidP="00D31D7F">
      <w:pPr>
        <w:pStyle w:val="Heading2"/>
        <w:ind w:left="709" w:firstLine="0"/>
        <w:rPr>
          <w:rFonts w:cstheme="minorHAnsi"/>
          <w:szCs w:val="24"/>
        </w:rPr>
      </w:pPr>
      <w:bookmarkStart w:id="19" w:name="_Toc78902244"/>
      <w:r w:rsidRPr="006525BE">
        <w:rPr>
          <w:rFonts w:cstheme="minorHAnsi"/>
          <w:szCs w:val="24"/>
        </w:rPr>
        <w:t>Data subject</w:t>
      </w:r>
      <w:r w:rsidR="00D31D7F">
        <w:rPr>
          <w:rFonts w:cstheme="minorHAnsi"/>
          <w:szCs w:val="24"/>
        </w:rPr>
        <w:t>s’</w:t>
      </w:r>
      <w:r w:rsidRPr="006525BE">
        <w:rPr>
          <w:rFonts w:cstheme="minorHAnsi"/>
          <w:szCs w:val="24"/>
        </w:rPr>
        <w:t xml:space="preserve"> rights</w:t>
      </w:r>
      <w:bookmarkEnd w:id="19"/>
    </w:p>
    <w:p w14:paraId="1094AB95"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provides the following rights to individuals whose personal data is processed by the University:</w:t>
      </w:r>
    </w:p>
    <w:p w14:paraId="328734FE"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be informed about personal data being processed</w:t>
      </w:r>
    </w:p>
    <w:p w14:paraId="0808C127"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of access to personal data</w:t>
      </w:r>
    </w:p>
    <w:p w14:paraId="52E6B694"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rectification of inaccurate personal data</w:t>
      </w:r>
    </w:p>
    <w:p w14:paraId="77F73B8E"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erasure of personal data</w:t>
      </w:r>
    </w:p>
    <w:p w14:paraId="62B4B716"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 xml:space="preserve">The right to restriction of processing of personal data </w:t>
      </w:r>
    </w:p>
    <w:p w14:paraId="49E0B49D"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portability of personal data provided in a structured, commonly used and machine-readable format</w:t>
      </w:r>
    </w:p>
    <w:p w14:paraId="4C7DBAE9"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object to personal data being processed on the lawful basis of a public task or official authority, or on the legitimate interests of the University or a third party</w:t>
      </w:r>
    </w:p>
    <w:p w14:paraId="0E784840"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object to personal data being processed for direct marketing purposes</w:t>
      </w:r>
    </w:p>
    <w:p w14:paraId="37787D4B"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object to personal data being processed for scientific research, historical research or statistical purposes</w:t>
      </w:r>
    </w:p>
    <w:p w14:paraId="246B6902"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lastRenderedPageBreak/>
        <w:t>The right not to be subject to a decision based solely on automated processing</w:t>
      </w:r>
    </w:p>
    <w:p w14:paraId="47A8457F"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withdraw consent to personal data being processed by the University</w:t>
      </w:r>
    </w:p>
    <w:p w14:paraId="1D7EF5D3" w14:textId="5E8B0AA1"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The right to contact the DPO about all issues relating to processing of their personal data and the exercise of their rights</w:t>
      </w:r>
    </w:p>
    <w:p w14:paraId="2AA96D94" w14:textId="4FBD6B52"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These subject rights are not absolute. The rights are applicable in certain conditions specified in the UK GDPR and are subject to various exemptions set out in the DPA. These conditions and exemptions ensure individuals’ rights are balanced against data processing activities deemed to be in the public interest, including the conduct of examinations, the conduct of research and the provision of confidential references. The operation of these rights is complex. For </w:t>
      </w:r>
      <w:r w:rsidRPr="006525BE">
        <w:rPr>
          <w:rFonts w:cstheme="minorHAnsi"/>
          <w:color w:val="000000"/>
          <w:sz w:val="24"/>
          <w:szCs w:val="24"/>
        </w:rPr>
        <w:t xml:space="preserve">guidance on their scope and application, see the </w:t>
      </w:r>
      <w:hyperlink r:id="rId18" w:anchor="panel8633" w:history="1">
        <w:r w:rsidRPr="006525BE">
          <w:rPr>
            <w:rStyle w:val="Hyperlink"/>
            <w:rFonts w:cstheme="minorHAnsi"/>
            <w:sz w:val="24"/>
            <w:szCs w:val="24"/>
          </w:rPr>
          <w:t>StaffNet Data Protection page on Data Subject Rights</w:t>
        </w:r>
      </w:hyperlink>
      <w:r w:rsidRPr="006525BE">
        <w:rPr>
          <w:rFonts w:cstheme="minorHAnsi"/>
          <w:color w:val="000000"/>
          <w:sz w:val="24"/>
          <w:szCs w:val="24"/>
        </w:rPr>
        <w:t>. Advice may be sought from the DPO on any particular circumstances.</w:t>
      </w:r>
    </w:p>
    <w:p w14:paraId="40DD9D02" w14:textId="77777777" w:rsidR="006525BE" w:rsidRPr="006525BE" w:rsidRDefault="006525BE" w:rsidP="00D31D7F">
      <w:pPr>
        <w:pStyle w:val="Heading2"/>
        <w:ind w:left="709" w:firstLine="0"/>
        <w:rPr>
          <w:rFonts w:cstheme="minorHAnsi"/>
          <w:szCs w:val="24"/>
        </w:rPr>
      </w:pPr>
      <w:bookmarkStart w:id="20" w:name="_Toc78902245"/>
      <w:r w:rsidRPr="006525BE">
        <w:rPr>
          <w:rFonts w:cstheme="minorHAnsi"/>
          <w:szCs w:val="24"/>
        </w:rPr>
        <w:t>Data subject rights – requests to the University</w:t>
      </w:r>
      <w:bookmarkEnd w:id="20"/>
    </w:p>
    <w:p w14:paraId="10DD3231"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Information Governance team shall log, co-ordinate and respond to valid data subject requests from individuals made to or forwarded to them.</w:t>
      </w:r>
    </w:p>
    <w:p w14:paraId="10DB3AD3"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Heads of School / Directors shall ensure information held by their area of responsibility is provided to the Information Governance team when required for a data subject request, including information that may be exempt from disclosure.</w:t>
      </w:r>
    </w:p>
    <w:p w14:paraId="456C6CE5"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Staff shall refer the following requests to the Information Governance team for action:</w:t>
      </w:r>
    </w:p>
    <w:p w14:paraId="6B9A6887"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 xml:space="preserve">Requests in which a data subject explicitly invokes their rights under the UK GDPR or the DPA </w:t>
      </w:r>
    </w:p>
    <w:p w14:paraId="1DA8ECFE"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Requests for access to all personal data relating to the data subject held by all schools and services in the University</w:t>
      </w:r>
    </w:p>
    <w:p w14:paraId="7498A01E"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Requests for personal data where there are concerns around disclosure of the requested information.</w:t>
      </w:r>
    </w:p>
    <w:p w14:paraId="1E43828E"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Staff may respond directly to the following types of request:</w:t>
      </w:r>
    </w:p>
    <w:p w14:paraId="1EF44B8B"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Requests for access to personal data that would be routinely provided by the school or service in the course of teaching, student support, staff employment, research participation or event management</w:t>
      </w:r>
    </w:p>
    <w:p w14:paraId="1D02D1B0"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Requests for correction of personal data gathered and maintained in the course of teaching, student support, staff employment, research participation or event management</w:t>
      </w:r>
    </w:p>
    <w:p w14:paraId="10331DA3"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Unsubscribe responses or objections to direct marketing</w:t>
      </w:r>
    </w:p>
    <w:p w14:paraId="1404C1BF"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Withdrawal of consent for processing in cases where the lawful basis for processing personal data is consent, and the withdrawal request is made to the team responsible for that business process.</w:t>
      </w:r>
    </w:p>
    <w:p w14:paraId="15897376" w14:textId="77777777" w:rsidR="006525BE" w:rsidRPr="006525BE" w:rsidRDefault="006525BE" w:rsidP="00D31D7F">
      <w:pPr>
        <w:pStyle w:val="Heading2"/>
        <w:ind w:left="709" w:firstLine="0"/>
        <w:rPr>
          <w:rFonts w:cstheme="minorHAnsi"/>
          <w:szCs w:val="24"/>
        </w:rPr>
      </w:pPr>
      <w:bookmarkStart w:id="21" w:name="_Toc78902246"/>
      <w:r w:rsidRPr="006525BE">
        <w:rPr>
          <w:rFonts w:cstheme="minorHAnsi"/>
          <w:szCs w:val="24"/>
        </w:rPr>
        <w:lastRenderedPageBreak/>
        <w:t>Data subject rights - the right to be informed</w:t>
      </w:r>
      <w:bookmarkEnd w:id="21"/>
      <w:r w:rsidRPr="006525BE">
        <w:rPr>
          <w:rFonts w:cstheme="minorHAnsi"/>
          <w:szCs w:val="24"/>
        </w:rPr>
        <w:t xml:space="preserve"> </w:t>
      </w:r>
    </w:p>
    <w:p w14:paraId="551F3CC0"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UK GDPR requires privacy information to be provided to data subjects in the following three circumstances, unless there is a relevant legal exemption:</w:t>
      </w:r>
    </w:p>
    <w:p w14:paraId="2A6A6526"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when collecting personal data directly from individuals;</w:t>
      </w:r>
    </w:p>
    <w:p w14:paraId="4EB71CA6"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following receipt of individuals’ personal data from a third party; and</w:t>
      </w:r>
    </w:p>
    <w:p w14:paraId="61D2EED5" w14:textId="77777777" w:rsidR="006525BE" w:rsidRPr="006525BE" w:rsidRDefault="006525BE" w:rsidP="006525BE">
      <w:pPr>
        <w:pStyle w:val="ListBullet"/>
        <w:ind w:left="1134" w:hanging="425"/>
        <w:rPr>
          <w:rFonts w:asciiTheme="minorHAnsi" w:hAnsiTheme="minorHAnsi" w:cstheme="minorHAnsi"/>
          <w:szCs w:val="24"/>
        </w:rPr>
      </w:pPr>
      <w:r w:rsidRPr="006525BE">
        <w:rPr>
          <w:rFonts w:asciiTheme="minorHAnsi" w:hAnsiTheme="minorHAnsi" w:cstheme="minorHAnsi"/>
          <w:szCs w:val="24"/>
        </w:rPr>
        <w:t>when processing their personal data for a new purpose.</w:t>
      </w:r>
    </w:p>
    <w:p w14:paraId="74215C1C" w14:textId="1B5693E2"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 required privacy information includes the identity of the controller, the contact details of the DPO, the purposes and legal basis for processing, the recipients of the data, any intended international transfers and the retention period. The information must be presented in a concise, transparent, intelligible and easily-accessible form. There are some, limited exemptions from this requirement, notably provisions for research. For guidance on the requirements for privacy information, </w:t>
      </w:r>
      <w:hyperlink r:id="rId19" w:anchor="panel8632" w:history="1">
        <w:r w:rsidRPr="006525BE">
          <w:rPr>
            <w:rStyle w:val="Hyperlink"/>
            <w:rFonts w:cstheme="minorHAnsi"/>
            <w:sz w:val="24"/>
            <w:szCs w:val="24"/>
          </w:rPr>
          <w:t>see the StaffNet Data Protection page on Providing Privacy Information</w:t>
        </w:r>
      </w:hyperlink>
      <w:r w:rsidRPr="006525BE">
        <w:rPr>
          <w:rFonts w:cstheme="minorHAnsi"/>
          <w:color w:val="000000"/>
          <w:sz w:val="24"/>
          <w:szCs w:val="24"/>
        </w:rPr>
        <w:t>.</w:t>
      </w:r>
      <w:r w:rsidRPr="006525BE">
        <w:rPr>
          <w:rFonts w:cstheme="minorHAnsi"/>
          <w:sz w:val="24"/>
          <w:szCs w:val="24"/>
        </w:rPr>
        <w:t xml:space="preserve"> </w:t>
      </w:r>
    </w:p>
    <w:p w14:paraId="3ED78C3E"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DPO shall maintain corporate-level privacy information on the University website, including notices for students, staff, alumni and other major classes of data subject. Staff shall direct data subjects to the corporate-level privacy information on the University website in any forms, systems or processes that capture personal data from those individuals for University purposes in order to meet the UK GDPR requirement that privacy information is provided at the point personal data is gathered.</w:t>
      </w:r>
    </w:p>
    <w:p w14:paraId="6E2BF9EB" w14:textId="009429B5"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University may collect and use personal data about data subject</w:t>
      </w:r>
      <w:r w:rsidR="001D11C6">
        <w:rPr>
          <w:rFonts w:cstheme="minorHAnsi"/>
          <w:sz w:val="24"/>
          <w:szCs w:val="24"/>
        </w:rPr>
        <w:t>s</w:t>
      </w:r>
      <w:r w:rsidRPr="006525BE">
        <w:rPr>
          <w:rFonts w:cstheme="minorHAnsi"/>
          <w:sz w:val="24"/>
          <w:szCs w:val="24"/>
        </w:rPr>
        <w:t xml:space="preserve"> who are not included in a corporate-level privacy notice. Examples include the collection of information about people involved in one-off events, and collaborative projects with other organisations. Where personal data is processed without a corporate-level privacy notice, the member of staff responsible for the activity shall ensure the privacy information required by UK </w:t>
      </w:r>
      <w:bookmarkStart w:id="22" w:name="_Toc519862880"/>
      <w:r w:rsidRPr="006525BE">
        <w:rPr>
          <w:rFonts w:cstheme="minorHAnsi"/>
          <w:sz w:val="24"/>
          <w:szCs w:val="24"/>
        </w:rPr>
        <w:t xml:space="preserve">GDPR is provided to the relevant data subjects. Advice on the scope of corporate-level privacy notices is available from the DPO. </w:t>
      </w:r>
    </w:p>
    <w:p w14:paraId="281F8C95" w14:textId="77777777" w:rsidR="006525BE" w:rsidRPr="006525BE" w:rsidRDefault="006525BE" w:rsidP="00D31D7F">
      <w:pPr>
        <w:pStyle w:val="Heading2"/>
        <w:ind w:left="709" w:firstLine="0"/>
        <w:rPr>
          <w:rFonts w:cstheme="minorHAnsi"/>
          <w:szCs w:val="24"/>
        </w:rPr>
      </w:pPr>
      <w:bookmarkStart w:id="23" w:name="_Toc78902247"/>
      <w:r w:rsidRPr="006525BE">
        <w:rPr>
          <w:rFonts w:cstheme="minorHAnsi"/>
          <w:szCs w:val="24"/>
        </w:rPr>
        <w:t>Procedures, training and guidance</w:t>
      </w:r>
      <w:bookmarkEnd w:id="23"/>
    </w:p>
    <w:p w14:paraId="5D60EC4B" w14:textId="0C909224" w:rsidR="006525BE" w:rsidRPr="007645EC"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 DPO shall develop and maintain procedures designed to ensure the </w:t>
      </w:r>
      <w:r w:rsidRPr="007645EC">
        <w:rPr>
          <w:rFonts w:cstheme="minorHAnsi"/>
          <w:sz w:val="24"/>
          <w:szCs w:val="24"/>
        </w:rPr>
        <w:t xml:space="preserve">University complies with </w:t>
      </w:r>
      <w:r w:rsidR="007F52AB">
        <w:rPr>
          <w:rFonts w:cstheme="minorHAnsi"/>
          <w:sz w:val="24"/>
          <w:szCs w:val="24"/>
        </w:rPr>
        <w:t>the D</w:t>
      </w:r>
      <w:r w:rsidRPr="007645EC">
        <w:rPr>
          <w:rFonts w:cstheme="minorHAnsi"/>
          <w:sz w:val="24"/>
          <w:szCs w:val="24"/>
        </w:rPr>
        <w:t xml:space="preserve">ata </w:t>
      </w:r>
      <w:r w:rsidR="007F52AB">
        <w:rPr>
          <w:rFonts w:cstheme="minorHAnsi"/>
          <w:sz w:val="24"/>
          <w:szCs w:val="24"/>
        </w:rPr>
        <w:t>P</w:t>
      </w:r>
      <w:r w:rsidRPr="007645EC">
        <w:rPr>
          <w:rFonts w:cstheme="minorHAnsi"/>
          <w:sz w:val="24"/>
          <w:szCs w:val="24"/>
        </w:rPr>
        <w:t xml:space="preserve">rotection </w:t>
      </w:r>
      <w:r w:rsidR="007F52AB">
        <w:rPr>
          <w:rFonts w:cstheme="minorHAnsi"/>
          <w:sz w:val="24"/>
          <w:szCs w:val="24"/>
        </w:rPr>
        <w:t>L</w:t>
      </w:r>
      <w:r w:rsidRPr="007645EC">
        <w:rPr>
          <w:rFonts w:cstheme="minorHAnsi"/>
          <w:sz w:val="24"/>
          <w:szCs w:val="24"/>
        </w:rPr>
        <w:t>egislation and to support this policy.</w:t>
      </w:r>
    </w:p>
    <w:p w14:paraId="6A55F3FA" w14:textId="32DADB63" w:rsidR="006525BE" w:rsidRPr="007645EC" w:rsidRDefault="006525BE" w:rsidP="006525BE">
      <w:pPr>
        <w:pStyle w:val="ListParagraph"/>
        <w:numPr>
          <w:ilvl w:val="0"/>
          <w:numId w:val="25"/>
        </w:numPr>
        <w:spacing w:before="240" w:after="120"/>
        <w:ind w:left="680" w:hanging="680"/>
        <w:contextualSpacing w:val="0"/>
        <w:rPr>
          <w:rFonts w:cstheme="minorHAnsi"/>
          <w:sz w:val="24"/>
          <w:szCs w:val="24"/>
        </w:rPr>
      </w:pPr>
      <w:r w:rsidRPr="007645EC">
        <w:rPr>
          <w:rFonts w:cstheme="minorHAnsi"/>
          <w:sz w:val="24"/>
          <w:szCs w:val="24"/>
        </w:rPr>
        <w:t>The DPO, supported by the Information Governance team, shall deliver training and provide advice to staff on all aspects of data protection compliance and good practice.</w:t>
      </w:r>
    </w:p>
    <w:p w14:paraId="111F3D29" w14:textId="27E3E3A6" w:rsidR="00F7634C" w:rsidRPr="00E21E02" w:rsidRDefault="004B1291" w:rsidP="006525BE">
      <w:pPr>
        <w:pStyle w:val="ListParagraph"/>
        <w:numPr>
          <w:ilvl w:val="0"/>
          <w:numId w:val="25"/>
        </w:numPr>
        <w:spacing w:before="240" w:after="120"/>
        <w:ind w:left="680" w:hanging="680"/>
        <w:contextualSpacing w:val="0"/>
        <w:rPr>
          <w:rFonts w:cstheme="minorHAnsi"/>
          <w:sz w:val="24"/>
          <w:szCs w:val="24"/>
        </w:rPr>
      </w:pPr>
      <w:r w:rsidRPr="007645EC">
        <w:rPr>
          <w:rFonts w:cstheme="minorHAnsi"/>
          <w:sz w:val="24"/>
          <w:szCs w:val="24"/>
        </w:rPr>
        <w:t>A</w:t>
      </w:r>
      <w:r w:rsidR="00C702C5" w:rsidRPr="007645EC">
        <w:rPr>
          <w:rFonts w:cstheme="minorHAnsi"/>
          <w:sz w:val="24"/>
          <w:szCs w:val="24"/>
        </w:rPr>
        <w:t xml:space="preserve">nnual Data Protection Training is mandatory for all </w:t>
      </w:r>
      <w:r w:rsidR="00C702C5" w:rsidRPr="007645EC">
        <w:rPr>
          <w:rFonts w:cstheme="minorHAnsi"/>
          <w:b/>
          <w:bCs/>
          <w:sz w:val="24"/>
          <w:szCs w:val="24"/>
        </w:rPr>
        <w:t>staff</w:t>
      </w:r>
      <w:r w:rsidR="008F55BC" w:rsidRPr="007645EC">
        <w:rPr>
          <w:rFonts w:cstheme="minorHAnsi"/>
          <w:sz w:val="24"/>
          <w:szCs w:val="24"/>
        </w:rPr>
        <w:t xml:space="preserve"> in line with the University’s </w:t>
      </w:r>
      <w:r w:rsidR="00B8540A" w:rsidRPr="007645EC">
        <w:rPr>
          <w:rFonts w:cstheme="minorHAnsi"/>
          <w:sz w:val="24"/>
          <w:szCs w:val="24"/>
        </w:rPr>
        <w:t xml:space="preserve">Information Security and Data Protection </w:t>
      </w:r>
      <w:r w:rsidR="008F55BC" w:rsidRPr="007645EC">
        <w:rPr>
          <w:rFonts w:cstheme="minorHAnsi"/>
          <w:sz w:val="24"/>
          <w:szCs w:val="24"/>
        </w:rPr>
        <w:t>Training Strategy</w:t>
      </w:r>
      <w:r w:rsidR="00C702C5" w:rsidRPr="007645EC">
        <w:rPr>
          <w:rFonts w:cstheme="minorHAnsi"/>
          <w:sz w:val="24"/>
          <w:szCs w:val="24"/>
        </w:rPr>
        <w:t xml:space="preserve">. </w:t>
      </w:r>
      <w:r w:rsidR="0060410E" w:rsidRPr="007645EC">
        <w:rPr>
          <w:rFonts w:cstheme="minorHAnsi"/>
          <w:sz w:val="24"/>
          <w:szCs w:val="24"/>
        </w:rPr>
        <w:t>Heads of School/Directors</w:t>
      </w:r>
      <w:r w:rsidR="00567D86" w:rsidRPr="007645EC">
        <w:rPr>
          <w:rFonts w:cstheme="minorHAnsi"/>
          <w:sz w:val="24"/>
          <w:szCs w:val="24"/>
        </w:rPr>
        <w:t xml:space="preserve"> are responsible for ensuring that all </w:t>
      </w:r>
      <w:r w:rsidR="0060410E" w:rsidRPr="007645EC">
        <w:rPr>
          <w:rFonts w:cstheme="minorHAnsi"/>
          <w:sz w:val="24"/>
          <w:szCs w:val="24"/>
        </w:rPr>
        <w:t xml:space="preserve">staff within their remit are trained </w:t>
      </w:r>
      <w:r w:rsidR="0060410E" w:rsidRPr="00E21E02">
        <w:rPr>
          <w:rFonts w:cstheme="minorHAnsi"/>
          <w:sz w:val="24"/>
          <w:szCs w:val="24"/>
        </w:rPr>
        <w:t>appropriately</w:t>
      </w:r>
      <w:r w:rsidR="00E21E02" w:rsidRPr="00E21E02">
        <w:rPr>
          <w:sz w:val="24"/>
          <w:szCs w:val="24"/>
        </w:rPr>
        <w:t xml:space="preserve"> </w:t>
      </w:r>
      <w:r w:rsidR="00E21E02" w:rsidRPr="00E21E02">
        <w:rPr>
          <w:rStyle w:val="ui-provider"/>
          <w:sz w:val="24"/>
          <w:szCs w:val="24"/>
        </w:rPr>
        <w:t>including that the mandatory Data Protection training is completed timeously by all staff</w:t>
      </w:r>
      <w:r w:rsidR="00E21E02">
        <w:rPr>
          <w:rStyle w:val="ui-provider"/>
          <w:sz w:val="24"/>
          <w:szCs w:val="24"/>
        </w:rPr>
        <w:t>.</w:t>
      </w:r>
    </w:p>
    <w:p w14:paraId="7E7DABE3" w14:textId="77777777" w:rsidR="006525BE" w:rsidRPr="006525BE" w:rsidRDefault="006525BE" w:rsidP="00D31D7F">
      <w:pPr>
        <w:pStyle w:val="Heading2"/>
        <w:ind w:left="709" w:firstLine="0"/>
        <w:rPr>
          <w:rFonts w:cstheme="minorHAnsi"/>
          <w:szCs w:val="24"/>
        </w:rPr>
      </w:pPr>
      <w:bookmarkStart w:id="24" w:name="_Toc78902248"/>
      <w:r w:rsidRPr="006525BE">
        <w:rPr>
          <w:rFonts w:cstheme="minorHAnsi"/>
          <w:szCs w:val="24"/>
        </w:rPr>
        <w:lastRenderedPageBreak/>
        <w:t>Compliance and monitoring</w:t>
      </w:r>
      <w:bookmarkEnd w:id="24"/>
    </w:p>
    <w:p w14:paraId="21C3140C" w14:textId="6A9F72E9"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 xml:space="preserve">The DPO shall monitor the University's compliance with data protection requirements and shall report to the Information Governance Committee on compliance with </w:t>
      </w:r>
      <w:r w:rsidR="007F52AB">
        <w:rPr>
          <w:rFonts w:cstheme="minorHAnsi"/>
          <w:sz w:val="24"/>
          <w:szCs w:val="24"/>
        </w:rPr>
        <w:t>the D</w:t>
      </w:r>
      <w:r w:rsidRPr="006525BE">
        <w:rPr>
          <w:rFonts w:cstheme="minorHAnsi"/>
          <w:sz w:val="24"/>
          <w:szCs w:val="24"/>
        </w:rPr>
        <w:t xml:space="preserve">ata </w:t>
      </w:r>
      <w:r w:rsidR="007F52AB">
        <w:rPr>
          <w:rFonts w:cstheme="minorHAnsi"/>
          <w:sz w:val="24"/>
          <w:szCs w:val="24"/>
        </w:rPr>
        <w:t>P</w:t>
      </w:r>
      <w:r w:rsidRPr="006525BE">
        <w:rPr>
          <w:rFonts w:cstheme="minorHAnsi"/>
          <w:sz w:val="24"/>
          <w:szCs w:val="24"/>
        </w:rPr>
        <w:t xml:space="preserve">rotection </w:t>
      </w:r>
      <w:r w:rsidR="007F52AB">
        <w:rPr>
          <w:rFonts w:cstheme="minorHAnsi"/>
          <w:sz w:val="24"/>
          <w:szCs w:val="24"/>
        </w:rPr>
        <w:t>L</w:t>
      </w:r>
      <w:r w:rsidRPr="006525BE">
        <w:rPr>
          <w:rFonts w:cstheme="minorHAnsi"/>
          <w:sz w:val="24"/>
          <w:szCs w:val="24"/>
        </w:rPr>
        <w:t>egislation and on significant data protection issues.</w:t>
      </w:r>
    </w:p>
    <w:p w14:paraId="53E4D0A6" w14:textId="77777777" w:rsidR="006525BE" w:rsidRPr="006525BE" w:rsidRDefault="006525BE" w:rsidP="006525BE">
      <w:pPr>
        <w:pStyle w:val="ListParagraph"/>
        <w:numPr>
          <w:ilvl w:val="0"/>
          <w:numId w:val="25"/>
        </w:numPr>
        <w:spacing w:before="240" w:after="120"/>
        <w:ind w:left="680" w:hanging="680"/>
        <w:contextualSpacing w:val="0"/>
        <w:rPr>
          <w:rFonts w:cstheme="minorHAnsi"/>
          <w:sz w:val="24"/>
          <w:szCs w:val="24"/>
        </w:rPr>
      </w:pPr>
      <w:r w:rsidRPr="006525BE">
        <w:rPr>
          <w:rFonts w:cstheme="minorHAnsi"/>
          <w:sz w:val="24"/>
          <w:szCs w:val="24"/>
        </w:rPr>
        <w:t>The DPO shall act as the contact point between the University and the Information Commissioner for matters relating to data protection compliance.</w:t>
      </w:r>
    </w:p>
    <w:p w14:paraId="0C25444E" w14:textId="77777777" w:rsidR="006525BE" w:rsidRPr="006525BE" w:rsidRDefault="006525BE" w:rsidP="006525BE">
      <w:pPr>
        <w:pStyle w:val="Heading1"/>
        <w:rPr>
          <w:rFonts w:asciiTheme="minorHAnsi" w:hAnsiTheme="minorHAnsi" w:cstheme="minorHAnsi"/>
          <w:szCs w:val="24"/>
        </w:rPr>
      </w:pPr>
      <w:bookmarkStart w:id="25" w:name="_Toc406749397"/>
      <w:bookmarkStart w:id="26" w:name="_Toc406749398"/>
      <w:bookmarkStart w:id="27" w:name="_Toc406749399"/>
      <w:bookmarkStart w:id="28" w:name="_Toc406749400"/>
      <w:bookmarkStart w:id="29" w:name="_Toc406749401"/>
      <w:bookmarkStart w:id="30" w:name="_Toc406749402"/>
      <w:bookmarkEnd w:id="22"/>
      <w:bookmarkEnd w:id="25"/>
      <w:bookmarkEnd w:id="26"/>
      <w:bookmarkEnd w:id="27"/>
      <w:bookmarkEnd w:id="28"/>
      <w:bookmarkEnd w:id="29"/>
      <w:bookmarkEnd w:id="30"/>
      <w:r w:rsidRPr="006525BE">
        <w:rPr>
          <w:rFonts w:asciiTheme="minorHAnsi" w:hAnsiTheme="minorHAnsi" w:cstheme="minorHAnsi"/>
          <w:szCs w:val="24"/>
        </w:rPr>
        <w:t>Related policies</w:t>
      </w:r>
    </w:p>
    <w:p w14:paraId="0CBA0934" w14:textId="13E3A73D" w:rsidR="006525BE" w:rsidRPr="006525BE" w:rsidRDefault="006525BE" w:rsidP="006525BE">
      <w:pPr>
        <w:ind w:left="0" w:firstLine="0"/>
        <w:rPr>
          <w:rFonts w:cstheme="minorHAnsi"/>
          <w:sz w:val="24"/>
          <w:szCs w:val="24"/>
        </w:rPr>
      </w:pPr>
      <w:r w:rsidRPr="006525BE">
        <w:rPr>
          <w:rFonts w:cstheme="minorHAnsi"/>
          <w:sz w:val="24"/>
          <w:szCs w:val="24"/>
        </w:rPr>
        <w:t>The Information Security policy and procedures set out how information (including personal data) shall be secured to protect it against the consequences of breaches of confidentiality, failures of integrity, or interruptions to its availability.</w:t>
      </w:r>
    </w:p>
    <w:p w14:paraId="57FFD174" w14:textId="1F938FE7" w:rsidR="006525BE" w:rsidRPr="006525BE" w:rsidRDefault="006525BE" w:rsidP="006525BE">
      <w:pPr>
        <w:ind w:left="0" w:firstLine="0"/>
        <w:rPr>
          <w:rFonts w:cstheme="minorHAnsi"/>
          <w:sz w:val="24"/>
          <w:szCs w:val="24"/>
        </w:rPr>
      </w:pPr>
      <w:r w:rsidRPr="006525BE">
        <w:rPr>
          <w:rFonts w:cstheme="minorHAnsi"/>
          <w:sz w:val="24"/>
          <w:szCs w:val="24"/>
        </w:rPr>
        <w:t>The Records Management policy sets out how records (containing personal data) shall be managed and retained to support University functions and to comply with legal and accountability requirements.</w:t>
      </w:r>
    </w:p>
    <w:p w14:paraId="0C132683" w14:textId="77777777" w:rsidR="006525BE" w:rsidRPr="006525BE" w:rsidRDefault="006525BE" w:rsidP="006525BE">
      <w:pPr>
        <w:pStyle w:val="Heading1"/>
        <w:rPr>
          <w:rFonts w:asciiTheme="minorHAnsi" w:hAnsiTheme="minorHAnsi" w:cstheme="minorHAnsi"/>
          <w:szCs w:val="24"/>
        </w:rPr>
      </w:pPr>
      <w:r w:rsidRPr="006525BE">
        <w:rPr>
          <w:rFonts w:asciiTheme="minorHAnsi" w:hAnsiTheme="minorHAnsi" w:cstheme="minorHAnsi"/>
          <w:szCs w:val="24"/>
        </w:rPr>
        <w:t>Review and Development</w:t>
      </w:r>
    </w:p>
    <w:p w14:paraId="55B91B1F" w14:textId="77777777" w:rsidR="006525BE" w:rsidRPr="006525BE" w:rsidRDefault="006525BE" w:rsidP="006525BE">
      <w:pPr>
        <w:ind w:left="0" w:firstLine="0"/>
        <w:rPr>
          <w:rFonts w:cstheme="minorHAnsi"/>
          <w:sz w:val="24"/>
          <w:szCs w:val="24"/>
        </w:rPr>
      </w:pPr>
      <w:r w:rsidRPr="006525BE">
        <w:rPr>
          <w:rFonts w:cstheme="minorHAnsi"/>
          <w:sz w:val="24"/>
          <w:szCs w:val="24"/>
        </w:rPr>
        <w:t>The policy will be updated by the DPO when the Information Governance Committee agrees changes to meet internal or external requirements.</w:t>
      </w:r>
    </w:p>
    <w:p w14:paraId="289BC9D0" w14:textId="4A3A94D3" w:rsidR="006525BE" w:rsidRPr="006525BE" w:rsidRDefault="006525BE" w:rsidP="00CC4F12">
      <w:pPr>
        <w:ind w:left="0" w:firstLine="0"/>
        <w:rPr>
          <w:rFonts w:cstheme="minorHAnsi"/>
          <w:sz w:val="24"/>
          <w:szCs w:val="24"/>
        </w:rPr>
      </w:pPr>
      <w:r w:rsidRPr="006525BE">
        <w:rPr>
          <w:rFonts w:cstheme="minorHAnsi"/>
          <w:sz w:val="24"/>
          <w:szCs w:val="24"/>
        </w:rPr>
        <w:t>The policy shall be reviewed fully on an annual basis by the DPO and the outcome, including any recommendations for amendment, shall be reported to the Information Governance Committee.</w:t>
      </w:r>
      <w:r w:rsidRPr="006525BE">
        <w:rPr>
          <w:rFonts w:cstheme="minorHAnsi"/>
          <w:sz w:val="24"/>
          <w:szCs w:val="24"/>
        </w:rPr>
        <w:br w:type="page"/>
      </w:r>
    </w:p>
    <w:p w14:paraId="7B99FD70" w14:textId="77777777" w:rsidR="006525BE" w:rsidRPr="006525BE" w:rsidRDefault="006525BE" w:rsidP="006525BE">
      <w:pPr>
        <w:pStyle w:val="Heading1"/>
        <w:numPr>
          <w:ilvl w:val="0"/>
          <w:numId w:val="0"/>
        </w:numPr>
        <w:rPr>
          <w:rFonts w:asciiTheme="minorHAnsi" w:hAnsiTheme="minorHAnsi" w:cstheme="minorHAnsi"/>
          <w:szCs w:val="24"/>
        </w:rPr>
      </w:pPr>
      <w:bookmarkStart w:id="31" w:name="_Glossary_of_data"/>
      <w:bookmarkEnd w:id="31"/>
      <w:r w:rsidRPr="006525BE">
        <w:rPr>
          <w:rFonts w:asciiTheme="minorHAnsi" w:hAnsiTheme="minorHAnsi" w:cstheme="minorHAnsi"/>
          <w:szCs w:val="24"/>
        </w:rPr>
        <w:lastRenderedPageBreak/>
        <w:t>Glossary of data protection terms</w:t>
      </w:r>
    </w:p>
    <w:p w14:paraId="5D9C9976" w14:textId="77777777" w:rsidR="006525BE" w:rsidRPr="006525BE" w:rsidRDefault="006525BE" w:rsidP="006525BE">
      <w:pPr>
        <w:rPr>
          <w:rFonts w:cstheme="minorHAnsi"/>
          <w:sz w:val="24"/>
          <w:szCs w:val="24"/>
        </w:rPr>
      </w:pPr>
    </w:p>
    <w:tbl>
      <w:tblPr>
        <w:tblStyle w:val="TableGrid"/>
        <w:tblW w:w="0" w:type="auto"/>
        <w:tblLook w:val="04A0" w:firstRow="1" w:lastRow="0" w:firstColumn="1" w:lastColumn="0" w:noHBand="0" w:noVBand="1"/>
      </w:tblPr>
      <w:tblGrid>
        <w:gridCol w:w="2972"/>
        <w:gridCol w:w="6044"/>
      </w:tblGrid>
      <w:tr w:rsidR="006525BE" w:rsidRPr="006525BE" w14:paraId="1F3B1CD8" w14:textId="77777777" w:rsidTr="65F6576A">
        <w:trPr>
          <w:trHeight w:val="451"/>
          <w:tblHeader/>
        </w:trPr>
        <w:tc>
          <w:tcPr>
            <w:tcW w:w="2972" w:type="dxa"/>
            <w:tcBorders>
              <w:top w:val="nil"/>
              <w:left w:val="nil"/>
              <w:right w:val="nil"/>
            </w:tcBorders>
            <w:shd w:val="clear" w:color="auto" w:fill="BFBFBF" w:themeFill="background1" w:themeFillShade="BF"/>
            <w:vAlign w:val="center"/>
          </w:tcPr>
          <w:p w14:paraId="5BB833BC" w14:textId="77777777" w:rsidR="006525BE" w:rsidRPr="006525BE" w:rsidRDefault="006525BE" w:rsidP="00116A73">
            <w:pPr>
              <w:pStyle w:val="NormalWeb"/>
              <w:spacing w:before="0" w:beforeAutospacing="0" w:after="0" w:afterAutospacing="0"/>
              <w:rPr>
                <w:rStyle w:val="Strong"/>
                <w:rFonts w:asciiTheme="minorHAnsi" w:hAnsiTheme="minorHAnsi" w:cstheme="minorHAnsi"/>
                <w:b w:val="0"/>
                <w:bCs w:val="0"/>
              </w:rPr>
            </w:pPr>
            <w:r w:rsidRPr="006525BE">
              <w:rPr>
                <w:rStyle w:val="Strong"/>
                <w:rFonts w:asciiTheme="minorHAnsi" w:hAnsiTheme="minorHAnsi" w:cstheme="minorHAnsi"/>
                <w:b w:val="0"/>
                <w:bCs w:val="0"/>
              </w:rPr>
              <w:t>Term</w:t>
            </w:r>
          </w:p>
        </w:tc>
        <w:tc>
          <w:tcPr>
            <w:tcW w:w="6044" w:type="dxa"/>
            <w:tcBorders>
              <w:top w:val="nil"/>
              <w:left w:val="nil"/>
              <w:right w:val="nil"/>
            </w:tcBorders>
            <w:shd w:val="clear" w:color="auto" w:fill="BFBFBF" w:themeFill="background1" w:themeFillShade="BF"/>
            <w:vAlign w:val="center"/>
          </w:tcPr>
          <w:p w14:paraId="44A59467"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Definition</w:t>
            </w:r>
          </w:p>
        </w:tc>
      </w:tr>
      <w:tr w:rsidR="006525BE" w:rsidRPr="006525BE" w14:paraId="48173810" w14:textId="77777777" w:rsidTr="65F6576A">
        <w:tc>
          <w:tcPr>
            <w:tcW w:w="2972" w:type="dxa"/>
            <w:tcBorders>
              <w:top w:val="nil"/>
              <w:left w:val="nil"/>
              <w:right w:val="nil"/>
            </w:tcBorders>
          </w:tcPr>
          <w:p w14:paraId="39CE53C0"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Style w:val="Strong"/>
                <w:rFonts w:asciiTheme="minorHAnsi" w:hAnsiTheme="minorHAnsi" w:cstheme="minorHAnsi"/>
              </w:rPr>
              <w:t>Biometric data</w:t>
            </w:r>
          </w:p>
        </w:tc>
        <w:tc>
          <w:tcPr>
            <w:tcW w:w="6044" w:type="dxa"/>
            <w:tcBorders>
              <w:top w:val="nil"/>
              <w:left w:val="nil"/>
              <w:right w:val="nil"/>
            </w:tcBorders>
          </w:tcPr>
          <w:p w14:paraId="3B6FB8F4"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Personal data resulting from specific technical processing relating to the physical, physiological or behavioural characteristics of a person, which allow or confirm the unique identification of that person, such as facial images or dactyloscopic data.</w:t>
            </w:r>
          </w:p>
        </w:tc>
      </w:tr>
      <w:tr w:rsidR="006525BE" w:rsidRPr="006525BE" w14:paraId="2F8313D2" w14:textId="77777777" w:rsidTr="65F6576A">
        <w:tc>
          <w:tcPr>
            <w:tcW w:w="2972" w:type="dxa"/>
            <w:tcBorders>
              <w:left w:val="nil"/>
              <w:right w:val="nil"/>
            </w:tcBorders>
          </w:tcPr>
          <w:p w14:paraId="3DCEAC55" w14:textId="77777777" w:rsidR="006525BE" w:rsidRPr="006525BE" w:rsidRDefault="006525BE" w:rsidP="00116A73">
            <w:pPr>
              <w:rPr>
                <w:rFonts w:asciiTheme="minorHAnsi" w:hAnsiTheme="minorHAnsi" w:cstheme="minorHAnsi"/>
                <w:sz w:val="24"/>
                <w:szCs w:val="24"/>
              </w:rPr>
            </w:pPr>
            <w:r w:rsidRPr="006525BE">
              <w:rPr>
                <w:rStyle w:val="Strong"/>
                <w:rFonts w:asciiTheme="minorHAnsi" w:hAnsiTheme="minorHAnsi" w:cstheme="minorHAnsi"/>
                <w:sz w:val="24"/>
                <w:szCs w:val="24"/>
              </w:rPr>
              <w:t>Consent</w:t>
            </w:r>
          </w:p>
        </w:tc>
        <w:tc>
          <w:tcPr>
            <w:tcW w:w="6044" w:type="dxa"/>
            <w:tcBorders>
              <w:left w:val="nil"/>
              <w:right w:val="nil"/>
            </w:tcBorders>
          </w:tcPr>
          <w:p w14:paraId="3CB60FA5"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Any freely-given, specific, informed and unambiguous indication of a data subject’s wishes by which he or she, by a statement or by clear affirmative action, signifies agreement to the processing of his or her personal data.</w:t>
            </w:r>
          </w:p>
        </w:tc>
      </w:tr>
      <w:tr w:rsidR="006525BE" w:rsidRPr="006525BE" w14:paraId="55BF20C9" w14:textId="77777777" w:rsidTr="65F6576A">
        <w:tc>
          <w:tcPr>
            <w:tcW w:w="2972" w:type="dxa"/>
            <w:tcBorders>
              <w:left w:val="nil"/>
              <w:right w:val="nil"/>
            </w:tcBorders>
          </w:tcPr>
          <w:p w14:paraId="529C21D3"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Style w:val="Strong"/>
                <w:rFonts w:asciiTheme="minorHAnsi" w:hAnsiTheme="minorHAnsi" w:cstheme="minorHAnsi"/>
              </w:rPr>
              <w:t>Controller</w:t>
            </w:r>
          </w:p>
        </w:tc>
        <w:tc>
          <w:tcPr>
            <w:tcW w:w="6044" w:type="dxa"/>
            <w:tcBorders>
              <w:left w:val="nil"/>
              <w:right w:val="nil"/>
            </w:tcBorders>
          </w:tcPr>
          <w:p w14:paraId="4ACA80E1"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 person, public authority or body which, alone or jointly with others, determines the purposes and means of the processing of personal data.</w:t>
            </w:r>
          </w:p>
        </w:tc>
      </w:tr>
      <w:tr w:rsidR="006525BE" w:rsidRPr="006525BE" w14:paraId="5323CCA7" w14:textId="77777777" w:rsidTr="65F6576A">
        <w:trPr>
          <w:trHeight w:val="567"/>
        </w:trPr>
        <w:tc>
          <w:tcPr>
            <w:tcW w:w="2972" w:type="dxa"/>
            <w:tcBorders>
              <w:left w:val="nil"/>
              <w:right w:val="nil"/>
            </w:tcBorders>
          </w:tcPr>
          <w:p w14:paraId="2059B230"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Style w:val="Strong"/>
                <w:rFonts w:asciiTheme="minorHAnsi" w:hAnsiTheme="minorHAnsi" w:cstheme="minorHAnsi"/>
              </w:rPr>
              <w:t>Criminal offence data</w:t>
            </w:r>
          </w:p>
        </w:tc>
        <w:tc>
          <w:tcPr>
            <w:tcW w:w="6044" w:type="dxa"/>
            <w:tcBorders>
              <w:left w:val="nil"/>
              <w:right w:val="nil"/>
            </w:tcBorders>
          </w:tcPr>
          <w:p w14:paraId="2C1595E2" w14:textId="77777777" w:rsidR="006525BE" w:rsidRPr="006525BE" w:rsidRDefault="006525BE" w:rsidP="00116A73">
            <w:pPr>
              <w:rPr>
                <w:rFonts w:asciiTheme="minorHAnsi" w:hAnsiTheme="minorHAnsi" w:cstheme="minorHAnsi"/>
                <w:sz w:val="24"/>
                <w:szCs w:val="24"/>
              </w:rPr>
            </w:pPr>
            <w:r w:rsidRPr="006525BE">
              <w:rPr>
                <w:rFonts w:asciiTheme="minorHAnsi" w:hAnsiTheme="minorHAnsi" w:cstheme="minorHAnsi"/>
                <w:sz w:val="24"/>
                <w:szCs w:val="24"/>
                <w:lang w:val="en"/>
              </w:rPr>
              <w:t>Personal data relating to criminal convictions and offences, or related security measures.</w:t>
            </w:r>
          </w:p>
        </w:tc>
      </w:tr>
      <w:tr w:rsidR="006525BE" w:rsidRPr="006525BE" w14:paraId="751C5F0D" w14:textId="77777777" w:rsidTr="65F6576A">
        <w:tc>
          <w:tcPr>
            <w:tcW w:w="2972" w:type="dxa"/>
            <w:tcBorders>
              <w:left w:val="nil"/>
              <w:right w:val="nil"/>
            </w:tcBorders>
          </w:tcPr>
          <w:p w14:paraId="1F6EFC6F"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Style w:val="Strong"/>
                <w:rFonts w:asciiTheme="minorHAnsi" w:hAnsiTheme="minorHAnsi" w:cstheme="minorHAnsi"/>
              </w:rPr>
              <w:t>Data concerning health</w:t>
            </w:r>
          </w:p>
        </w:tc>
        <w:tc>
          <w:tcPr>
            <w:tcW w:w="6044" w:type="dxa"/>
            <w:tcBorders>
              <w:left w:val="nil"/>
              <w:right w:val="nil"/>
            </w:tcBorders>
          </w:tcPr>
          <w:p w14:paraId="7FD6F906"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Personal data related to the physical or mental health of a person, including the provision of health services, which reveal information about his or her health status.</w:t>
            </w:r>
          </w:p>
        </w:tc>
      </w:tr>
      <w:tr w:rsidR="006525BE" w:rsidRPr="006525BE" w14:paraId="5283CE52" w14:textId="77777777" w:rsidTr="65F6576A">
        <w:tc>
          <w:tcPr>
            <w:tcW w:w="2972" w:type="dxa"/>
            <w:tcBorders>
              <w:left w:val="nil"/>
              <w:right w:val="nil"/>
            </w:tcBorders>
          </w:tcPr>
          <w:p w14:paraId="5C7769EF"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Style w:val="Strong"/>
                <w:rFonts w:asciiTheme="minorHAnsi" w:hAnsiTheme="minorHAnsi" w:cstheme="minorHAnsi"/>
              </w:rPr>
              <w:t>Data sharing</w:t>
            </w:r>
          </w:p>
        </w:tc>
        <w:tc>
          <w:tcPr>
            <w:tcW w:w="6044" w:type="dxa"/>
            <w:tcBorders>
              <w:left w:val="nil"/>
              <w:right w:val="nil"/>
            </w:tcBorders>
          </w:tcPr>
          <w:p w14:paraId="6C27EB89"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The disclosure of data from one or more organisations to a third party organisation or organisation, or the sharing of data between difference parts of an organisation.</w:t>
            </w:r>
          </w:p>
        </w:tc>
      </w:tr>
      <w:tr w:rsidR="006525BE" w:rsidRPr="006525BE" w14:paraId="29E80789" w14:textId="77777777" w:rsidTr="65F6576A">
        <w:tc>
          <w:tcPr>
            <w:tcW w:w="2972" w:type="dxa"/>
            <w:tcBorders>
              <w:left w:val="nil"/>
              <w:right w:val="nil"/>
            </w:tcBorders>
          </w:tcPr>
          <w:p w14:paraId="258EFAD4"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Data processing agreement</w:t>
            </w:r>
          </w:p>
        </w:tc>
        <w:tc>
          <w:tcPr>
            <w:tcW w:w="6044" w:type="dxa"/>
            <w:tcBorders>
              <w:left w:val="nil"/>
              <w:right w:val="nil"/>
            </w:tcBorders>
          </w:tcPr>
          <w:p w14:paraId="79396516"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 document that sets out instructions to be followed by a processor when processing personal data on behalf of a controller</w:t>
            </w:r>
          </w:p>
        </w:tc>
      </w:tr>
      <w:tr w:rsidR="006525BE" w:rsidRPr="006525BE" w14:paraId="2323E374" w14:textId="77777777" w:rsidTr="65F6576A">
        <w:tc>
          <w:tcPr>
            <w:tcW w:w="2972" w:type="dxa"/>
            <w:tcBorders>
              <w:left w:val="nil"/>
              <w:right w:val="nil"/>
            </w:tcBorders>
          </w:tcPr>
          <w:p w14:paraId="4575E710"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Style w:val="Strong"/>
                <w:rFonts w:asciiTheme="minorHAnsi" w:hAnsiTheme="minorHAnsi" w:cstheme="minorHAnsi"/>
              </w:rPr>
              <w:t>Data sharing agreement</w:t>
            </w:r>
          </w:p>
        </w:tc>
        <w:tc>
          <w:tcPr>
            <w:tcW w:w="6044" w:type="dxa"/>
            <w:tcBorders>
              <w:left w:val="nil"/>
              <w:right w:val="nil"/>
            </w:tcBorders>
          </w:tcPr>
          <w:p w14:paraId="572E37EA"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 document that sets out a common set of rules to be adopted by controllers involved in a data sharing operation.</w:t>
            </w:r>
          </w:p>
        </w:tc>
      </w:tr>
      <w:tr w:rsidR="006525BE" w:rsidRPr="006525BE" w14:paraId="45C33A5A" w14:textId="77777777" w:rsidTr="65F6576A">
        <w:tc>
          <w:tcPr>
            <w:tcW w:w="2972" w:type="dxa"/>
            <w:tcBorders>
              <w:left w:val="nil"/>
              <w:right w:val="nil"/>
            </w:tcBorders>
          </w:tcPr>
          <w:p w14:paraId="32D98BA5"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Data subject</w:t>
            </w:r>
          </w:p>
        </w:tc>
        <w:tc>
          <w:tcPr>
            <w:tcW w:w="6044" w:type="dxa"/>
            <w:tcBorders>
              <w:left w:val="nil"/>
              <w:right w:val="nil"/>
            </w:tcBorders>
          </w:tcPr>
          <w:p w14:paraId="5ECEFCC0"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The identified or identifiable living individual to whom personal data relates.</w:t>
            </w:r>
          </w:p>
        </w:tc>
      </w:tr>
      <w:tr w:rsidR="006525BE" w:rsidRPr="006525BE" w14:paraId="3839C5A5" w14:textId="77777777" w:rsidTr="65F6576A">
        <w:tc>
          <w:tcPr>
            <w:tcW w:w="2972" w:type="dxa"/>
            <w:tcBorders>
              <w:left w:val="nil"/>
              <w:right w:val="nil"/>
            </w:tcBorders>
          </w:tcPr>
          <w:p w14:paraId="6DA2580C"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Direct marketing</w:t>
            </w:r>
          </w:p>
        </w:tc>
        <w:tc>
          <w:tcPr>
            <w:tcW w:w="6044" w:type="dxa"/>
            <w:tcBorders>
              <w:left w:val="nil"/>
              <w:right w:val="nil"/>
            </w:tcBorders>
          </w:tcPr>
          <w:p w14:paraId="0818BDE6"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The communication (by whatever means) of any advertising or marketing material which is directed to particular individuals.</w:t>
            </w:r>
          </w:p>
        </w:tc>
      </w:tr>
      <w:tr w:rsidR="006525BE" w:rsidRPr="006525BE" w14:paraId="465078D3" w14:textId="77777777" w:rsidTr="65F6576A">
        <w:tc>
          <w:tcPr>
            <w:tcW w:w="2972" w:type="dxa"/>
            <w:tcBorders>
              <w:left w:val="nil"/>
              <w:right w:val="nil"/>
            </w:tcBorders>
          </w:tcPr>
          <w:p w14:paraId="1B602169"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DPA 2018</w:t>
            </w:r>
          </w:p>
        </w:tc>
        <w:tc>
          <w:tcPr>
            <w:tcW w:w="6044" w:type="dxa"/>
            <w:tcBorders>
              <w:left w:val="nil"/>
              <w:right w:val="nil"/>
            </w:tcBorders>
          </w:tcPr>
          <w:p w14:paraId="51EE8426"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The Data Protection Act 2018</w:t>
            </w:r>
          </w:p>
        </w:tc>
      </w:tr>
      <w:tr w:rsidR="006525BE" w:rsidRPr="006525BE" w14:paraId="5E571F5F" w14:textId="77777777" w:rsidTr="65F6576A">
        <w:tc>
          <w:tcPr>
            <w:tcW w:w="2972" w:type="dxa"/>
            <w:tcBorders>
              <w:left w:val="nil"/>
              <w:right w:val="nil"/>
            </w:tcBorders>
          </w:tcPr>
          <w:p w14:paraId="18381A62"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DPIA</w:t>
            </w:r>
          </w:p>
        </w:tc>
        <w:tc>
          <w:tcPr>
            <w:tcW w:w="6044" w:type="dxa"/>
            <w:tcBorders>
              <w:left w:val="nil"/>
              <w:right w:val="nil"/>
            </w:tcBorders>
          </w:tcPr>
          <w:p w14:paraId="3B58F260"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Data protection impact assessment</w:t>
            </w:r>
          </w:p>
        </w:tc>
      </w:tr>
      <w:tr w:rsidR="65F6576A" w14:paraId="2CDCD788" w14:textId="77777777" w:rsidTr="65F6576A">
        <w:trPr>
          <w:trHeight w:val="300"/>
        </w:trPr>
        <w:tc>
          <w:tcPr>
            <w:tcW w:w="2972" w:type="dxa"/>
            <w:tcBorders>
              <w:left w:val="nil"/>
              <w:right w:val="nil"/>
            </w:tcBorders>
          </w:tcPr>
          <w:p w14:paraId="7E4E20EE" w14:textId="04AE11A9" w:rsidR="7BB94010" w:rsidRDefault="006230DA" w:rsidP="65F6576A">
            <w:pPr>
              <w:pStyle w:val="NormalWeb"/>
              <w:rPr>
                <w:rStyle w:val="Strong"/>
                <w:rFonts w:asciiTheme="minorHAnsi" w:hAnsiTheme="minorHAnsi" w:cstheme="minorBidi"/>
              </w:rPr>
            </w:pPr>
            <w:r w:rsidRPr="65F6576A">
              <w:rPr>
                <w:rStyle w:val="Strong"/>
                <w:rFonts w:asciiTheme="minorHAnsi" w:hAnsiTheme="minorHAnsi" w:cstheme="minorBidi"/>
              </w:rPr>
              <w:t>Data Protection Legislation</w:t>
            </w:r>
          </w:p>
        </w:tc>
        <w:tc>
          <w:tcPr>
            <w:tcW w:w="6044" w:type="dxa"/>
            <w:tcBorders>
              <w:left w:val="nil"/>
              <w:right w:val="nil"/>
            </w:tcBorders>
          </w:tcPr>
          <w:p w14:paraId="1E86EE62" w14:textId="180B4084" w:rsidR="7BB94010" w:rsidRDefault="006230DA" w:rsidP="65F6576A">
            <w:pPr>
              <w:pStyle w:val="NormalWeb"/>
              <w:rPr>
                <w:rFonts w:asciiTheme="minorHAnsi" w:hAnsiTheme="minorHAnsi" w:cstheme="minorBidi"/>
              </w:rPr>
            </w:pPr>
            <w:r w:rsidRPr="65F6576A">
              <w:rPr>
                <w:rFonts w:asciiTheme="minorHAnsi" w:hAnsiTheme="minorHAnsi" w:cstheme="minorBidi"/>
              </w:rPr>
              <w:t>Means the DPA 2018 and the UK GDPR</w:t>
            </w:r>
          </w:p>
        </w:tc>
      </w:tr>
      <w:tr w:rsidR="006525BE" w:rsidRPr="006525BE" w14:paraId="7DBE414D" w14:textId="77777777" w:rsidTr="65F6576A">
        <w:tc>
          <w:tcPr>
            <w:tcW w:w="2972" w:type="dxa"/>
            <w:tcBorders>
              <w:left w:val="nil"/>
              <w:right w:val="nil"/>
            </w:tcBorders>
          </w:tcPr>
          <w:p w14:paraId="4F5B58D3"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DPO</w:t>
            </w:r>
          </w:p>
        </w:tc>
        <w:tc>
          <w:tcPr>
            <w:tcW w:w="6044" w:type="dxa"/>
            <w:tcBorders>
              <w:left w:val="nil"/>
              <w:right w:val="nil"/>
            </w:tcBorders>
          </w:tcPr>
          <w:p w14:paraId="7E6B8445"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Data Protection Officer</w:t>
            </w:r>
          </w:p>
        </w:tc>
      </w:tr>
      <w:tr w:rsidR="006525BE" w:rsidRPr="006525BE" w14:paraId="617BA4A1" w14:textId="77777777" w:rsidTr="65F6576A">
        <w:tc>
          <w:tcPr>
            <w:tcW w:w="2972" w:type="dxa"/>
            <w:tcBorders>
              <w:left w:val="nil"/>
              <w:right w:val="nil"/>
            </w:tcBorders>
          </w:tcPr>
          <w:p w14:paraId="06DC1918"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Filing system</w:t>
            </w:r>
          </w:p>
        </w:tc>
        <w:tc>
          <w:tcPr>
            <w:tcW w:w="6044" w:type="dxa"/>
            <w:tcBorders>
              <w:left w:val="nil"/>
              <w:right w:val="nil"/>
            </w:tcBorders>
          </w:tcPr>
          <w:p w14:paraId="44BB5368"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Any structured set of personal data which is accessible according to specific criteria, whether held by automated means or manually and whether centralised, decentralised or dispersed on a functional or geographical basis.</w:t>
            </w:r>
          </w:p>
        </w:tc>
      </w:tr>
    </w:tbl>
    <w:p w14:paraId="5F67AB3F" w14:textId="77777777" w:rsidR="006525BE" w:rsidRPr="006525BE" w:rsidRDefault="006525BE" w:rsidP="006525BE">
      <w:pPr>
        <w:rPr>
          <w:rFonts w:cstheme="minorHAnsi"/>
          <w:sz w:val="24"/>
          <w:szCs w:val="24"/>
        </w:rPr>
      </w:pPr>
      <w:r w:rsidRPr="006525BE">
        <w:rPr>
          <w:rFonts w:cstheme="minorHAnsi"/>
          <w:sz w:val="24"/>
          <w:szCs w:val="24"/>
        </w:rPr>
        <w:br w:type="page"/>
      </w:r>
    </w:p>
    <w:tbl>
      <w:tblPr>
        <w:tblStyle w:val="TableGrid"/>
        <w:tblW w:w="0" w:type="auto"/>
        <w:tblLook w:val="04A0" w:firstRow="1" w:lastRow="0" w:firstColumn="1" w:lastColumn="0" w:noHBand="0" w:noVBand="1"/>
      </w:tblPr>
      <w:tblGrid>
        <w:gridCol w:w="2972"/>
        <w:gridCol w:w="6044"/>
      </w:tblGrid>
      <w:tr w:rsidR="006525BE" w:rsidRPr="006525BE" w14:paraId="52B19182" w14:textId="77777777" w:rsidTr="65F6576A">
        <w:tc>
          <w:tcPr>
            <w:tcW w:w="2972" w:type="dxa"/>
            <w:tcBorders>
              <w:left w:val="nil"/>
              <w:right w:val="nil"/>
            </w:tcBorders>
          </w:tcPr>
          <w:p w14:paraId="27218C45"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lastRenderedPageBreak/>
              <w:t>Genetic data</w:t>
            </w:r>
          </w:p>
        </w:tc>
        <w:tc>
          <w:tcPr>
            <w:tcW w:w="6044" w:type="dxa"/>
            <w:tcBorders>
              <w:left w:val="nil"/>
              <w:right w:val="nil"/>
            </w:tcBorders>
          </w:tcPr>
          <w:p w14:paraId="4D0EFA9F"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Personal data relating to the inherited or acquired genetic characteristics of a person which give unique information about the physiology or the health of that person and which result, in particular, from an analysis of a biological sample from the person in question.</w:t>
            </w:r>
          </w:p>
        </w:tc>
      </w:tr>
      <w:tr w:rsidR="006525BE" w:rsidRPr="006525BE" w14:paraId="6DFD8E3A" w14:textId="77777777" w:rsidTr="65F6576A">
        <w:tc>
          <w:tcPr>
            <w:tcW w:w="2972" w:type="dxa"/>
            <w:tcBorders>
              <w:left w:val="nil"/>
              <w:right w:val="nil"/>
            </w:tcBorders>
          </w:tcPr>
          <w:p w14:paraId="012809B6"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ICO</w:t>
            </w:r>
          </w:p>
          <w:p w14:paraId="78094AA7"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Information Commissioner</w:t>
            </w:r>
          </w:p>
        </w:tc>
        <w:tc>
          <w:tcPr>
            <w:tcW w:w="6044" w:type="dxa"/>
            <w:tcBorders>
              <w:left w:val="nil"/>
              <w:right w:val="nil"/>
            </w:tcBorders>
          </w:tcPr>
          <w:p w14:paraId="1781EA13" w14:textId="7869CF2C"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 xml:space="preserve">The supervisory authority for </w:t>
            </w:r>
            <w:r w:rsidR="007F52AB">
              <w:rPr>
                <w:rFonts w:asciiTheme="minorHAnsi" w:hAnsiTheme="minorHAnsi" w:cstheme="minorHAnsi"/>
              </w:rPr>
              <w:t>D</w:t>
            </w:r>
            <w:r w:rsidRPr="006525BE">
              <w:rPr>
                <w:rFonts w:asciiTheme="minorHAnsi" w:hAnsiTheme="minorHAnsi" w:cstheme="minorHAnsi"/>
              </w:rPr>
              <w:t xml:space="preserve">ata </w:t>
            </w:r>
            <w:r w:rsidR="007F52AB">
              <w:rPr>
                <w:rFonts w:asciiTheme="minorHAnsi" w:hAnsiTheme="minorHAnsi" w:cstheme="minorHAnsi"/>
              </w:rPr>
              <w:t>P</w:t>
            </w:r>
            <w:r w:rsidRPr="006525BE">
              <w:rPr>
                <w:rFonts w:asciiTheme="minorHAnsi" w:hAnsiTheme="minorHAnsi" w:cstheme="minorHAnsi"/>
              </w:rPr>
              <w:t xml:space="preserve">rotection </w:t>
            </w:r>
            <w:r w:rsidR="007F52AB">
              <w:rPr>
                <w:rFonts w:asciiTheme="minorHAnsi" w:hAnsiTheme="minorHAnsi" w:cstheme="minorHAnsi"/>
              </w:rPr>
              <w:t>L</w:t>
            </w:r>
            <w:r w:rsidRPr="006525BE">
              <w:rPr>
                <w:rFonts w:asciiTheme="minorHAnsi" w:hAnsiTheme="minorHAnsi" w:cstheme="minorHAnsi"/>
              </w:rPr>
              <w:t xml:space="preserve">egislation in the United Kingdom. The ICO’s web address is </w:t>
            </w:r>
            <w:hyperlink r:id="rId20" w:history="1">
              <w:r w:rsidRPr="006525BE">
                <w:rPr>
                  <w:rStyle w:val="Hyperlink"/>
                  <w:rFonts w:asciiTheme="minorHAnsi" w:hAnsiTheme="minorHAnsi" w:cstheme="minorHAnsi"/>
                </w:rPr>
                <w:t>www.ico.org.uk</w:t>
              </w:r>
            </w:hyperlink>
            <w:r w:rsidRPr="006525BE">
              <w:rPr>
                <w:rStyle w:val="Hyperlink"/>
                <w:rFonts w:asciiTheme="minorHAnsi" w:hAnsiTheme="minorHAnsi" w:cstheme="minorHAnsi"/>
              </w:rPr>
              <w:t>.</w:t>
            </w:r>
          </w:p>
        </w:tc>
      </w:tr>
      <w:tr w:rsidR="006525BE" w:rsidRPr="006525BE" w14:paraId="72B72B16" w14:textId="77777777" w:rsidTr="65F6576A">
        <w:tc>
          <w:tcPr>
            <w:tcW w:w="2972" w:type="dxa"/>
            <w:tcBorders>
              <w:left w:val="nil"/>
              <w:right w:val="nil"/>
            </w:tcBorders>
          </w:tcPr>
          <w:p w14:paraId="3346312B"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Identifiable person</w:t>
            </w:r>
          </w:p>
        </w:tc>
        <w:tc>
          <w:tcPr>
            <w:tcW w:w="6044" w:type="dxa"/>
            <w:tcBorders>
              <w:left w:val="nil"/>
              <w:right w:val="nil"/>
            </w:tcBorders>
          </w:tcPr>
          <w:p w14:paraId="26D92041"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 person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person.</w:t>
            </w:r>
          </w:p>
        </w:tc>
      </w:tr>
      <w:tr w:rsidR="006525BE" w:rsidRPr="006525BE" w14:paraId="3B831F5B" w14:textId="77777777" w:rsidTr="65F6576A">
        <w:tc>
          <w:tcPr>
            <w:tcW w:w="2972" w:type="dxa"/>
            <w:tcBorders>
              <w:left w:val="nil"/>
              <w:right w:val="nil"/>
            </w:tcBorders>
          </w:tcPr>
          <w:p w14:paraId="77FCE426"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Information society services</w:t>
            </w:r>
          </w:p>
        </w:tc>
        <w:tc>
          <w:tcPr>
            <w:tcW w:w="6044" w:type="dxa"/>
            <w:tcBorders>
              <w:left w:val="nil"/>
              <w:right w:val="nil"/>
            </w:tcBorders>
          </w:tcPr>
          <w:p w14:paraId="3BC97B11"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 xml:space="preserve">A service normally provided for remuneration, at a distance, by electronic means and at the individual request of a recipient of services. See </w:t>
            </w:r>
            <w:r w:rsidRPr="006525BE">
              <w:rPr>
                <w:rFonts w:asciiTheme="minorHAnsi" w:hAnsiTheme="minorHAnsi" w:cstheme="minorHAnsi"/>
                <w:lang w:val="en"/>
              </w:rPr>
              <w:t>Directive (EU) 2015/1535 for an indicative list of services excluded from this definition.</w:t>
            </w:r>
          </w:p>
        </w:tc>
      </w:tr>
      <w:tr w:rsidR="000D55DC" w:rsidRPr="006525BE" w14:paraId="090A90B6" w14:textId="77777777" w:rsidTr="65F6576A">
        <w:tc>
          <w:tcPr>
            <w:tcW w:w="2972" w:type="dxa"/>
            <w:tcBorders>
              <w:left w:val="nil"/>
              <w:right w:val="nil"/>
            </w:tcBorders>
          </w:tcPr>
          <w:p w14:paraId="15F8FB53" w14:textId="5F5FEF22" w:rsidR="000D55DC" w:rsidRPr="000D55DC" w:rsidRDefault="000D55DC" w:rsidP="00116A73">
            <w:pPr>
              <w:pStyle w:val="NormalWeb"/>
              <w:spacing w:before="0" w:beforeAutospacing="0" w:after="0" w:afterAutospacing="0"/>
              <w:rPr>
                <w:rStyle w:val="Strong"/>
                <w:rFonts w:asciiTheme="minorHAnsi" w:hAnsiTheme="minorHAnsi" w:cstheme="minorHAnsi"/>
              </w:rPr>
            </w:pPr>
            <w:r w:rsidRPr="000D55DC">
              <w:rPr>
                <w:rStyle w:val="Strong"/>
                <w:rFonts w:asciiTheme="minorHAnsi" w:hAnsiTheme="minorHAnsi" w:cstheme="minorHAnsi"/>
              </w:rPr>
              <w:t>Joint controller</w:t>
            </w:r>
          </w:p>
        </w:tc>
        <w:tc>
          <w:tcPr>
            <w:tcW w:w="6044" w:type="dxa"/>
            <w:tcBorders>
              <w:left w:val="nil"/>
              <w:right w:val="nil"/>
            </w:tcBorders>
          </w:tcPr>
          <w:p w14:paraId="0BCE6BCF" w14:textId="633A0C13" w:rsidR="000D55DC" w:rsidRPr="006525BE" w:rsidRDefault="000D55DC"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 person, public authority or body which, jointly with other</w:t>
            </w:r>
            <w:r w:rsidR="002C6721">
              <w:rPr>
                <w:rFonts w:asciiTheme="minorHAnsi" w:hAnsiTheme="minorHAnsi" w:cstheme="minorHAnsi"/>
              </w:rPr>
              <w:t xml:space="preserve"> controller</w:t>
            </w:r>
            <w:r w:rsidRPr="006525BE">
              <w:rPr>
                <w:rFonts w:asciiTheme="minorHAnsi" w:hAnsiTheme="minorHAnsi" w:cstheme="minorHAnsi"/>
              </w:rPr>
              <w:t>s, determines the purposes and means of the processing of personal data</w:t>
            </w:r>
            <w:r w:rsidR="002C6721">
              <w:rPr>
                <w:rFonts w:asciiTheme="minorHAnsi" w:hAnsiTheme="minorHAnsi" w:cstheme="minorHAnsi"/>
              </w:rPr>
              <w:t>.</w:t>
            </w:r>
          </w:p>
        </w:tc>
      </w:tr>
      <w:tr w:rsidR="006525BE" w:rsidRPr="006525BE" w14:paraId="319700A9" w14:textId="77777777" w:rsidTr="65F6576A">
        <w:tc>
          <w:tcPr>
            <w:tcW w:w="2972" w:type="dxa"/>
            <w:tcBorders>
              <w:left w:val="nil"/>
              <w:right w:val="nil"/>
            </w:tcBorders>
          </w:tcPr>
          <w:p w14:paraId="3056BA47"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PECR</w:t>
            </w:r>
          </w:p>
        </w:tc>
        <w:tc>
          <w:tcPr>
            <w:tcW w:w="6044" w:type="dxa"/>
            <w:tcBorders>
              <w:left w:val="nil"/>
              <w:right w:val="nil"/>
            </w:tcBorders>
          </w:tcPr>
          <w:p w14:paraId="0A3515EE"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The Privacy &amp; Electronic Communications (EC Directive) Regulations 2003 - 2016</w:t>
            </w:r>
          </w:p>
        </w:tc>
      </w:tr>
      <w:tr w:rsidR="006525BE" w:rsidRPr="006525BE" w14:paraId="70F6EAF3" w14:textId="77777777" w:rsidTr="65F6576A">
        <w:tc>
          <w:tcPr>
            <w:tcW w:w="2972" w:type="dxa"/>
            <w:tcBorders>
              <w:left w:val="nil"/>
              <w:right w:val="nil"/>
            </w:tcBorders>
          </w:tcPr>
          <w:p w14:paraId="09012BE3"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Personal data</w:t>
            </w:r>
          </w:p>
        </w:tc>
        <w:tc>
          <w:tcPr>
            <w:tcW w:w="6044" w:type="dxa"/>
            <w:tcBorders>
              <w:left w:val="nil"/>
              <w:right w:val="nil"/>
            </w:tcBorders>
          </w:tcPr>
          <w:p w14:paraId="0CFD6ACD"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Any information relating to an identified or identifiable living person.</w:t>
            </w:r>
          </w:p>
        </w:tc>
      </w:tr>
      <w:tr w:rsidR="006525BE" w:rsidRPr="006525BE" w14:paraId="7447F0F9" w14:textId="77777777" w:rsidTr="65F6576A">
        <w:tc>
          <w:tcPr>
            <w:tcW w:w="2972" w:type="dxa"/>
            <w:tcBorders>
              <w:left w:val="nil"/>
              <w:right w:val="nil"/>
            </w:tcBorders>
          </w:tcPr>
          <w:p w14:paraId="4BA05A1F"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Personal data breach</w:t>
            </w:r>
          </w:p>
        </w:tc>
        <w:tc>
          <w:tcPr>
            <w:tcW w:w="6044" w:type="dxa"/>
            <w:tcBorders>
              <w:left w:val="nil"/>
              <w:right w:val="nil"/>
            </w:tcBorders>
          </w:tcPr>
          <w:p w14:paraId="61AE3C30" w14:textId="4CAF15E3"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 xml:space="preserve">A breach of security leading to the accidental or unlawful destruction, loss, alteration, unauthorised disclosure of, or access to, personal data transmitted, </w:t>
            </w:r>
            <w:r w:rsidR="00173340" w:rsidRPr="006525BE">
              <w:rPr>
                <w:rFonts w:asciiTheme="minorHAnsi" w:hAnsiTheme="minorHAnsi" w:cstheme="minorHAnsi"/>
              </w:rPr>
              <w:t>stored,</w:t>
            </w:r>
            <w:r w:rsidRPr="006525BE">
              <w:rPr>
                <w:rFonts w:asciiTheme="minorHAnsi" w:hAnsiTheme="minorHAnsi" w:cstheme="minorHAnsi"/>
              </w:rPr>
              <w:t xml:space="preserve"> or otherwise processed.</w:t>
            </w:r>
          </w:p>
        </w:tc>
      </w:tr>
      <w:tr w:rsidR="006525BE" w:rsidRPr="006525BE" w14:paraId="6A8B3D67" w14:textId="77777777" w:rsidTr="65F6576A">
        <w:tc>
          <w:tcPr>
            <w:tcW w:w="2972" w:type="dxa"/>
            <w:tcBorders>
              <w:left w:val="nil"/>
              <w:right w:val="nil"/>
            </w:tcBorders>
          </w:tcPr>
          <w:p w14:paraId="06F4841C"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Processing</w:t>
            </w:r>
          </w:p>
        </w:tc>
        <w:tc>
          <w:tcPr>
            <w:tcW w:w="6044" w:type="dxa"/>
            <w:tcBorders>
              <w:left w:val="nil"/>
              <w:right w:val="nil"/>
            </w:tcBorders>
          </w:tcPr>
          <w:p w14:paraId="6D7CDF31"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Any operation which is performed on personal data, such as collection, recording, organisation, structuring, storage, adaptation or alteration, retrieval, consultation, use, disclosure by transmission, dissemination or otherwise making available, alignment or combination, restriction, erasure or destruction.</w:t>
            </w:r>
          </w:p>
        </w:tc>
      </w:tr>
      <w:tr w:rsidR="006525BE" w:rsidRPr="006525BE" w14:paraId="41120AAD" w14:textId="77777777" w:rsidTr="65F6576A">
        <w:tc>
          <w:tcPr>
            <w:tcW w:w="2972" w:type="dxa"/>
            <w:tcBorders>
              <w:left w:val="nil"/>
              <w:right w:val="nil"/>
            </w:tcBorders>
          </w:tcPr>
          <w:p w14:paraId="7ABF9A1E"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Processor</w:t>
            </w:r>
          </w:p>
        </w:tc>
        <w:tc>
          <w:tcPr>
            <w:tcW w:w="6044" w:type="dxa"/>
            <w:tcBorders>
              <w:left w:val="nil"/>
              <w:right w:val="nil"/>
            </w:tcBorders>
          </w:tcPr>
          <w:p w14:paraId="23885AD9"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 person, public authority or body which processes personal data on behalf of the controller.</w:t>
            </w:r>
          </w:p>
        </w:tc>
      </w:tr>
      <w:tr w:rsidR="006525BE" w:rsidRPr="006525BE" w14:paraId="7E78DECF" w14:textId="77777777" w:rsidTr="65F6576A">
        <w:tc>
          <w:tcPr>
            <w:tcW w:w="2972" w:type="dxa"/>
            <w:tcBorders>
              <w:left w:val="nil"/>
              <w:right w:val="nil"/>
            </w:tcBorders>
          </w:tcPr>
          <w:p w14:paraId="6C307280"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Profiling</w:t>
            </w:r>
          </w:p>
        </w:tc>
        <w:tc>
          <w:tcPr>
            <w:tcW w:w="6044" w:type="dxa"/>
            <w:tcBorders>
              <w:left w:val="nil"/>
              <w:right w:val="nil"/>
            </w:tcBorders>
          </w:tcPr>
          <w:p w14:paraId="19A588AC"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Any form of automated processing personal data consisting of the use of personal data to evaluate certain personal aspects relating to that person, in particular to analyse or predict aspects concerning that person’s performance at work, economic situation, health, personal preferences, interests, reliability, behaviour, location or movement.</w:t>
            </w:r>
          </w:p>
        </w:tc>
      </w:tr>
      <w:tr w:rsidR="006525BE" w:rsidRPr="006525BE" w14:paraId="7A4EACF6" w14:textId="77777777" w:rsidTr="65F6576A">
        <w:tc>
          <w:tcPr>
            <w:tcW w:w="2972" w:type="dxa"/>
            <w:tcBorders>
              <w:left w:val="nil"/>
              <w:right w:val="nil"/>
            </w:tcBorders>
          </w:tcPr>
          <w:p w14:paraId="7E08B178"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Pseudonymisation</w:t>
            </w:r>
          </w:p>
        </w:tc>
        <w:tc>
          <w:tcPr>
            <w:tcW w:w="6044" w:type="dxa"/>
            <w:tcBorders>
              <w:left w:val="nil"/>
              <w:right w:val="nil"/>
            </w:tcBorders>
          </w:tcPr>
          <w:p w14:paraId="2E8D359E"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 xml:space="preserve">The processing of personal data in such a manner that the personal data can no longer be attributed to a specific data subject without the use of additional information, provided that such additional information is kept separately and is </w:t>
            </w:r>
            <w:r w:rsidRPr="006525BE">
              <w:rPr>
                <w:rFonts w:asciiTheme="minorHAnsi" w:hAnsiTheme="minorHAnsi" w:cstheme="minorHAnsi"/>
              </w:rPr>
              <w:lastRenderedPageBreak/>
              <w:t>subject to technical and organisational measures to ensure that the personal data are not attributed to an identified or identifiable person.</w:t>
            </w:r>
          </w:p>
        </w:tc>
      </w:tr>
      <w:tr w:rsidR="006525BE" w:rsidRPr="006525BE" w14:paraId="7BF182B9" w14:textId="77777777" w:rsidTr="65F6576A">
        <w:tc>
          <w:tcPr>
            <w:tcW w:w="2972" w:type="dxa"/>
            <w:tcBorders>
              <w:left w:val="nil"/>
              <w:bottom w:val="nil"/>
              <w:right w:val="nil"/>
            </w:tcBorders>
          </w:tcPr>
          <w:p w14:paraId="374E4CE8"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lastRenderedPageBreak/>
              <w:t>Special categories of personal data</w:t>
            </w:r>
          </w:p>
        </w:tc>
        <w:tc>
          <w:tcPr>
            <w:tcW w:w="6044" w:type="dxa"/>
            <w:tcBorders>
              <w:left w:val="nil"/>
              <w:bottom w:val="nil"/>
              <w:right w:val="nil"/>
            </w:tcBorders>
          </w:tcPr>
          <w:p w14:paraId="51E93DB7"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Personal data revealing racial or ethnic origin, political opinions, religious or philosophical beliefs or trade union membership; genetic data or biometric data when processed to identify a person; or data concerning a person’s health, sex life or sexual orientation.</w:t>
            </w:r>
          </w:p>
        </w:tc>
      </w:tr>
      <w:tr w:rsidR="006525BE" w:rsidRPr="006525BE" w14:paraId="5A7D5CF9" w14:textId="77777777" w:rsidTr="65F6576A">
        <w:tc>
          <w:tcPr>
            <w:tcW w:w="2972" w:type="dxa"/>
            <w:tcBorders>
              <w:left w:val="nil"/>
              <w:bottom w:val="nil"/>
              <w:right w:val="nil"/>
            </w:tcBorders>
          </w:tcPr>
          <w:p w14:paraId="7B30ECF6" w14:textId="77777777" w:rsidR="006525BE" w:rsidRPr="006525BE" w:rsidRDefault="006525BE" w:rsidP="00116A73">
            <w:pPr>
              <w:pStyle w:val="NormalWeb"/>
              <w:spacing w:before="0" w:beforeAutospacing="0" w:after="0" w:afterAutospacing="0"/>
              <w:rPr>
                <w:rStyle w:val="Strong"/>
                <w:rFonts w:asciiTheme="minorHAnsi" w:hAnsiTheme="minorHAnsi" w:cstheme="minorHAnsi"/>
              </w:rPr>
            </w:pPr>
            <w:r w:rsidRPr="006525BE">
              <w:rPr>
                <w:rStyle w:val="Strong"/>
                <w:rFonts w:asciiTheme="minorHAnsi" w:hAnsiTheme="minorHAnsi" w:cstheme="minorHAnsi"/>
              </w:rPr>
              <w:t>UK GDPR</w:t>
            </w:r>
          </w:p>
        </w:tc>
        <w:tc>
          <w:tcPr>
            <w:tcW w:w="6044" w:type="dxa"/>
            <w:tcBorders>
              <w:left w:val="nil"/>
              <w:bottom w:val="nil"/>
              <w:right w:val="nil"/>
            </w:tcBorders>
          </w:tcPr>
          <w:p w14:paraId="1EFFA004"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The UK General Data Protection Regulation.</w:t>
            </w:r>
          </w:p>
          <w:p w14:paraId="4FAA7CAA" w14:textId="77777777" w:rsidR="006525BE" w:rsidRPr="006525BE" w:rsidRDefault="006525BE" w:rsidP="00116A73">
            <w:pPr>
              <w:pStyle w:val="NormalWeb"/>
              <w:spacing w:before="0" w:beforeAutospacing="0" w:after="0" w:afterAutospacing="0"/>
              <w:rPr>
                <w:rFonts w:asciiTheme="minorHAnsi" w:hAnsiTheme="minorHAnsi" w:cstheme="minorHAnsi"/>
              </w:rPr>
            </w:pPr>
            <w:r w:rsidRPr="006525BE">
              <w:rPr>
                <w:rFonts w:asciiTheme="minorHAnsi" w:hAnsiTheme="minorHAnsi" w:cstheme="minorHAnsi"/>
              </w:rPr>
              <w:t>Regulation (EU) 2016/679 of the European Parliament and of the Council of 27 April 2016 as it forms part of UK law by virtue of section 3 of the European Union (Withdrawal) Act 2018.</w:t>
            </w:r>
          </w:p>
        </w:tc>
      </w:tr>
      <w:tr w:rsidR="65F6576A" w14:paraId="20B09719" w14:textId="77777777" w:rsidTr="65F6576A">
        <w:trPr>
          <w:trHeight w:val="300"/>
        </w:trPr>
        <w:tc>
          <w:tcPr>
            <w:tcW w:w="2972" w:type="dxa"/>
            <w:tcBorders>
              <w:left w:val="nil"/>
              <w:bottom w:val="nil"/>
              <w:right w:val="nil"/>
            </w:tcBorders>
          </w:tcPr>
          <w:p w14:paraId="5848A37E" w14:textId="17773ADF" w:rsidR="65F6576A" w:rsidRDefault="65F6576A" w:rsidP="65F6576A">
            <w:pPr>
              <w:pStyle w:val="NormalWeb"/>
              <w:rPr>
                <w:rStyle w:val="Strong"/>
                <w:rFonts w:asciiTheme="minorHAnsi" w:hAnsiTheme="minorHAnsi" w:cstheme="minorBidi"/>
              </w:rPr>
            </w:pPr>
          </w:p>
        </w:tc>
        <w:tc>
          <w:tcPr>
            <w:tcW w:w="6044" w:type="dxa"/>
            <w:tcBorders>
              <w:left w:val="nil"/>
              <w:bottom w:val="nil"/>
              <w:right w:val="nil"/>
            </w:tcBorders>
          </w:tcPr>
          <w:p w14:paraId="6853AC38" w14:textId="76B792FB" w:rsidR="65F6576A" w:rsidRDefault="65F6576A" w:rsidP="65F6576A">
            <w:pPr>
              <w:pStyle w:val="NormalWeb"/>
              <w:rPr>
                <w:rFonts w:asciiTheme="minorHAnsi" w:hAnsiTheme="minorHAnsi" w:cstheme="minorBidi"/>
              </w:rPr>
            </w:pPr>
          </w:p>
        </w:tc>
      </w:tr>
    </w:tbl>
    <w:p w14:paraId="1664A6C8" w14:textId="77777777" w:rsidR="006525BE" w:rsidRPr="006525BE" w:rsidRDefault="006525BE" w:rsidP="006525BE">
      <w:pPr>
        <w:rPr>
          <w:rFonts w:cstheme="minorHAnsi"/>
          <w:sz w:val="24"/>
          <w:szCs w:val="24"/>
        </w:rPr>
      </w:pPr>
    </w:p>
    <w:p w14:paraId="2E5F16D5" w14:textId="77777777" w:rsidR="006525BE" w:rsidRPr="006525BE" w:rsidRDefault="006525BE" w:rsidP="006525BE">
      <w:pPr>
        <w:pStyle w:val="ListBullet"/>
        <w:rPr>
          <w:rFonts w:asciiTheme="minorHAnsi" w:hAnsiTheme="minorHAnsi" w:cstheme="minorHAnsi"/>
          <w:szCs w:val="24"/>
        </w:rPr>
      </w:pPr>
      <w:r w:rsidRPr="006525BE">
        <w:rPr>
          <w:rFonts w:asciiTheme="minorHAnsi" w:hAnsiTheme="minorHAnsi" w:cstheme="minorHAnsi"/>
          <w:szCs w:val="24"/>
        </w:rPr>
        <w:br w:type="page"/>
      </w:r>
    </w:p>
    <w:p w14:paraId="10FBAA7F" w14:textId="77777777" w:rsidR="006525BE" w:rsidRPr="006525BE" w:rsidRDefault="006525BE" w:rsidP="006525BE">
      <w:pPr>
        <w:pStyle w:val="Heading1"/>
        <w:numPr>
          <w:ilvl w:val="0"/>
          <w:numId w:val="0"/>
        </w:numPr>
        <w:rPr>
          <w:rFonts w:asciiTheme="minorHAnsi" w:hAnsiTheme="minorHAnsi" w:cstheme="minorHAnsi"/>
          <w:szCs w:val="24"/>
        </w:rPr>
      </w:pPr>
      <w:r w:rsidRPr="006525BE">
        <w:rPr>
          <w:rFonts w:asciiTheme="minorHAnsi" w:hAnsiTheme="minorHAnsi" w:cstheme="minorHAnsi"/>
          <w:szCs w:val="24"/>
        </w:rPr>
        <w:lastRenderedPageBreak/>
        <w:t>Approval/Review History</w:t>
      </w:r>
    </w:p>
    <w:tbl>
      <w:tblPr>
        <w:tblStyle w:val="TableGrid"/>
        <w:tblW w:w="8931" w:type="dxa"/>
        <w:tblInd w:w="-5" w:type="dxa"/>
        <w:tblLook w:val="04A0" w:firstRow="1" w:lastRow="0" w:firstColumn="1" w:lastColumn="0" w:noHBand="0" w:noVBand="1"/>
      </w:tblPr>
      <w:tblGrid>
        <w:gridCol w:w="1560"/>
        <w:gridCol w:w="5528"/>
        <w:gridCol w:w="1843"/>
      </w:tblGrid>
      <w:tr w:rsidR="006525BE" w:rsidRPr="006525BE" w14:paraId="011497A7" w14:textId="77777777" w:rsidTr="00E57A79">
        <w:trPr>
          <w:tblHeader/>
        </w:trPr>
        <w:tc>
          <w:tcPr>
            <w:tcW w:w="1560" w:type="dxa"/>
            <w:shd w:val="clear" w:color="auto" w:fill="D9D9D9" w:themeFill="background1" w:themeFillShade="D9"/>
            <w:vAlign w:val="center"/>
          </w:tcPr>
          <w:p w14:paraId="21C877B2"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Version</w:t>
            </w:r>
          </w:p>
        </w:tc>
        <w:tc>
          <w:tcPr>
            <w:tcW w:w="5528" w:type="dxa"/>
            <w:shd w:val="clear" w:color="auto" w:fill="D9D9D9" w:themeFill="background1" w:themeFillShade="D9"/>
            <w:vAlign w:val="center"/>
          </w:tcPr>
          <w:p w14:paraId="22A4ABED"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Date</w:t>
            </w:r>
          </w:p>
        </w:tc>
        <w:tc>
          <w:tcPr>
            <w:tcW w:w="1843" w:type="dxa"/>
            <w:shd w:val="clear" w:color="auto" w:fill="D9D9D9" w:themeFill="background1" w:themeFillShade="D9"/>
            <w:vAlign w:val="center"/>
          </w:tcPr>
          <w:p w14:paraId="226468C8"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Action</w:t>
            </w:r>
          </w:p>
        </w:tc>
      </w:tr>
      <w:tr w:rsidR="006525BE" w:rsidRPr="006525BE" w14:paraId="4988CD78" w14:textId="77777777" w:rsidTr="00E57A79">
        <w:tc>
          <w:tcPr>
            <w:tcW w:w="1560" w:type="dxa"/>
            <w:vAlign w:val="center"/>
          </w:tcPr>
          <w:p w14:paraId="0E0A90BA"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[1.0]</w:t>
            </w:r>
          </w:p>
        </w:tc>
        <w:tc>
          <w:tcPr>
            <w:tcW w:w="5528" w:type="dxa"/>
            <w:vAlign w:val="center"/>
          </w:tcPr>
          <w:p w14:paraId="465EE5BF"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University Court, 25 May 2004</w:t>
            </w:r>
          </w:p>
        </w:tc>
        <w:tc>
          <w:tcPr>
            <w:tcW w:w="1843" w:type="dxa"/>
            <w:vAlign w:val="center"/>
          </w:tcPr>
          <w:p w14:paraId="41A09BE1"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Approved</w:t>
            </w:r>
          </w:p>
        </w:tc>
      </w:tr>
      <w:tr w:rsidR="006525BE" w:rsidRPr="006525BE" w14:paraId="5DB8AC6E" w14:textId="77777777" w:rsidTr="00E57A79">
        <w:tc>
          <w:tcPr>
            <w:tcW w:w="1560" w:type="dxa"/>
            <w:vAlign w:val="center"/>
          </w:tcPr>
          <w:p w14:paraId="203F606B"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[2.0]</w:t>
            </w:r>
          </w:p>
        </w:tc>
        <w:tc>
          <w:tcPr>
            <w:tcW w:w="5528" w:type="dxa"/>
            <w:vAlign w:val="center"/>
          </w:tcPr>
          <w:p w14:paraId="3A62AAF5"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University Court, 28 June 2011</w:t>
            </w:r>
          </w:p>
        </w:tc>
        <w:tc>
          <w:tcPr>
            <w:tcW w:w="1843" w:type="dxa"/>
            <w:vAlign w:val="center"/>
          </w:tcPr>
          <w:p w14:paraId="76455AC8"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Updated</w:t>
            </w:r>
          </w:p>
        </w:tc>
      </w:tr>
      <w:tr w:rsidR="006525BE" w:rsidRPr="006525BE" w14:paraId="6587FB0E" w14:textId="77777777" w:rsidTr="00E57A79">
        <w:tc>
          <w:tcPr>
            <w:tcW w:w="1560" w:type="dxa"/>
            <w:vAlign w:val="center"/>
          </w:tcPr>
          <w:p w14:paraId="10BBE8E2"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[2.1]</w:t>
            </w:r>
          </w:p>
        </w:tc>
        <w:tc>
          <w:tcPr>
            <w:tcW w:w="5528" w:type="dxa"/>
            <w:vAlign w:val="center"/>
          </w:tcPr>
          <w:p w14:paraId="13E1CF51"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Data Protection Officer, March 2015</w:t>
            </w:r>
          </w:p>
        </w:tc>
        <w:tc>
          <w:tcPr>
            <w:tcW w:w="1843" w:type="dxa"/>
            <w:vAlign w:val="center"/>
          </w:tcPr>
          <w:p w14:paraId="58DB0627"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Minor updates</w:t>
            </w:r>
          </w:p>
        </w:tc>
      </w:tr>
      <w:tr w:rsidR="006525BE" w:rsidRPr="006525BE" w14:paraId="3972B28A" w14:textId="77777777" w:rsidTr="00E57A79">
        <w:tc>
          <w:tcPr>
            <w:tcW w:w="1560" w:type="dxa"/>
            <w:vAlign w:val="center"/>
          </w:tcPr>
          <w:p w14:paraId="2CB72FB7"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[2.2]</w:t>
            </w:r>
          </w:p>
        </w:tc>
        <w:tc>
          <w:tcPr>
            <w:tcW w:w="5528" w:type="dxa"/>
            <w:vAlign w:val="center"/>
          </w:tcPr>
          <w:p w14:paraId="0AAE3AFA"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Data Protection Officer, April 2015</w:t>
            </w:r>
          </w:p>
        </w:tc>
        <w:tc>
          <w:tcPr>
            <w:tcW w:w="1843" w:type="dxa"/>
            <w:vAlign w:val="center"/>
          </w:tcPr>
          <w:p w14:paraId="591944D6"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Minor updates</w:t>
            </w:r>
          </w:p>
        </w:tc>
      </w:tr>
      <w:tr w:rsidR="006525BE" w:rsidRPr="006525BE" w14:paraId="67327112" w14:textId="77777777" w:rsidTr="00E57A79">
        <w:tc>
          <w:tcPr>
            <w:tcW w:w="1560" w:type="dxa"/>
            <w:vAlign w:val="center"/>
          </w:tcPr>
          <w:p w14:paraId="00382816"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3.0</w:t>
            </w:r>
          </w:p>
        </w:tc>
        <w:tc>
          <w:tcPr>
            <w:tcW w:w="5528" w:type="dxa"/>
            <w:vAlign w:val="center"/>
          </w:tcPr>
          <w:p w14:paraId="05668034"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Operating Board, 6 March 2019</w:t>
            </w:r>
          </w:p>
        </w:tc>
        <w:tc>
          <w:tcPr>
            <w:tcW w:w="1843" w:type="dxa"/>
            <w:vAlign w:val="center"/>
          </w:tcPr>
          <w:p w14:paraId="485104D0"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Approved</w:t>
            </w:r>
          </w:p>
        </w:tc>
      </w:tr>
      <w:tr w:rsidR="006525BE" w:rsidRPr="006525BE" w14:paraId="2037B58A" w14:textId="77777777" w:rsidTr="00E57A79">
        <w:tc>
          <w:tcPr>
            <w:tcW w:w="1560" w:type="dxa"/>
            <w:vAlign w:val="center"/>
          </w:tcPr>
          <w:p w14:paraId="15289A81"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4.0</w:t>
            </w:r>
          </w:p>
        </w:tc>
        <w:tc>
          <w:tcPr>
            <w:tcW w:w="5528" w:type="dxa"/>
            <w:vAlign w:val="center"/>
          </w:tcPr>
          <w:p w14:paraId="51BC0DF8"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Information Governance Committee, 16 April 2020</w:t>
            </w:r>
          </w:p>
        </w:tc>
        <w:tc>
          <w:tcPr>
            <w:tcW w:w="1843" w:type="dxa"/>
            <w:vAlign w:val="center"/>
          </w:tcPr>
          <w:p w14:paraId="3670CB65"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Approved</w:t>
            </w:r>
          </w:p>
        </w:tc>
      </w:tr>
      <w:tr w:rsidR="006525BE" w:rsidRPr="006525BE" w14:paraId="3D04D336" w14:textId="77777777" w:rsidTr="00E57A79">
        <w:tc>
          <w:tcPr>
            <w:tcW w:w="1560" w:type="dxa"/>
            <w:vAlign w:val="center"/>
          </w:tcPr>
          <w:p w14:paraId="143C2C6D" w14:textId="77777777" w:rsidR="006525BE" w:rsidRPr="006525BE" w:rsidRDefault="006525BE" w:rsidP="00116A73">
            <w:pPr>
              <w:jc w:val="center"/>
              <w:rPr>
                <w:rFonts w:asciiTheme="minorHAnsi" w:hAnsiTheme="minorHAnsi" w:cstheme="minorHAnsi"/>
                <w:sz w:val="24"/>
                <w:szCs w:val="24"/>
              </w:rPr>
            </w:pPr>
            <w:r w:rsidRPr="006525BE">
              <w:rPr>
                <w:rFonts w:asciiTheme="minorHAnsi" w:hAnsiTheme="minorHAnsi" w:cstheme="minorHAnsi"/>
                <w:sz w:val="24"/>
                <w:szCs w:val="24"/>
              </w:rPr>
              <w:t>5.0</w:t>
            </w:r>
          </w:p>
        </w:tc>
        <w:tc>
          <w:tcPr>
            <w:tcW w:w="5528" w:type="dxa"/>
            <w:vAlign w:val="center"/>
          </w:tcPr>
          <w:p w14:paraId="63811B66" w14:textId="177CF7FB" w:rsidR="006525BE" w:rsidRPr="006525BE" w:rsidRDefault="00E57A79" w:rsidP="00116A73">
            <w:pPr>
              <w:spacing w:before="60" w:after="60"/>
              <w:jc w:val="center"/>
              <w:rPr>
                <w:rFonts w:asciiTheme="minorHAnsi" w:hAnsiTheme="minorHAnsi" w:cstheme="minorHAnsi"/>
                <w:sz w:val="24"/>
                <w:szCs w:val="24"/>
              </w:rPr>
            </w:pPr>
            <w:r>
              <w:rPr>
                <w:rFonts w:asciiTheme="minorHAnsi" w:hAnsiTheme="minorHAnsi" w:cstheme="minorHAnsi"/>
                <w:sz w:val="24"/>
                <w:szCs w:val="24"/>
              </w:rPr>
              <w:t>Information Governance Committee, 2 March 2021</w:t>
            </w:r>
          </w:p>
        </w:tc>
        <w:tc>
          <w:tcPr>
            <w:tcW w:w="1843" w:type="dxa"/>
            <w:vAlign w:val="center"/>
          </w:tcPr>
          <w:p w14:paraId="6B051508" w14:textId="3498831C" w:rsidR="006525BE" w:rsidRPr="006525BE" w:rsidRDefault="00E57A79" w:rsidP="00116A73">
            <w:pPr>
              <w:spacing w:before="60" w:after="60"/>
              <w:jc w:val="center"/>
              <w:rPr>
                <w:rFonts w:asciiTheme="minorHAnsi" w:hAnsiTheme="minorHAnsi" w:cstheme="minorHAnsi"/>
                <w:sz w:val="24"/>
                <w:szCs w:val="24"/>
              </w:rPr>
            </w:pPr>
            <w:r>
              <w:rPr>
                <w:rFonts w:asciiTheme="minorHAnsi" w:hAnsiTheme="minorHAnsi" w:cstheme="minorHAnsi"/>
                <w:sz w:val="24"/>
                <w:szCs w:val="24"/>
              </w:rPr>
              <w:t>Approved</w:t>
            </w:r>
          </w:p>
        </w:tc>
      </w:tr>
      <w:tr w:rsidR="00E57A79" w:rsidRPr="006525BE" w14:paraId="280A2BCD" w14:textId="77777777" w:rsidTr="00E57A79">
        <w:tc>
          <w:tcPr>
            <w:tcW w:w="1560" w:type="dxa"/>
            <w:vAlign w:val="center"/>
          </w:tcPr>
          <w:p w14:paraId="15625D69" w14:textId="670E2012" w:rsidR="00E57A79" w:rsidRPr="00E57A79" w:rsidRDefault="00E57A79" w:rsidP="00116A73">
            <w:pPr>
              <w:jc w:val="center"/>
              <w:rPr>
                <w:rFonts w:ascii="Calibri" w:hAnsi="Calibri" w:cs="Calibri"/>
                <w:sz w:val="24"/>
                <w:szCs w:val="24"/>
              </w:rPr>
            </w:pPr>
            <w:r w:rsidRPr="00E57A79">
              <w:rPr>
                <w:rFonts w:ascii="Calibri" w:hAnsi="Calibri" w:cs="Calibri"/>
                <w:sz w:val="24"/>
                <w:szCs w:val="24"/>
              </w:rPr>
              <w:t>6.0</w:t>
            </w:r>
          </w:p>
        </w:tc>
        <w:tc>
          <w:tcPr>
            <w:tcW w:w="5528" w:type="dxa"/>
            <w:vAlign w:val="center"/>
          </w:tcPr>
          <w:p w14:paraId="79A62FB3" w14:textId="61D199CC" w:rsidR="00E57A79" w:rsidRPr="00E57A79" w:rsidRDefault="00E57A79" w:rsidP="00116A73">
            <w:pPr>
              <w:spacing w:before="60" w:after="60"/>
              <w:jc w:val="center"/>
              <w:rPr>
                <w:rFonts w:ascii="Calibri" w:hAnsi="Calibri" w:cs="Calibri"/>
                <w:sz w:val="24"/>
                <w:szCs w:val="24"/>
              </w:rPr>
            </w:pPr>
            <w:r w:rsidRPr="00E57A79">
              <w:rPr>
                <w:rFonts w:ascii="Calibri" w:hAnsi="Calibri" w:cs="Calibri"/>
                <w:sz w:val="24"/>
                <w:szCs w:val="24"/>
              </w:rPr>
              <w:t>Information Governance Committee, 11 August 2021</w:t>
            </w:r>
          </w:p>
        </w:tc>
        <w:tc>
          <w:tcPr>
            <w:tcW w:w="1843" w:type="dxa"/>
            <w:vAlign w:val="center"/>
          </w:tcPr>
          <w:p w14:paraId="7780ECD2" w14:textId="0867A681" w:rsidR="00E57A79" w:rsidRPr="00E57A79" w:rsidRDefault="00507CC8" w:rsidP="00116A73">
            <w:pPr>
              <w:spacing w:before="60" w:after="60"/>
              <w:jc w:val="center"/>
              <w:rPr>
                <w:rFonts w:ascii="Calibri" w:hAnsi="Calibri" w:cs="Calibri"/>
                <w:sz w:val="24"/>
                <w:szCs w:val="24"/>
              </w:rPr>
            </w:pPr>
            <w:r>
              <w:rPr>
                <w:rFonts w:ascii="Calibri" w:hAnsi="Calibri" w:cs="Calibri"/>
                <w:sz w:val="24"/>
                <w:szCs w:val="24"/>
              </w:rPr>
              <w:t>Approved</w:t>
            </w:r>
          </w:p>
        </w:tc>
      </w:tr>
      <w:tr w:rsidR="00DA5120" w:rsidRPr="006525BE" w14:paraId="1FE48B6D" w14:textId="77777777" w:rsidTr="00E57A79">
        <w:tc>
          <w:tcPr>
            <w:tcW w:w="1560" w:type="dxa"/>
            <w:vAlign w:val="center"/>
          </w:tcPr>
          <w:p w14:paraId="00768F89" w14:textId="430F4724" w:rsidR="00DA5120" w:rsidRPr="00E57A79" w:rsidRDefault="00DA5120" w:rsidP="00116A73">
            <w:pPr>
              <w:jc w:val="center"/>
              <w:rPr>
                <w:rFonts w:ascii="Calibri" w:hAnsi="Calibri" w:cs="Calibri"/>
                <w:sz w:val="24"/>
                <w:szCs w:val="24"/>
              </w:rPr>
            </w:pPr>
            <w:r>
              <w:rPr>
                <w:rFonts w:ascii="Calibri" w:hAnsi="Calibri" w:cs="Calibri"/>
                <w:sz w:val="24"/>
                <w:szCs w:val="24"/>
              </w:rPr>
              <w:t>7.0</w:t>
            </w:r>
          </w:p>
        </w:tc>
        <w:tc>
          <w:tcPr>
            <w:tcW w:w="5528" w:type="dxa"/>
            <w:vAlign w:val="center"/>
          </w:tcPr>
          <w:p w14:paraId="5F6D22DB" w14:textId="4A417870" w:rsidR="00DA5120" w:rsidRPr="00E57A79" w:rsidRDefault="00DA5120" w:rsidP="00116A73">
            <w:pPr>
              <w:spacing w:before="60" w:after="60"/>
              <w:jc w:val="center"/>
              <w:rPr>
                <w:rFonts w:ascii="Calibri" w:hAnsi="Calibri" w:cs="Calibri"/>
                <w:sz w:val="24"/>
                <w:szCs w:val="24"/>
              </w:rPr>
            </w:pPr>
            <w:r>
              <w:rPr>
                <w:rFonts w:ascii="Calibri" w:hAnsi="Calibri" w:cs="Calibri"/>
                <w:sz w:val="24"/>
                <w:szCs w:val="24"/>
              </w:rPr>
              <w:t xml:space="preserve">Information Governance Committee, </w:t>
            </w:r>
            <w:r w:rsidR="00C41F10">
              <w:rPr>
                <w:rFonts w:ascii="Calibri" w:hAnsi="Calibri" w:cs="Calibri"/>
                <w:sz w:val="24"/>
                <w:szCs w:val="24"/>
              </w:rPr>
              <w:t>6 April 2022</w:t>
            </w:r>
          </w:p>
        </w:tc>
        <w:tc>
          <w:tcPr>
            <w:tcW w:w="1843" w:type="dxa"/>
            <w:vAlign w:val="center"/>
          </w:tcPr>
          <w:p w14:paraId="78DF0C37" w14:textId="442EBB14" w:rsidR="00DA5120" w:rsidRDefault="00C41F10" w:rsidP="00116A73">
            <w:pPr>
              <w:spacing w:before="60" w:after="60"/>
              <w:jc w:val="center"/>
              <w:rPr>
                <w:rFonts w:ascii="Calibri" w:hAnsi="Calibri" w:cs="Calibri"/>
                <w:sz w:val="24"/>
                <w:szCs w:val="24"/>
              </w:rPr>
            </w:pPr>
            <w:r>
              <w:rPr>
                <w:rFonts w:ascii="Calibri" w:hAnsi="Calibri" w:cs="Calibri"/>
                <w:sz w:val="24"/>
                <w:szCs w:val="24"/>
              </w:rPr>
              <w:t>Approved</w:t>
            </w:r>
          </w:p>
        </w:tc>
      </w:tr>
      <w:tr w:rsidR="00014830" w:rsidRPr="006525BE" w14:paraId="59831858" w14:textId="77777777" w:rsidTr="00E57A79">
        <w:tc>
          <w:tcPr>
            <w:tcW w:w="1560" w:type="dxa"/>
            <w:vAlign w:val="center"/>
          </w:tcPr>
          <w:p w14:paraId="78F1E039" w14:textId="1FD5864E" w:rsidR="00014830" w:rsidRDefault="00014830" w:rsidP="00116A73">
            <w:pPr>
              <w:jc w:val="center"/>
              <w:rPr>
                <w:rFonts w:ascii="Calibri" w:hAnsi="Calibri" w:cs="Calibri"/>
                <w:sz w:val="24"/>
                <w:szCs w:val="24"/>
              </w:rPr>
            </w:pPr>
            <w:r>
              <w:rPr>
                <w:rFonts w:ascii="Calibri" w:hAnsi="Calibri" w:cs="Calibri"/>
                <w:sz w:val="24"/>
                <w:szCs w:val="24"/>
              </w:rPr>
              <w:t>8.0</w:t>
            </w:r>
          </w:p>
        </w:tc>
        <w:tc>
          <w:tcPr>
            <w:tcW w:w="5528" w:type="dxa"/>
            <w:vAlign w:val="center"/>
          </w:tcPr>
          <w:p w14:paraId="7233D960" w14:textId="37DBAC3E" w:rsidR="00014830" w:rsidRDefault="00014830" w:rsidP="00116A73">
            <w:pPr>
              <w:spacing w:before="60" w:after="60"/>
              <w:jc w:val="center"/>
              <w:rPr>
                <w:rFonts w:ascii="Calibri" w:hAnsi="Calibri" w:cs="Calibri"/>
                <w:sz w:val="24"/>
                <w:szCs w:val="24"/>
              </w:rPr>
            </w:pPr>
            <w:r>
              <w:rPr>
                <w:rFonts w:ascii="Calibri" w:hAnsi="Calibri" w:cs="Calibri"/>
                <w:sz w:val="24"/>
                <w:szCs w:val="24"/>
              </w:rPr>
              <w:t>Information Governance Committee, 19 January 2023</w:t>
            </w:r>
          </w:p>
        </w:tc>
        <w:tc>
          <w:tcPr>
            <w:tcW w:w="1843" w:type="dxa"/>
            <w:vAlign w:val="center"/>
          </w:tcPr>
          <w:p w14:paraId="4A271CA7" w14:textId="60F478ED" w:rsidR="00014830" w:rsidRDefault="00674355" w:rsidP="00116A73">
            <w:pPr>
              <w:spacing w:before="60" w:after="60"/>
              <w:jc w:val="center"/>
              <w:rPr>
                <w:rFonts w:ascii="Calibri" w:hAnsi="Calibri" w:cs="Calibri"/>
                <w:sz w:val="24"/>
                <w:szCs w:val="24"/>
              </w:rPr>
            </w:pPr>
            <w:r>
              <w:rPr>
                <w:rFonts w:ascii="Calibri" w:hAnsi="Calibri" w:cs="Calibri"/>
                <w:sz w:val="24"/>
                <w:szCs w:val="24"/>
              </w:rPr>
              <w:t>Approved</w:t>
            </w:r>
          </w:p>
        </w:tc>
      </w:tr>
      <w:tr w:rsidR="00B27C6B" w:rsidRPr="006525BE" w14:paraId="72D5D215" w14:textId="77777777" w:rsidTr="00E57A79">
        <w:tc>
          <w:tcPr>
            <w:tcW w:w="1560" w:type="dxa"/>
            <w:vAlign w:val="center"/>
          </w:tcPr>
          <w:p w14:paraId="58AD1639" w14:textId="19BD59DF" w:rsidR="00B27C6B" w:rsidRDefault="00B27C6B" w:rsidP="00116A73">
            <w:pPr>
              <w:jc w:val="center"/>
              <w:rPr>
                <w:rFonts w:ascii="Calibri" w:hAnsi="Calibri" w:cs="Calibri"/>
                <w:sz w:val="24"/>
                <w:szCs w:val="24"/>
              </w:rPr>
            </w:pPr>
            <w:r>
              <w:rPr>
                <w:rFonts w:ascii="Calibri" w:hAnsi="Calibri" w:cs="Calibri"/>
                <w:sz w:val="24"/>
                <w:szCs w:val="24"/>
              </w:rPr>
              <w:t>9.0</w:t>
            </w:r>
          </w:p>
        </w:tc>
        <w:tc>
          <w:tcPr>
            <w:tcW w:w="5528" w:type="dxa"/>
            <w:vAlign w:val="center"/>
          </w:tcPr>
          <w:p w14:paraId="033A69E5" w14:textId="6CCE4D4A" w:rsidR="00B27C6B" w:rsidRDefault="00B27C6B" w:rsidP="00116A73">
            <w:pPr>
              <w:spacing w:before="60" w:after="60"/>
              <w:jc w:val="center"/>
              <w:rPr>
                <w:rFonts w:ascii="Calibri" w:hAnsi="Calibri" w:cs="Calibri"/>
                <w:sz w:val="24"/>
                <w:szCs w:val="24"/>
              </w:rPr>
            </w:pPr>
            <w:r>
              <w:rPr>
                <w:rFonts w:ascii="Calibri" w:hAnsi="Calibri" w:cs="Calibri"/>
                <w:sz w:val="24"/>
                <w:szCs w:val="24"/>
              </w:rPr>
              <w:t>Information Governance Committee, 4 March 2024</w:t>
            </w:r>
          </w:p>
        </w:tc>
        <w:tc>
          <w:tcPr>
            <w:tcW w:w="1843" w:type="dxa"/>
            <w:vAlign w:val="center"/>
          </w:tcPr>
          <w:p w14:paraId="72FD19DB" w14:textId="167F1DA6" w:rsidR="00B27C6B" w:rsidRDefault="00977AC4" w:rsidP="00116A73">
            <w:pPr>
              <w:spacing w:before="60" w:after="60"/>
              <w:jc w:val="center"/>
              <w:rPr>
                <w:rFonts w:ascii="Calibri" w:hAnsi="Calibri" w:cs="Calibri"/>
                <w:sz w:val="24"/>
                <w:szCs w:val="24"/>
              </w:rPr>
            </w:pPr>
            <w:r>
              <w:rPr>
                <w:rFonts w:ascii="Calibri" w:hAnsi="Calibri" w:cs="Calibri"/>
                <w:sz w:val="24"/>
                <w:szCs w:val="24"/>
              </w:rPr>
              <w:t>Approved</w:t>
            </w:r>
          </w:p>
        </w:tc>
      </w:tr>
      <w:tr w:rsidR="007F52AB" w:rsidRPr="006525BE" w14:paraId="00AAEAF4" w14:textId="77777777" w:rsidTr="00E57A79">
        <w:tc>
          <w:tcPr>
            <w:tcW w:w="1560" w:type="dxa"/>
            <w:vAlign w:val="center"/>
          </w:tcPr>
          <w:p w14:paraId="45FA3A2A" w14:textId="7D40EA40" w:rsidR="007F52AB" w:rsidRDefault="007F52AB" w:rsidP="00116A73">
            <w:pPr>
              <w:jc w:val="center"/>
              <w:rPr>
                <w:rFonts w:ascii="Calibri" w:hAnsi="Calibri" w:cs="Calibri"/>
                <w:sz w:val="24"/>
                <w:szCs w:val="24"/>
              </w:rPr>
            </w:pPr>
            <w:r>
              <w:rPr>
                <w:rFonts w:ascii="Calibri" w:hAnsi="Calibri" w:cs="Calibri"/>
                <w:sz w:val="24"/>
                <w:szCs w:val="24"/>
              </w:rPr>
              <w:t>9.1</w:t>
            </w:r>
          </w:p>
        </w:tc>
        <w:tc>
          <w:tcPr>
            <w:tcW w:w="5528" w:type="dxa"/>
            <w:vAlign w:val="center"/>
          </w:tcPr>
          <w:p w14:paraId="2B962916" w14:textId="5956E2CD" w:rsidR="007F52AB" w:rsidRDefault="007F52AB" w:rsidP="00116A73">
            <w:pPr>
              <w:spacing w:before="60" w:after="60"/>
              <w:jc w:val="center"/>
              <w:rPr>
                <w:rFonts w:ascii="Calibri" w:hAnsi="Calibri" w:cs="Calibri"/>
                <w:sz w:val="24"/>
                <w:szCs w:val="24"/>
              </w:rPr>
            </w:pPr>
            <w:r>
              <w:rPr>
                <w:rFonts w:ascii="Calibri" w:hAnsi="Calibri" w:cs="Calibri"/>
                <w:sz w:val="24"/>
                <w:szCs w:val="24"/>
              </w:rPr>
              <w:t>Information Governance Committee, 5 March 2025</w:t>
            </w:r>
          </w:p>
        </w:tc>
        <w:tc>
          <w:tcPr>
            <w:tcW w:w="1843" w:type="dxa"/>
            <w:vAlign w:val="center"/>
          </w:tcPr>
          <w:p w14:paraId="3AB303F0" w14:textId="70FBBAF2" w:rsidR="007F52AB" w:rsidRDefault="00CC1D70" w:rsidP="00116A73">
            <w:pPr>
              <w:spacing w:before="60" w:after="60"/>
              <w:jc w:val="center"/>
              <w:rPr>
                <w:rFonts w:ascii="Calibri" w:hAnsi="Calibri" w:cs="Calibri"/>
                <w:sz w:val="24"/>
                <w:szCs w:val="24"/>
              </w:rPr>
            </w:pPr>
            <w:r>
              <w:rPr>
                <w:rFonts w:ascii="Calibri" w:hAnsi="Calibri" w:cs="Calibri"/>
                <w:sz w:val="24"/>
                <w:szCs w:val="24"/>
              </w:rPr>
              <w:t>Approved</w:t>
            </w:r>
          </w:p>
        </w:tc>
      </w:tr>
    </w:tbl>
    <w:p w14:paraId="7D278978" w14:textId="77777777" w:rsidR="006525BE" w:rsidRPr="006525BE" w:rsidRDefault="006525BE" w:rsidP="006525BE">
      <w:pPr>
        <w:pStyle w:val="Heading1"/>
        <w:numPr>
          <w:ilvl w:val="0"/>
          <w:numId w:val="0"/>
        </w:numPr>
        <w:rPr>
          <w:rFonts w:asciiTheme="minorHAnsi" w:hAnsiTheme="minorHAnsi" w:cstheme="minorHAnsi"/>
          <w:szCs w:val="24"/>
        </w:rPr>
      </w:pPr>
      <w:r w:rsidRPr="006525BE">
        <w:rPr>
          <w:rFonts w:asciiTheme="minorHAnsi" w:hAnsiTheme="minorHAnsi" w:cstheme="minorHAnsi"/>
          <w:szCs w:val="24"/>
        </w:rPr>
        <w:t>Policy Metadata</w:t>
      </w:r>
    </w:p>
    <w:tbl>
      <w:tblPr>
        <w:tblStyle w:val="TableGrid"/>
        <w:tblW w:w="8926" w:type="dxa"/>
        <w:tblLook w:val="04A0" w:firstRow="1" w:lastRow="0" w:firstColumn="1" w:lastColumn="0" w:noHBand="0" w:noVBand="1"/>
      </w:tblPr>
      <w:tblGrid>
        <w:gridCol w:w="3114"/>
        <w:gridCol w:w="5812"/>
      </w:tblGrid>
      <w:tr w:rsidR="006525BE" w:rsidRPr="006525BE" w14:paraId="47E4B526" w14:textId="77777777" w:rsidTr="00116A73">
        <w:trPr>
          <w:tblHeader/>
        </w:trPr>
        <w:tc>
          <w:tcPr>
            <w:tcW w:w="3114" w:type="dxa"/>
            <w:shd w:val="clear" w:color="auto" w:fill="D9D9D9" w:themeFill="background1" w:themeFillShade="D9"/>
            <w:vAlign w:val="center"/>
          </w:tcPr>
          <w:p w14:paraId="70D1AC0A"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Metadata element</w:t>
            </w:r>
          </w:p>
        </w:tc>
        <w:tc>
          <w:tcPr>
            <w:tcW w:w="5812" w:type="dxa"/>
            <w:shd w:val="clear" w:color="auto" w:fill="D9D9D9" w:themeFill="background1" w:themeFillShade="D9"/>
            <w:vAlign w:val="center"/>
          </w:tcPr>
          <w:p w14:paraId="36C1E7C1"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Metadata</w:t>
            </w:r>
          </w:p>
        </w:tc>
      </w:tr>
      <w:tr w:rsidR="006525BE" w:rsidRPr="006525BE" w14:paraId="69B0DBB8" w14:textId="77777777" w:rsidTr="00116A73">
        <w:tc>
          <w:tcPr>
            <w:tcW w:w="3114" w:type="dxa"/>
            <w:shd w:val="clear" w:color="auto" w:fill="F2F2F2" w:themeFill="background1" w:themeFillShade="F2"/>
            <w:vAlign w:val="center"/>
          </w:tcPr>
          <w:p w14:paraId="2C064B12"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Title</w:t>
            </w:r>
          </w:p>
        </w:tc>
        <w:tc>
          <w:tcPr>
            <w:tcW w:w="5812" w:type="dxa"/>
            <w:vAlign w:val="center"/>
          </w:tcPr>
          <w:p w14:paraId="087ACA55"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Data Protection Policy</w:t>
            </w:r>
          </w:p>
        </w:tc>
      </w:tr>
      <w:tr w:rsidR="006525BE" w:rsidRPr="006525BE" w14:paraId="4C3C98B9" w14:textId="77777777" w:rsidTr="00116A73">
        <w:tc>
          <w:tcPr>
            <w:tcW w:w="3114" w:type="dxa"/>
            <w:shd w:val="clear" w:color="auto" w:fill="F2F2F2" w:themeFill="background1" w:themeFillShade="F2"/>
            <w:vAlign w:val="center"/>
          </w:tcPr>
          <w:p w14:paraId="40EA0E91"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Author / Creator</w:t>
            </w:r>
          </w:p>
        </w:tc>
        <w:tc>
          <w:tcPr>
            <w:tcW w:w="5812" w:type="dxa"/>
            <w:vAlign w:val="center"/>
          </w:tcPr>
          <w:p w14:paraId="6E3D99A7"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Data Protection Officer</w:t>
            </w:r>
          </w:p>
        </w:tc>
      </w:tr>
      <w:tr w:rsidR="006525BE" w:rsidRPr="006525BE" w14:paraId="7DB0C054" w14:textId="77777777" w:rsidTr="00116A73">
        <w:tc>
          <w:tcPr>
            <w:tcW w:w="3114" w:type="dxa"/>
            <w:shd w:val="clear" w:color="auto" w:fill="F2F2F2" w:themeFill="background1" w:themeFillShade="F2"/>
            <w:vAlign w:val="center"/>
          </w:tcPr>
          <w:p w14:paraId="4BBBD131"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Owner</w:t>
            </w:r>
          </w:p>
        </w:tc>
        <w:tc>
          <w:tcPr>
            <w:tcW w:w="5812" w:type="dxa"/>
            <w:vAlign w:val="center"/>
          </w:tcPr>
          <w:p w14:paraId="7F55126C"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Data Protection Officer</w:t>
            </w:r>
          </w:p>
        </w:tc>
      </w:tr>
      <w:tr w:rsidR="006525BE" w:rsidRPr="006525BE" w14:paraId="10867735" w14:textId="77777777" w:rsidTr="00116A73">
        <w:tc>
          <w:tcPr>
            <w:tcW w:w="3114" w:type="dxa"/>
            <w:shd w:val="clear" w:color="auto" w:fill="F2F2F2" w:themeFill="background1" w:themeFillShade="F2"/>
            <w:vAlign w:val="center"/>
          </w:tcPr>
          <w:p w14:paraId="00CF438A"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Date published / approved</w:t>
            </w:r>
          </w:p>
        </w:tc>
        <w:tc>
          <w:tcPr>
            <w:tcW w:w="5812" w:type="dxa"/>
            <w:vAlign w:val="center"/>
          </w:tcPr>
          <w:p w14:paraId="2A5EC3B3" w14:textId="2C239733" w:rsidR="006525BE" w:rsidRPr="006525BE" w:rsidRDefault="001668EC" w:rsidP="00116A73">
            <w:pPr>
              <w:spacing w:before="60" w:after="60"/>
              <w:jc w:val="center"/>
              <w:rPr>
                <w:rFonts w:asciiTheme="minorHAnsi" w:hAnsiTheme="minorHAnsi" w:cstheme="minorHAnsi"/>
                <w:sz w:val="24"/>
                <w:szCs w:val="24"/>
              </w:rPr>
            </w:pPr>
            <w:r>
              <w:rPr>
                <w:rFonts w:asciiTheme="minorHAnsi" w:hAnsiTheme="minorHAnsi" w:cstheme="minorHAnsi"/>
                <w:sz w:val="24"/>
                <w:szCs w:val="24"/>
              </w:rPr>
              <w:t>4 March 2025</w:t>
            </w:r>
          </w:p>
        </w:tc>
      </w:tr>
      <w:tr w:rsidR="006525BE" w:rsidRPr="006525BE" w14:paraId="49A4CAE3" w14:textId="77777777" w:rsidTr="00116A73">
        <w:tc>
          <w:tcPr>
            <w:tcW w:w="3114" w:type="dxa"/>
            <w:shd w:val="clear" w:color="auto" w:fill="F2F2F2" w:themeFill="background1" w:themeFillShade="F2"/>
            <w:vAlign w:val="center"/>
          </w:tcPr>
          <w:p w14:paraId="1197EEAE"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Version</w:t>
            </w:r>
          </w:p>
        </w:tc>
        <w:tc>
          <w:tcPr>
            <w:tcW w:w="5812" w:type="dxa"/>
            <w:vAlign w:val="center"/>
          </w:tcPr>
          <w:p w14:paraId="0CAC50CF" w14:textId="702ACA54" w:rsidR="006525BE" w:rsidRPr="006525BE" w:rsidRDefault="00184A38" w:rsidP="00116A73">
            <w:pPr>
              <w:spacing w:before="60" w:after="60"/>
              <w:jc w:val="center"/>
              <w:rPr>
                <w:rFonts w:asciiTheme="minorHAnsi" w:hAnsiTheme="minorHAnsi" w:cstheme="minorHAnsi"/>
                <w:sz w:val="24"/>
                <w:szCs w:val="24"/>
              </w:rPr>
            </w:pPr>
            <w:r>
              <w:rPr>
                <w:rFonts w:asciiTheme="minorHAnsi" w:hAnsiTheme="minorHAnsi" w:cstheme="minorHAnsi"/>
                <w:sz w:val="24"/>
                <w:szCs w:val="24"/>
              </w:rPr>
              <w:t>9</w:t>
            </w:r>
            <w:r w:rsidR="00E57A79">
              <w:rPr>
                <w:rFonts w:asciiTheme="minorHAnsi" w:hAnsiTheme="minorHAnsi" w:cstheme="minorHAnsi"/>
                <w:sz w:val="24"/>
                <w:szCs w:val="24"/>
              </w:rPr>
              <w:t>.</w:t>
            </w:r>
            <w:r w:rsidR="007F52AB">
              <w:rPr>
                <w:rFonts w:asciiTheme="minorHAnsi" w:hAnsiTheme="minorHAnsi" w:cstheme="minorHAnsi"/>
                <w:sz w:val="24"/>
                <w:szCs w:val="24"/>
              </w:rPr>
              <w:t>1</w:t>
            </w:r>
          </w:p>
        </w:tc>
      </w:tr>
      <w:tr w:rsidR="006525BE" w:rsidRPr="006525BE" w14:paraId="270D1D07" w14:textId="77777777" w:rsidTr="00116A73">
        <w:tc>
          <w:tcPr>
            <w:tcW w:w="3114" w:type="dxa"/>
            <w:shd w:val="clear" w:color="auto" w:fill="F2F2F2" w:themeFill="background1" w:themeFillShade="F2"/>
            <w:vAlign w:val="center"/>
          </w:tcPr>
          <w:p w14:paraId="520832B4"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Reviewed</w:t>
            </w:r>
          </w:p>
        </w:tc>
        <w:tc>
          <w:tcPr>
            <w:tcW w:w="5812" w:type="dxa"/>
            <w:vAlign w:val="center"/>
          </w:tcPr>
          <w:p w14:paraId="1F8E0972" w14:textId="34A0E191" w:rsidR="006525BE" w:rsidRPr="006525BE" w:rsidRDefault="00B27C6B" w:rsidP="00116A73">
            <w:pPr>
              <w:spacing w:before="60" w:after="60"/>
              <w:jc w:val="center"/>
              <w:rPr>
                <w:rFonts w:asciiTheme="minorHAnsi" w:hAnsiTheme="minorHAnsi" w:cstheme="minorHAnsi"/>
                <w:sz w:val="24"/>
                <w:szCs w:val="24"/>
              </w:rPr>
            </w:pPr>
            <w:r>
              <w:rPr>
                <w:rFonts w:asciiTheme="minorHAnsi" w:hAnsiTheme="minorHAnsi" w:cstheme="minorHAnsi"/>
                <w:sz w:val="24"/>
                <w:szCs w:val="24"/>
              </w:rPr>
              <w:t>February 202</w:t>
            </w:r>
            <w:r w:rsidR="007F52AB">
              <w:rPr>
                <w:rFonts w:asciiTheme="minorHAnsi" w:hAnsiTheme="minorHAnsi" w:cstheme="minorHAnsi"/>
                <w:sz w:val="24"/>
                <w:szCs w:val="24"/>
              </w:rPr>
              <w:t>5</w:t>
            </w:r>
          </w:p>
        </w:tc>
      </w:tr>
      <w:tr w:rsidR="006525BE" w:rsidRPr="006525BE" w14:paraId="096BEA04" w14:textId="77777777" w:rsidTr="00116A73">
        <w:tc>
          <w:tcPr>
            <w:tcW w:w="3114" w:type="dxa"/>
            <w:shd w:val="clear" w:color="auto" w:fill="F2F2F2" w:themeFill="background1" w:themeFillShade="F2"/>
            <w:vAlign w:val="center"/>
          </w:tcPr>
          <w:p w14:paraId="3D1F5B60"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Date of next review</w:t>
            </w:r>
          </w:p>
        </w:tc>
        <w:tc>
          <w:tcPr>
            <w:tcW w:w="5812" w:type="dxa"/>
            <w:vAlign w:val="center"/>
          </w:tcPr>
          <w:p w14:paraId="770156CD" w14:textId="1AFA44A1" w:rsidR="006525BE" w:rsidRPr="006525BE" w:rsidRDefault="00B27C6B" w:rsidP="00116A73">
            <w:pPr>
              <w:spacing w:before="60" w:after="60"/>
              <w:jc w:val="center"/>
              <w:rPr>
                <w:rFonts w:asciiTheme="minorHAnsi" w:hAnsiTheme="minorHAnsi" w:cstheme="minorHAnsi"/>
                <w:sz w:val="24"/>
                <w:szCs w:val="24"/>
              </w:rPr>
            </w:pPr>
            <w:r>
              <w:rPr>
                <w:rFonts w:asciiTheme="minorHAnsi" w:hAnsiTheme="minorHAnsi" w:cstheme="minorHAnsi"/>
                <w:sz w:val="24"/>
                <w:szCs w:val="24"/>
              </w:rPr>
              <w:t>March 202</w:t>
            </w:r>
            <w:r w:rsidR="007F52AB">
              <w:rPr>
                <w:rFonts w:asciiTheme="minorHAnsi" w:hAnsiTheme="minorHAnsi" w:cstheme="minorHAnsi"/>
                <w:sz w:val="24"/>
                <w:szCs w:val="24"/>
              </w:rPr>
              <w:t>6</w:t>
            </w:r>
          </w:p>
        </w:tc>
      </w:tr>
      <w:tr w:rsidR="006525BE" w:rsidRPr="006525BE" w14:paraId="79C3167D" w14:textId="77777777" w:rsidTr="00116A73">
        <w:tc>
          <w:tcPr>
            <w:tcW w:w="3114" w:type="dxa"/>
            <w:shd w:val="clear" w:color="auto" w:fill="F2F2F2" w:themeFill="background1" w:themeFillShade="F2"/>
            <w:vAlign w:val="center"/>
          </w:tcPr>
          <w:p w14:paraId="0BFD5287"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Audience</w:t>
            </w:r>
          </w:p>
        </w:tc>
        <w:tc>
          <w:tcPr>
            <w:tcW w:w="5812" w:type="dxa"/>
            <w:vAlign w:val="center"/>
          </w:tcPr>
          <w:p w14:paraId="1053CBEE"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All staff, students, partners, suppliers and contractors who process personal data for or on behalf of the University</w:t>
            </w:r>
          </w:p>
        </w:tc>
      </w:tr>
      <w:tr w:rsidR="006525BE" w:rsidRPr="006525BE" w14:paraId="653B24E6" w14:textId="77777777" w:rsidTr="00116A73">
        <w:tc>
          <w:tcPr>
            <w:tcW w:w="3114" w:type="dxa"/>
            <w:shd w:val="clear" w:color="auto" w:fill="F2F2F2" w:themeFill="background1" w:themeFillShade="F2"/>
            <w:vAlign w:val="center"/>
          </w:tcPr>
          <w:p w14:paraId="4C42BFFB"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Related documents</w:t>
            </w:r>
          </w:p>
        </w:tc>
        <w:tc>
          <w:tcPr>
            <w:tcW w:w="5812" w:type="dxa"/>
            <w:vAlign w:val="center"/>
          </w:tcPr>
          <w:p w14:paraId="37CBE2B7"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Information Security Policy</w:t>
            </w:r>
          </w:p>
          <w:p w14:paraId="23C55ADA"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Records Management Policy</w:t>
            </w:r>
          </w:p>
        </w:tc>
      </w:tr>
      <w:tr w:rsidR="006525BE" w:rsidRPr="006525BE" w14:paraId="3D9B85B5" w14:textId="77777777" w:rsidTr="00116A73">
        <w:tc>
          <w:tcPr>
            <w:tcW w:w="3114" w:type="dxa"/>
            <w:shd w:val="clear" w:color="auto" w:fill="F2F2F2" w:themeFill="background1" w:themeFillShade="F2"/>
            <w:vAlign w:val="center"/>
          </w:tcPr>
          <w:p w14:paraId="2903853D"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Subject / Description</w:t>
            </w:r>
          </w:p>
        </w:tc>
        <w:tc>
          <w:tcPr>
            <w:tcW w:w="5812" w:type="dxa"/>
            <w:vAlign w:val="center"/>
          </w:tcPr>
          <w:p w14:paraId="071B4E67" w14:textId="1546104E"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 xml:space="preserve">The activities and responsibilities involved in complying with </w:t>
            </w:r>
            <w:r w:rsidR="007F52AB">
              <w:rPr>
                <w:rFonts w:asciiTheme="minorHAnsi" w:hAnsiTheme="minorHAnsi" w:cstheme="minorHAnsi"/>
                <w:sz w:val="24"/>
                <w:szCs w:val="24"/>
              </w:rPr>
              <w:t>D</w:t>
            </w:r>
            <w:r w:rsidRPr="006525BE">
              <w:rPr>
                <w:rFonts w:asciiTheme="minorHAnsi" w:hAnsiTheme="minorHAnsi" w:cstheme="minorHAnsi"/>
                <w:sz w:val="24"/>
                <w:szCs w:val="24"/>
              </w:rPr>
              <w:t xml:space="preserve">ata </w:t>
            </w:r>
            <w:r w:rsidR="007F52AB">
              <w:rPr>
                <w:rFonts w:asciiTheme="minorHAnsi" w:hAnsiTheme="minorHAnsi" w:cstheme="minorHAnsi"/>
                <w:sz w:val="24"/>
                <w:szCs w:val="24"/>
              </w:rPr>
              <w:t>P</w:t>
            </w:r>
            <w:r w:rsidRPr="006525BE">
              <w:rPr>
                <w:rFonts w:asciiTheme="minorHAnsi" w:hAnsiTheme="minorHAnsi" w:cstheme="minorHAnsi"/>
                <w:sz w:val="24"/>
                <w:szCs w:val="24"/>
              </w:rPr>
              <w:t xml:space="preserve">rotection </w:t>
            </w:r>
            <w:r w:rsidR="007F52AB">
              <w:rPr>
                <w:rFonts w:asciiTheme="minorHAnsi" w:hAnsiTheme="minorHAnsi" w:cstheme="minorHAnsi"/>
                <w:sz w:val="24"/>
                <w:szCs w:val="24"/>
              </w:rPr>
              <w:t>L</w:t>
            </w:r>
            <w:r w:rsidRPr="006525BE">
              <w:rPr>
                <w:rFonts w:asciiTheme="minorHAnsi" w:hAnsiTheme="minorHAnsi" w:cstheme="minorHAnsi"/>
                <w:sz w:val="24"/>
                <w:szCs w:val="24"/>
              </w:rPr>
              <w:t>egislation.</w:t>
            </w:r>
          </w:p>
        </w:tc>
      </w:tr>
      <w:tr w:rsidR="006525BE" w:rsidRPr="006525BE" w14:paraId="156212C0" w14:textId="77777777" w:rsidTr="00116A73">
        <w:tc>
          <w:tcPr>
            <w:tcW w:w="3114" w:type="dxa"/>
            <w:shd w:val="clear" w:color="auto" w:fill="F2F2F2" w:themeFill="background1" w:themeFillShade="F2"/>
            <w:vAlign w:val="center"/>
          </w:tcPr>
          <w:p w14:paraId="126544C0"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Document status</w:t>
            </w:r>
          </w:p>
        </w:tc>
        <w:tc>
          <w:tcPr>
            <w:tcW w:w="5812" w:type="dxa"/>
            <w:vAlign w:val="center"/>
          </w:tcPr>
          <w:p w14:paraId="520B44FA"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Policy</w:t>
            </w:r>
          </w:p>
        </w:tc>
      </w:tr>
      <w:tr w:rsidR="006525BE" w:rsidRPr="006525BE" w14:paraId="0411411A" w14:textId="77777777" w:rsidTr="00116A73">
        <w:tc>
          <w:tcPr>
            <w:tcW w:w="3114" w:type="dxa"/>
            <w:shd w:val="clear" w:color="auto" w:fill="F2F2F2" w:themeFill="background1" w:themeFillShade="F2"/>
            <w:vAlign w:val="center"/>
          </w:tcPr>
          <w:p w14:paraId="6E7600C0"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Equality Impact Assessment</w:t>
            </w:r>
          </w:p>
        </w:tc>
        <w:tc>
          <w:tcPr>
            <w:tcW w:w="5812" w:type="dxa"/>
            <w:vAlign w:val="center"/>
          </w:tcPr>
          <w:p w14:paraId="4007BE03"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N/A</w:t>
            </w:r>
          </w:p>
        </w:tc>
      </w:tr>
      <w:tr w:rsidR="006525BE" w:rsidRPr="006525BE" w14:paraId="648539FD" w14:textId="77777777" w:rsidTr="00116A73">
        <w:tc>
          <w:tcPr>
            <w:tcW w:w="3114" w:type="dxa"/>
            <w:shd w:val="clear" w:color="auto" w:fill="F2F2F2" w:themeFill="background1" w:themeFillShade="F2"/>
            <w:vAlign w:val="center"/>
          </w:tcPr>
          <w:p w14:paraId="24FB24EA"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Theme</w:t>
            </w:r>
          </w:p>
        </w:tc>
        <w:tc>
          <w:tcPr>
            <w:tcW w:w="5812" w:type="dxa"/>
            <w:vAlign w:val="center"/>
          </w:tcPr>
          <w:p w14:paraId="51C3EDC3"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Information Management</w:t>
            </w:r>
          </w:p>
        </w:tc>
      </w:tr>
      <w:tr w:rsidR="006525BE" w:rsidRPr="006525BE" w14:paraId="7540DCB9" w14:textId="77777777" w:rsidTr="00116A73">
        <w:tc>
          <w:tcPr>
            <w:tcW w:w="3114" w:type="dxa"/>
            <w:shd w:val="clear" w:color="auto" w:fill="F2F2F2" w:themeFill="background1" w:themeFillShade="F2"/>
            <w:vAlign w:val="center"/>
          </w:tcPr>
          <w:p w14:paraId="660E8B2E"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lastRenderedPageBreak/>
              <w:t>Keywords</w:t>
            </w:r>
          </w:p>
        </w:tc>
        <w:tc>
          <w:tcPr>
            <w:tcW w:w="5812" w:type="dxa"/>
            <w:vAlign w:val="center"/>
          </w:tcPr>
          <w:p w14:paraId="56FE4F9B" w14:textId="77777777" w:rsidR="006525BE" w:rsidRPr="006525BE" w:rsidRDefault="006525BE" w:rsidP="00116A73">
            <w:pPr>
              <w:spacing w:before="60" w:after="60"/>
              <w:jc w:val="center"/>
              <w:rPr>
                <w:rFonts w:asciiTheme="minorHAnsi" w:hAnsiTheme="minorHAnsi" w:cstheme="minorHAnsi"/>
                <w:sz w:val="24"/>
                <w:szCs w:val="24"/>
              </w:rPr>
            </w:pPr>
            <w:r w:rsidRPr="006525BE">
              <w:rPr>
                <w:rFonts w:asciiTheme="minorHAnsi" w:hAnsiTheme="minorHAnsi" w:cstheme="minorHAnsi"/>
                <w:sz w:val="24"/>
                <w:szCs w:val="24"/>
              </w:rPr>
              <w:t>Personal data, information, processing, compliance, subject access, retention, sharing, disclosure, research, privacy, direct marketing</w:t>
            </w:r>
          </w:p>
        </w:tc>
      </w:tr>
    </w:tbl>
    <w:p w14:paraId="56E5CCC1" w14:textId="77777777" w:rsidR="005D0A35" w:rsidRPr="008D6456" w:rsidRDefault="005D0A35" w:rsidP="00D31D7F">
      <w:pPr>
        <w:tabs>
          <w:tab w:val="right" w:pos="9498"/>
        </w:tabs>
        <w:spacing w:before="0"/>
        <w:ind w:left="0" w:firstLine="0"/>
        <w:rPr>
          <w:rFonts w:ascii="Arial" w:hAnsi="Arial" w:cs="Arial"/>
          <w:sz w:val="20"/>
          <w:szCs w:val="20"/>
        </w:rPr>
      </w:pPr>
    </w:p>
    <w:sectPr w:rsidR="005D0A35" w:rsidRPr="008D6456" w:rsidSect="00890172">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12DC" w14:textId="77777777" w:rsidR="00670226" w:rsidRDefault="00670226" w:rsidP="00EB6EC4">
      <w:pPr>
        <w:spacing w:before="0"/>
      </w:pPr>
      <w:r>
        <w:separator/>
      </w:r>
    </w:p>
  </w:endnote>
  <w:endnote w:type="continuationSeparator" w:id="0">
    <w:p w14:paraId="28EDF530" w14:textId="77777777" w:rsidR="00670226" w:rsidRDefault="00670226"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7359"/>
      <w:docPartObj>
        <w:docPartGallery w:val="Page Numbers (Bottom of Page)"/>
        <w:docPartUnique/>
      </w:docPartObj>
    </w:sdtPr>
    <w:sdtEndPr>
      <w:rPr>
        <w:noProof/>
      </w:rPr>
    </w:sdtEndPr>
    <w:sdtContent>
      <w:p w14:paraId="1D1E8910" w14:textId="77777777" w:rsidR="0090039E" w:rsidRDefault="0090039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377CE4E2" w14:textId="77777777" w:rsidR="0090039E" w:rsidRDefault="00900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D33F" w14:textId="77777777" w:rsidR="00670226" w:rsidRDefault="00670226" w:rsidP="00EB6EC4">
      <w:pPr>
        <w:spacing w:before="0"/>
      </w:pPr>
      <w:r>
        <w:separator/>
      </w:r>
    </w:p>
  </w:footnote>
  <w:footnote w:type="continuationSeparator" w:id="0">
    <w:p w14:paraId="0726D173" w14:textId="77777777" w:rsidR="00670226" w:rsidRDefault="00670226" w:rsidP="00EB6EC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FC6A8C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7088A476"/>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multilevel"/>
    <w:tmpl w:val="49B4F0F2"/>
    <w:lvl w:ilvl="0">
      <w:start w:val="1"/>
      <w:numFmt w:val="decimal"/>
      <w:pStyle w:val="ListNumber"/>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FFFFFF89"/>
    <w:multiLevelType w:val="singleLevel"/>
    <w:tmpl w:val="A07C65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A77F3D"/>
    <w:multiLevelType w:val="hybridMultilevel"/>
    <w:tmpl w:val="115C6114"/>
    <w:lvl w:ilvl="0" w:tplc="A85C48C4">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8710838"/>
    <w:multiLevelType w:val="hybridMultilevel"/>
    <w:tmpl w:val="1B32A4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CA43116"/>
    <w:multiLevelType w:val="hybridMultilevel"/>
    <w:tmpl w:val="C4E6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51354"/>
    <w:multiLevelType w:val="hybridMultilevel"/>
    <w:tmpl w:val="42F62A68"/>
    <w:lvl w:ilvl="0" w:tplc="CB4A614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A4C87"/>
    <w:multiLevelType w:val="hybridMultilevel"/>
    <w:tmpl w:val="4130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0247F"/>
    <w:multiLevelType w:val="multilevel"/>
    <w:tmpl w:val="8B2E04B0"/>
    <w:lvl w:ilvl="0">
      <w:start w:val="4"/>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C71CE"/>
    <w:multiLevelType w:val="hybridMultilevel"/>
    <w:tmpl w:val="88A25624"/>
    <w:lvl w:ilvl="0" w:tplc="E7DA56D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3992485A"/>
    <w:multiLevelType w:val="hybridMultilevel"/>
    <w:tmpl w:val="FEA6E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57764"/>
    <w:multiLevelType w:val="hybridMultilevel"/>
    <w:tmpl w:val="002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B66B6"/>
    <w:multiLevelType w:val="hybridMultilevel"/>
    <w:tmpl w:val="FAE8465C"/>
    <w:lvl w:ilvl="0" w:tplc="26DE83F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12DAE"/>
    <w:multiLevelType w:val="hybridMultilevel"/>
    <w:tmpl w:val="896096CC"/>
    <w:lvl w:ilvl="0" w:tplc="42A4EBF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4CF50994"/>
    <w:multiLevelType w:val="hybridMultilevel"/>
    <w:tmpl w:val="4DCA9A92"/>
    <w:lvl w:ilvl="0" w:tplc="08090001">
      <w:start w:val="1"/>
      <w:numFmt w:val="bullet"/>
      <w:lvlText w:val=""/>
      <w:lvlJc w:val="left"/>
      <w:pPr>
        <w:ind w:left="1792" w:hanging="360"/>
      </w:pPr>
      <w:rPr>
        <w:rFonts w:ascii="Symbol" w:hAnsi="Symbol" w:hint="default"/>
      </w:rPr>
    </w:lvl>
    <w:lvl w:ilvl="1" w:tplc="08090003" w:tentative="1">
      <w:start w:val="1"/>
      <w:numFmt w:val="bullet"/>
      <w:lvlText w:val="o"/>
      <w:lvlJc w:val="left"/>
      <w:pPr>
        <w:ind w:left="2512" w:hanging="360"/>
      </w:pPr>
      <w:rPr>
        <w:rFonts w:ascii="Courier New" w:hAnsi="Courier New" w:cs="Courier New" w:hint="default"/>
      </w:rPr>
    </w:lvl>
    <w:lvl w:ilvl="2" w:tplc="08090005" w:tentative="1">
      <w:start w:val="1"/>
      <w:numFmt w:val="bullet"/>
      <w:lvlText w:val=""/>
      <w:lvlJc w:val="left"/>
      <w:pPr>
        <w:ind w:left="3232" w:hanging="360"/>
      </w:pPr>
      <w:rPr>
        <w:rFonts w:ascii="Wingdings" w:hAnsi="Wingdings" w:hint="default"/>
      </w:rPr>
    </w:lvl>
    <w:lvl w:ilvl="3" w:tplc="08090001" w:tentative="1">
      <w:start w:val="1"/>
      <w:numFmt w:val="bullet"/>
      <w:lvlText w:val=""/>
      <w:lvlJc w:val="left"/>
      <w:pPr>
        <w:ind w:left="3952" w:hanging="360"/>
      </w:pPr>
      <w:rPr>
        <w:rFonts w:ascii="Symbol" w:hAnsi="Symbol" w:hint="default"/>
      </w:rPr>
    </w:lvl>
    <w:lvl w:ilvl="4" w:tplc="08090003" w:tentative="1">
      <w:start w:val="1"/>
      <w:numFmt w:val="bullet"/>
      <w:lvlText w:val="o"/>
      <w:lvlJc w:val="left"/>
      <w:pPr>
        <w:ind w:left="4672" w:hanging="360"/>
      </w:pPr>
      <w:rPr>
        <w:rFonts w:ascii="Courier New" w:hAnsi="Courier New" w:cs="Courier New" w:hint="default"/>
      </w:rPr>
    </w:lvl>
    <w:lvl w:ilvl="5" w:tplc="08090005" w:tentative="1">
      <w:start w:val="1"/>
      <w:numFmt w:val="bullet"/>
      <w:lvlText w:val=""/>
      <w:lvlJc w:val="left"/>
      <w:pPr>
        <w:ind w:left="5392" w:hanging="360"/>
      </w:pPr>
      <w:rPr>
        <w:rFonts w:ascii="Wingdings" w:hAnsi="Wingdings" w:hint="default"/>
      </w:rPr>
    </w:lvl>
    <w:lvl w:ilvl="6" w:tplc="08090001" w:tentative="1">
      <w:start w:val="1"/>
      <w:numFmt w:val="bullet"/>
      <w:lvlText w:val=""/>
      <w:lvlJc w:val="left"/>
      <w:pPr>
        <w:ind w:left="6112" w:hanging="360"/>
      </w:pPr>
      <w:rPr>
        <w:rFonts w:ascii="Symbol" w:hAnsi="Symbol" w:hint="default"/>
      </w:rPr>
    </w:lvl>
    <w:lvl w:ilvl="7" w:tplc="08090003" w:tentative="1">
      <w:start w:val="1"/>
      <w:numFmt w:val="bullet"/>
      <w:lvlText w:val="o"/>
      <w:lvlJc w:val="left"/>
      <w:pPr>
        <w:ind w:left="6832" w:hanging="360"/>
      </w:pPr>
      <w:rPr>
        <w:rFonts w:ascii="Courier New" w:hAnsi="Courier New" w:cs="Courier New" w:hint="default"/>
      </w:rPr>
    </w:lvl>
    <w:lvl w:ilvl="8" w:tplc="08090005" w:tentative="1">
      <w:start w:val="1"/>
      <w:numFmt w:val="bullet"/>
      <w:lvlText w:val=""/>
      <w:lvlJc w:val="left"/>
      <w:pPr>
        <w:ind w:left="7552" w:hanging="360"/>
      </w:pPr>
      <w:rPr>
        <w:rFonts w:ascii="Wingdings" w:hAnsi="Wingdings" w:hint="default"/>
      </w:rPr>
    </w:lvl>
  </w:abstractNum>
  <w:abstractNum w:abstractNumId="16" w15:restartNumberingAfterBreak="0">
    <w:nsid w:val="55130418"/>
    <w:multiLevelType w:val="hybridMultilevel"/>
    <w:tmpl w:val="9A7C1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CC10EB"/>
    <w:multiLevelType w:val="hybridMultilevel"/>
    <w:tmpl w:val="F3828BC6"/>
    <w:lvl w:ilvl="0" w:tplc="7C7E65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16D70B4"/>
    <w:multiLevelType w:val="hybridMultilevel"/>
    <w:tmpl w:val="689C7E3E"/>
    <w:lvl w:ilvl="0" w:tplc="EA1CB85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547E7"/>
    <w:multiLevelType w:val="multilevel"/>
    <w:tmpl w:val="6E4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F83BD3"/>
    <w:multiLevelType w:val="hybridMultilevel"/>
    <w:tmpl w:val="76D098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9701F63"/>
    <w:multiLevelType w:val="hybridMultilevel"/>
    <w:tmpl w:val="C4D0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7053E"/>
    <w:multiLevelType w:val="multilevel"/>
    <w:tmpl w:val="D2A45E4C"/>
    <w:lvl w:ilvl="0">
      <w:start w:val="1"/>
      <w:numFmt w:val="decimal"/>
      <w:lvlText w:val="%1."/>
      <w:lvlJc w:val="left"/>
      <w:pPr>
        <w:ind w:left="720" w:hanging="360"/>
      </w:pPr>
      <w:rPr>
        <w:rFonts w:hint="default"/>
      </w:rPr>
    </w:lvl>
    <w:lvl w:ilvl="1">
      <w:start w:val="1"/>
      <w:numFmt w:val="bullet"/>
      <w:lvlText w:val=""/>
      <w:lvlJc w:val="left"/>
      <w:pPr>
        <w:ind w:left="1070" w:hanging="71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23829903">
    <w:abstractNumId w:val="17"/>
  </w:num>
  <w:num w:numId="2" w16cid:durableId="1081638362">
    <w:abstractNumId w:val="23"/>
  </w:num>
  <w:num w:numId="3" w16cid:durableId="1393042776">
    <w:abstractNumId w:val="19"/>
  </w:num>
  <w:num w:numId="4" w16cid:durableId="908732480">
    <w:abstractNumId w:val="11"/>
  </w:num>
  <w:num w:numId="5" w16cid:durableId="286014305">
    <w:abstractNumId w:val="12"/>
  </w:num>
  <w:num w:numId="6" w16cid:durableId="1421096987">
    <w:abstractNumId w:val="10"/>
  </w:num>
  <w:num w:numId="7" w16cid:durableId="1953323450">
    <w:abstractNumId w:val="22"/>
  </w:num>
  <w:num w:numId="8" w16cid:durableId="234363318">
    <w:abstractNumId w:val="20"/>
  </w:num>
  <w:num w:numId="9" w16cid:durableId="1773210723">
    <w:abstractNumId w:val="16"/>
  </w:num>
  <w:num w:numId="10" w16cid:durableId="801189435">
    <w:abstractNumId w:val="5"/>
  </w:num>
  <w:num w:numId="11" w16cid:durableId="1688477908">
    <w:abstractNumId w:val="21"/>
  </w:num>
  <w:num w:numId="12" w16cid:durableId="1424916236">
    <w:abstractNumId w:val="9"/>
  </w:num>
  <w:num w:numId="13" w16cid:durableId="1489247893">
    <w:abstractNumId w:val="6"/>
  </w:num>
  <w:num w:numId="14" w16cid:durableId="431557846">
    <w:abstractNumId w:val="18"/>
  </w:num>
  <w:num w:numId="15" w16cid:durableId="428506367">
    <w:abstractNumId w:val="4"/>
  </w:num>
  <w:num w:numId="16" w16cid:durableId="1342659401">
    <w:abstractNumId w:val="15"/>
  </w:num>
  <w:num w:numId="17" w16cid:durableId="1628851539">
    <w:abstractNumId w:val="14"/>
  </w:num>
  <w:num w:numId="18" w16cid:durableId="682824033">
    <w:abstractNumId w:val="2"/>
  </w:num>
  <w:num w:numId="19" w16cid:durableId="1573545780">
    <w:abstractNumId w:val="3"/>
  </w:num>
  <w:num w:numId="20" w16cid:durableId="1784693449">
    <w:abstractNumId w:val="8"/>
  </w:num>
  <w:num w:numId="21" w16cid:durableId="405109925">
    <w:abstractNumId w:val="1"/>
  </w:num>
  <w:num w:numId="22" w16cid:durableId="762844711">
    <w:abstractNumId w:val="0"/>
  </w:num>
  <w:num w:numId="23" w16cid:durableId="397360980">
    <w:abstractNumId w:val="7"/>
  </w:num>
  <w:num w:numId="24" w16cid:durableId="466513936">
    <w:abstractNumId w:val="2"/>
    <w:lvlOverride w:ilvl="0">
      <w:startOverride w:val="4"/>
    </w:lvlOverride>
    <w:lvlOverride w:ilvl="1">
      <w:startOverride w:val="1"/>
    </w:lvlOverride>
  </w:num>
  <w:num w:numId="25" w16cid:durableId="63892443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11A05"/>
    <w:rsid w:val="00014830"/>
    <w:rsid w:val="00015EB0"/>
    <w:rsid w:val="00025E5B"/>
    <w:rsid w:val="00030C0A"/>
    <w:rsid w:val="00040FEF"/>
    <w:rsid w:val="00045DAC"/>
    <w:rsid w:val="00045E90"/>
    <w:rsid w:val="00047462"/>
    <w:rsid w:val="00064FDF"/>
    <w:rsid w:val="00071C26"/>
    <w:rsid w:val="00083FE6"/>
    <w:rsid w:val="000939C8"/>
    <w:rsid w:val="000A1638"/>
    <w:rsid w:val="000A6FFB"/>
    <w:rsid w:val="000C03E6"/>
    <w:rsid w:val="000C40C5"/>
    <w:rsid w:val="000C432C"/>
    <w:rsid w:val="000C6F64"/>
    <w:rsid w:val="000D0A3B"/>
    <w:rsid w:val="000D55DC"/>
    <w:rsid w:val="000E618C"/>
    <w:rsid w:val="001004D9"/>
    <w:rsid w:val="00106E99"/>
    <w:rsid w:val="00111819"/>
    <w:rsid w:val="00116A73"/>
    <w:rsid w:val="0012116C"/>
    <w:rsid w:val="00123272"/>
    <w:rsid w:val="00126D26"/>
    <w:rsid w:val="00127264"/>
    <w:rsid w:val="001312E8"/>
    <w:rsid w:val="00140079"/>
    <w:rsid w:val="00140571"/>
    <w:rsid w:val="00153B8F"/>
    <w:rsid w:val="00154CF9"/>
    <w:rsid w:val="00163F08"/>
    <w:rsid w:val="001668EC"/>
    <w:rsid w:val="00170EBB"/>
    <w:rsid w:val="00171C7A"/>
    <w:rsid w:val="00172866"/>
    <w:rsid w:val="00173340"/>
    <w:rsid w:val="00180628"/>
    <w:rsid w:val="00184A38"/>
    <w:rsid w:val="00185D8C"/>
    <w:rsid w:val="00194B48"/>
    <w:rsid w:val="00196BD0"/>
    <w:rsid w:val="00196F6D"/>
    <w:rsid w:val="001A2F7E"/>
    <w:rsid w:val="001B5278"/>
    <w:rsid w:val="001B62E6"/>
    <w:rsid w:val="001B69F2"/>
    <w:rsid w:val="001B76E7"/>
    <w:rsid w:val="001D11C6"/>
    <w:rsid w:val="001F4122"/>
    <w:rsid w:val="001F47AD"/>
    <w:rsid w:val="001F5C2F"/>
    <w:rsid w:val="0022171B"/>
    <w:rsid w:val="002230B8"/>
    <w:rsid w:val="00231F72"/>
    <w:rsid w:val="00244CDF"/>
    <w:rsid w:val="002603AA"/>
    <w:rsid w:val="00262AE4"/>
    <w:rsid w:val="002717E8"/>
    <w:rsid w:val="00280151"/>
    <w:rsid w:val="00282DC8"/>
    <w:rsid w:val="00285313"/>
    <w:rsid w:val="0028572F"/>
    <w:rsid w:val="00287B39"/>
    <w:rsid w:val="00294142"/>
    <w:rsid w:val="002971AF"/>
    <w:rsid w:val="00297946"/>
    <w:rsid w:val="002A70A4"/>
    <w:rsid w:val="002B4F2C"/>
    <w:rsid w:val="002C6721"/>
    <w:rsid w:val="002C749F"/>
    <w:rsid w:val="002D5999"/>
    <w:rsid w:val="002D7B01"/>
    <w:rsid w:val="002E5A29"/>
    <w:rsid w:val="002F2BC0"/>
    <w:rsid w:val="002F560E"/>
    <w:rsid w:val="00314EAC"/>
    <w:rsid w:val="00316557"/>
    <w:rsid w:val="00334AF7"/>
    <w:rsid w:val="003420BE"/>
    <w:rsid w:val="00342154"/>
    <w:rsid w:val="00353C4F"/>
    <w:rsid w:val="00356BD0"/>
    <w:rsid w:val="00363566"/>
    <w:rsid w:val="00371126"/>
    <w:rsid w:val="00372B34"/>
    <w:rsid w:val="00377BC4"/>
    <w:rsid w:val="003820B5"/>
    <w:rsid w:val="00384EF1"/>
    <w:rsid w:val="00391A7D"/>
    <w:rsid w:val="003A4C10"/>
    <w:rsid w:val="003A7707"/>
    <w:rsid w:val="003B1F8B"/>
    <w:rsid w:val="003B4634"/>
    <w:rsid w:val="003C26A6"/>
    <w:rsid w:val="003D1ECB"/>
    <w:rsid w:val="003F0397"/>
    <w:rsid w:val="003F3EA2"/>
    <w:rsid w:val="00401F1B"/>
    <w:rsid w:val="00421B4A"/>
    <w:rsid w:val="004244C7"/>
    <w:rsid w:val="00427E75"/>
    <w:rsid w:val="004305C0"/>
    <w:rsid w:val="00434BE7"/>
    <w:rsid w:val="00442302"/>
    <w:rsid w:val="00444497"/>
    <w:rsid w:val="00446359"/>
    <w:rsid w:val="00470555"/>
    <w:rsid w:val="00474498"/>
    <w:rsid w:val="00484310"/>
    <w:rsid w:val="004856A5"/>
    <w:rsid w:val="00487CF6"/>
    <w:rsid w:val="004920C3"/>
    <w:rsid w:val="00493521"/>
    <w:rsid w:val="004A756A"/>
    <w:rsid w:val="004B1291"/>
    <w:rsid w:val="004B2286"/>
    <w:rsid w:val="004B5659"/>
    <w:rsid w:val="004B6E2C"/>
    <w:rsid w:val="004D0EDF"/>
    <w:rsid w:val="004D7426"/>
    <w:rsid w:val="004E0FDB"/>
    <w:rsid w:val="004E245B"/>
    <w:rsid w:val="004E37FF"/>
    <w:rsid w:val="004F2BD8"/>
    <w:rsid w:val="004F4D37"/>
    <w:rsid w:val="00505F85"/>
    <w:rsid w:val="00507CC8"/>
    <w:rsid w:val="00521F24"/>
    <w:rsid w:val="00524AC7"/>
    <w:rsid w:val="00525959"/>
    <w:rsid w:val="0053297F"/>
    <w:rsid w:val="00541C14"/>
    <w:rsid w:val="00542D12"/>
    <w:rsid w:val="00543769"/>
    <w:rsid w:val="00556F0B"/>
    <w:rsid w:val="00556FE4"/>
    <w:rsid w:val="00567D86"/>
    <w:rsid w:val="00581602"/>
    <w:rsid w:val="00582C40"/>
    <w:rsid w:val="0058401A"/>
    <w:rsid w:val="0058630B"/>
    <w:rsid w:val="005873AD"/>
    <w:rsid w:val="00590803"/>
    <w:rsid w:val="00591405"/>
    <w:rsid w:val="00594FAD"/>
    <w:rsid w:val="005A339C"/>
    <w:rsid w:val="005A747B"/>
    <w:rsid w:val="005B24AD"/>
    <w:rsid w:val="005B5399"/>
    <w:rsid w:val="005B5DB1"/>
    <w:rsid w:val="005B7130"/>
    <w:rsid w:val="005C341A"/>
    <w:rsid w:val="005C6583"/>
    <w:rsid w:val="005D0A35"/>
    <w:rsid w:val="005D3CA5"/>
    <w:rsid w:val="005E30B9"/>
    <w:rsid w:val="005F370F"/>
    <w:rsid w:val="005F3C61"/>
    <w:rsid w:val="00601CCF"/>
    <w:rsid w:val="0060410E"/>
    <w:rsid w:val="006230DA"/>
    <w:rsid w:val="00636EF9"/>
    <w:rsid w:val="006478DD"/>
    <w:rsid w:val="0065002A"/>
    <w:rsid w:val="00652579"/>
    <w:rsid w:val="006525BE"/>
    <w:rsid w:val="006669FB"/>
    <w:rsid w:val="00670226"/>
    <w:rsid w:val="00674355"/>
    <w:rsid w:val="00680730"/>
    <w:rsid w:val="00681BCE"/>
    <w:rsid w:val="0069115A"/>
    <w:rsid w:val="0069176A"/>
    <w:rsid w:val="00695523"/>
    <w:rsid w:val="006A0365"/>
    <w:rsid w:val="006A140E"/>
    <w:rsid w:val="006A4A77"/>
    <w:rsid w:val="006B5192"/>
    <w:rsid w:val="006C07B7"/>
    <w:rsid w:val="006C24BB"/>
    <w:rsid w:val="006C456A"/>
    <w:rsid w:val="006C55BA"/>
    <w:rsid w:val="006D1630"/>
    <w:rsid w:val="006D66B6"/>
    <w:rsid w:val="006E5859"/>
    <w:rsid w:val="006F39DA"/>
    <w:rsid w:val="006F42A4"/>
    <w:rsid w:val="006F7CA6"/>
    <w:rsid w:val="007029D3"/>
    <w:rsid w:val="0070449C"/>
    <w:rsid w:val="00715005"/>
    <w:rsid w:val="00715F9A"/>
    <w:rsid w:val="0072791B"/>
    <w:rsid w:val="00727C29"/>
    <w:rsid w:val="00731197"/>
    <w:rsid w:val="00734E3E"/>
    <w:rsid w:val="00743DCD"/>
    <w:rsid w:val="007530B1"/>
    <w:rsid w:val="007645EC"/>
    <w:rsid w:val="00775D6E"/>
    <w:rsid w:val="0077713F"/>
    <w:rsid w:val="00777EE7"/>
    <w:rsid w:val="00794C61"/>
    <w:rsid w:val="00795EA8"/>
    <w:rsid w:val="007979C4"/>
    <w:rsid w:val="007C2498"/>
    <w:rsid w:val="007D0288"/>
    <w:rsid w:val="007D5513"/>
    <w:rsid w:val="007E6DE4"/>
    <w:rsid w:val="007F5157"/>
    <w:rsid w:val="007F52AB"/>
    <w:rsid w:val="00805065"/>
    <w:rsid w:val="00806192"/>
    <w:rsid w:val="00806241"/>
    <w:rsid w:val="0081400E"/>
    <w:rsid w:val="00827D7C"/>
    <w:rsid w:val="00837489"/>
    <w:rsid w:val="008401BC"/>
    <w:rsid w:val="00840400"/>
    <w:rsid w:val="008430CD"/>
    <w:rsid w:val="00847CB6"/>
    <w:rsid w:val="00850A1B"/>
    <w:rsid w:val="00851B23"/>
    <w:rsid w:val="00860F8F"/>
    <w:rsid w:val="008610CC"/>
    <w:rsid w:val="008653C7"/>
    <w:rsid w:val="00865EF7"/>
    <w:rsid w:val="00870785"/>
    <w:rsid w:val="008738AA"/>
    <w:rsid w:val="00880DB5"/>
    <w:rsid w:val="00883659"/>
    <w:rsid w:val="00890172"/>
    <w:rsid w:val="008934D3"/>
    <w:rsid w:val="008A20F2"/>
    <w:rsid w:val="008A39C6"/>
    <w:rsid w:val="008A4C62"/>
    <w:rsid w:val="008B0FA4"/>
    <w:rsid w:val="008B7DB5"/>
    <w:rsid w:val="008C21BD"/>
    <w:rsid w:val="008C3703"/>
    <w:rsid w:val="008D3A63"/>
    <w:rsid w:val="008D6456"/>
    <w:rsid w:val="008D79CA"/>
    <w:rsid w:val="008F3B4F"/>
    <w:rsid w:val="008F4347"/>
    <w:rsid w:val="008F55BC"/>
    <w:rsid w:val="008F619B"/>
    <w:rsid w:val="008F74B0"/>
    <w:rsid w:val="0090039E"/>
    <w:rsid w:val="00901AAC"/>
    <w:rsid w:val="00914C3C"/>
    <w:rsid w:val="009240CA"/>
    <w:rsid w:val="00930204"/>
    <w:rsid w:val="009363BC"/>
    <w:rsid w:val="00936E8E"/>
    <w:rsid w:val="00940577"/>
    <w:rsid w:val="00943951"/>
    <w:rsid w:val="00952269"/>
    <w:rsid w:val="009629DA"/>
    <w:rsid w:val="00962E13"/>
    <w:rsid w:val="00970C02"/>
    <w:rsid w:val="00975458"/>
    <w:rsid w:val="00975C6E"/>
    <w:rsid w:val="00977AC4"/>
    <w:rsid w:val="00981244"/>
    <w:rsid w:val="0098661C"/>
    <w:rsid w:val="00987A33"/>
    <w:rsid w:val="00995FFD"/>
    <w:rsid w:val="009972C5"/>
    <w:rsid w:val="009A5A08"/>
    <w:rsid w:val="009A6FC4"/>
    <w:rsid w:val="009A712E"/>
    <w:rsid w:val="009B044F"/>
    <w:rsid w:val="009B51C0"/>
    <w:rsid w:val="009D2E1A"/>
    <w:rsid w:val="009D2FE2"/>
    <w:rsid w:val="009E4AFF"/>
    <w:rsid w:val="009E6BEB"/>
    <w:rsid w:val="009E6C75"/>
    <w:rsid w:val="009F7EBF"/>
    <w:rsid w:val="00A0147F"/>
    <w:rsid w:val="00A0378C"/>
    <w:rsid w:val="00A05FCA"/>
    <w:rsid w:val="00A13625"/>
    <w:rsid w:val="00A17F25"/>
    <w:rsid w:val="00A20995"/>
    <w:rsid w:val="00A21DCA"/>
    <w:rsid w:val="00A34E41"/>
    <w:rsid w:val="00A36756"/>
    <w:rsid w:val="00A40D6B"/>
    <w:rsid w:val="00A446E4"/>
    <w:rsid w:val="00A51701"/>
    <w:rsid w:val="00A63D56"/>
    <w:rsid w:val="00A64C99"/>
    <w:rsid w:val="00A65930"/>
    <w:rsid w:val="00A72859"/>
    <w:rsid w:val="00A73519"/>
    <w:rsid w:val="00A741AE"/>
    <w:rsid w:val="00A87987"/>
    <w:rsid w:val="00AA5322"/>
    <w:rsid w:val="00AB0371"/>
    <w:rsid w:val="00AB2F85"/>
    <w:rsid w:val="00AB3690"/>
    <w:rsid w:val="00AB7506"/>
    <w:rsid w:val="00AE4B2B"/>
    <w:rsid w:val="00AE55EA"/>
    <w:rsid w:val="00AF2894"/>
    <w:rsid w:val="00AF4097"/>
    <w:rsid w:val="00B00E6E"/>
    <w:rsid w:val="00B07A20"/>
    <w:rsid w:val="00B15B5B"/>
    <w:rsid w:val="00B17EF6"/>
    <w:rsid w:val="00B27C6B"/>
    <w:rsid w:val="00B303AF"/>
    <w:rsid w:val="00B30B51"/>
    <w:rsid w:val="00B310B4"/>
    <w:rsid w:val="00B310D0"/>
    <w:rsid w:val="00B31ED7"/>
    <w:rsid w:val="00B33876"/>
    <w:rsid w:val="00B40C8B"/>
    <w:rsid w:val="00B43233"/>
    <w:rsid w:val="00B620D5"/>
    <w:rsid w:val="00B66CE3"/>
    <w:rsid w:val="00B779C7"/>
    <w:rsid w:val="00B81F02"/>
    <w:rsid w:val="00B8540A"/>
    <w:rsid w:val="00B90D35"/>
    <w:rsid w:val="00BA65DF"/>
    <w:rsid w:val="00BB07EA"/>
    <w:rsid w:val="00BC2633"/>
    <w:rsid w:val="00BC4576"/>
    <w:rsid w:val="00BD3727"/>
    <w:rsid w:val="00BD5856"/>
    <w:rsid w:val="00BD69F9"/>
    <w:rsid w:val="00BE1944"/>
    <w:rsid w:val="00BE36F2"/>
    <w:rsid w:val="00BE4EA9"/>
    <w:rsid w:val="00BE7920"/>
    <w:rsid w:val="00BF317A"/>
    <w:rsid w:val="00BF360D"/>
    <w:rsid w:val="00BF59CB"/>
    <w:rsid w:val="00BF7F41"/>
    <w:rsid w:val="00C05246"/>
    <w:rsid w:val="00C0607A"/>
    <w:rsid w:val="00C112A4"/>
    <w:rsid w:val="00C20E49"/>
    <w:rsid w:val="00C317A4"/>
    <w:rsid w:val="00C3627A"/>
    <w:rsid w:val="00C41F10"/>
    <w:rsid w:val="00C4516C"/>
    <w:rsid w:val="00C47466"/>
    <w:rsid w:val="00C55D22"/>
    <w:rsid w:val="00C57921"/>
    <w:rsid w:val="00C6761B"/>
    <w:rsid w:val="00C702C5"/>
    <w:rsid w:val="00C8263B"/>
    <w:rsid w:val="00C9539F"/>
    <w:rsid w:val="00C96078"/>
    <w:rsid w:val="00C960B3"/>
    <w:rsid w:val="00CB2776"/>
    <w:rsid w:val="00CB6CA5"/>
    <w:rsid w:val="00CB7C07"/>
    <w:rsid w:val="00CC1D70"/>
    <w:rsid w:val="00CC4F12"/>
    <w:rsid w:val="00CC56AC"/>
    <w:rsid w:val="00CC65D1"/>
    <w:rsid w:val="00CD2569"/>
    <w:rsid w:val="00CD5EE8"/>
    <w:rsid w:val="00CD7159"/>
    <w:rsid w:val="00CF2DBD"/>
    <w:rsid w:val="00CF6196"/>
    <w:rsid w:val="00D01B7B"/>
    <w:rsid w:val="00D144A3"/>
    <w:rsid w:val="00D25818"/>
    <w:rsid w:val="00D3096F"/>
    <w:rsid w:val="00D31D7F"/>
    <w:rsid w:val="00D419A8"/>
    <w:rsid w:val="00D54C6C"/>
    <w:rsid w:val="00D55695"/>
    <w:rsid w:val="00D61203"/>
    <w:rsid w:val="00D63B23"/>
    <w:rsid w:val="00D63ED4"/>
    <w:rsid w:val="00D642B6"/>
    <w:rsid w:val="00D64EAA"/>
    <w:rsid w:val="00D72674"/>
    <w:rsid w:val="00D75556"/>
    <w:rsid w:val="00D77A8B"/>
    <w:rsid w:val="00D8002D"/>
    <w:rsid w:val="00D8056E"/>
    <w:rsid w:val="00D94415"/>
    <w:rsid w:val="00D94A29"/>
    <w:rsid w:val="00D97704"/>
    <w:rsid w:val="00D97EA2"/>
    <w:rsid w:val="00DA5120"/>
    <w:rsid w:val="00DC2F7C"/>
    <w:rsid w:val="00DC575A"/>
    <w:rsid w:val="00DE5619"/>
    <w:rsid w:val="00DE6085"/>
    <w:rsid w:val="00DE6B43"/>
    <w:rsid w:val="00DF03A5"/>
    <w:rsid w:val="00DF0C6E"/>
    <w:rsid w:val="00E013D6"/>
    <w:rsid w:val="00E04410"/>
    <w:rsid w:val="00E05248"/>
    <w:rsid w:val="00E10751"/>
    <w:rsid w:val="00E12830"/>
    <w:rsid w:val="00E21E02"/>
    <w:rsid w:val="00E2331E"/>
    <w:rsid w:val="00E2376E"/>
    <w:rsid w:val="00E31B32"/>
    <w:rsid w:val="00E51CB7"/>
    <w:rsid w:val="00E54916"/>
    <w:rsid w:val="00E57A79"/>
    <w:rsid w:val="00E717AC"/>
    <w:rsid w:val="00E72831"/>
    <w:rsid w:val="00E76785"/>
    <w:rsid w:val="00E827F5"/>
    <w:rsid w:val="00E85BCE"/>
    <w:rsid w:val="00E86FF1"/>
    <w:rsid w:val="00E971A8"/>
    <w:rsid w:val="00EA570D"/>
    <w:rsid w:val="00EA5C6F"/>
    <w:rsid w:val="00EA6C09"/>
    <w:rsid w:val="00EA7C41"/>
    <w:rsid w:val="00EB3ECB"/>
    <w:rsid w:val="00EB5571"/>
    <w:rsid w:val="00EB5857"/>
    <w:rsid w:val="00EB6EC4"/>
    <w:rsid w:val="00EC1367"/>
    <w:rsid w:val="00EC1D54"/>
    <w:rsid w:val="00EC47EC"/>
    <w:rsid w:val="00ED3E0F"/>
    <w:rsid w:val="00EE7A8C"/>
    <w:rsid w:val="00EF7A81"/>
    <w:rsid w:val="00F012E4"/>
    <w:rsid w:val="00F139BC"/>
    <w:rsid w:val="00F200D8"/>
    <w:rsid w:val="00F23BB1"/>
    <w:rsid w:val="00F26FA7"/>
    <w:rsid w:val="00F30B74"/>
    <w:rsid w:val="00F34566"/>
    <w:rsid w:val="00F40E6E"/>
    <w:rsid w:val="00F41026"/>
    <w:rsid w:val="00F43189"/>
    <w:rsid w:val="00F445F5"/>
    <w:rsid w:val="00F47D95"/>
    <w:rsid w:val="00F61AFA"/>
    <w:rsid w:val="00F66305"/>
    <w:rsid w:val="00F7634C"/>
    <w:rsid w:val="00F80DA6"/>
    <w:rsid w:val="00F841B3"/>
    <w:rsid w:val="00F85F97"/>
    <w:rsid w:val="00F9160F"/>
    <w:rsid w:val="00F91956"/>
    <w:rsid w:val="00FA0B02"/>
    <w:rsid w:val="00FA26BC"/>
    <w:rsid w:val="00FB7263"/>
    <w:rsid w:val="00FC5E32"/>
    <w:rsid w:val="00FC7998"/>
    <w:rsid w:val="00FD0090"/>
    <w:rsid w:val="00FD3AF7"/>
    <w:rsid w:val="00FD4D21"/>
    <w:rsid w:val="00FE56E9"/>
    <w:rsid w:val="00FE6D25"/>
    <w:rsid w:val="15F8BE51"/>
    <w:rsid w:val="65F6576A"/>
    <w:rsid w:val="7BB94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F9AFE"/>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ListNumber"/>
    <w:next w:val="Normal"/>
    <w:link w:val="Heading1Char"/>
    <w:uiPriority w:val="9"/>
    <w:qFormat/>
    <w:rsid w:val="006525BE"/>
    <w:pPr>
      <w:keepNext/>
      <w:keepLines/>
      <w:spacing w:before="240"/>
      <w:ind w:left="0" w:firstLine="0"/>
      <w:outlineLvl w:val="0"/>
    </w:pPr>
    <w:rPr>
      <w:rFonts w:eastAsiaTheme="majorEastAsia" w:cstheme="majorBidi"/>
      <w:b/>
      <w:szCs w:val="32"/>
    </w:rPr>
  </w:style>
  <w:style w:type="paragraph" w:styleId="Heading2">
    <w:name w:val="heading 2"/>
    <w:basedOn w:val="Subtitle"/>
    <w:next w:val="ListParagraph"/>
    <w:link w:val="Heading2Char"/>
    <w:uiPriority w:val="9"/>
    <w:unhideWhenUsed/>
    <w:qFormat/>
    <w:rsid w:val="006525BE"/>
    <w:pPr>
      <w:keepNext/>
      <w:keepLines/>
      <w:numPr>
        <w:ilvl w:val="0"/>
      </w:numPr>
      <w:spacing w:before="240" w:after="120"/>
      <w:ind w:left="1134" w:firstLine="680"/>
      <w:outlineLvl w:val="1"/>
    </w:pPr>
    <w:rPr>
      <w:rFonts w:eastAsiaTheme="majorEastAsia" w:cstheme="majorBidi"/>
      <w:szCs w:val="26"/>
    </w:rPr>
  </w:style>
  <w:style w:type="paragraph" w:styleId="Heading3">
    <w:name w:val="heading 3"/>
    <w:basedOn w:val="ListContinue2"/>
    <w:next w:val="Normal"/>
    <w:link w:val="Heading3Char"/>
    <w:uiPriority w:val="9"/>
    <w:unhideWhenUsed/>
    <w:qFormat/>
    <w:rsid w:val="006525BE"/>
    <w:pPr>
      <w:keepNext/>
      <w:keepLines/>
      <w:spacing w:before="40"/>
      <w:ind w:left="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525BE"/>
    <w:pPr>
      <w:keepNext/>
      <w:keepLines/>
      <w:spacing w:before="40" w:after="120"/>
      <w:ind w:left="720" w:firstLine="0"/>
      <w:outlineLvl w:val="3"/>
    </w:pPr>
    <w:rPr>
      <w:rFonts w:ascii="Calibri" w:eastAsiaTheme="majorEastAsia" w:hAnsi="Calibri" w:cstheme="majorBidi"/>
      <w:i/>
      <w:iCs/>
      <w:sz w:val="24"/>
    </w:rPr>
  </w:style>
  <w:style w:type="paragraph" w:styleId="Heading5">
    <w:name w:val="heading 5"/>
    <w:basedOn w:val="Normal"/>
    <w:next w:val="Normal"/>
    <w:link w:val="Heading5Char"/>
    <w:uiPriority w:val="9"/>
    <w:unhideWhenUsed/>
    <w:qFormat/>
    <w:rsid w:val="006525BE"/>
    <w:pPr>
      <w:keepNext/>
      <w:keepLines/>
      <w:spacing w:before="40" w:after="120"/>
      <w:ind w:left="0" w:firstLine="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unhideWhenUsed/>
    <w:qFormat/>
    <w:rsid w:val="006525BE"/>
    <w:pPr>
      <w:keepNext/>
      <w:keepLines/>
      <w:spacing w:before="40" w:after="120"/>
      <w:ind w:left="0" w:firstLine="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unhideWhenUsed/>
    <w:qFormat/>
    <w:rsid w:val="006525BE"/>
    <w:pPr>
      <w:keepNext/>
      <w:keepLines/>
      <w:spacing w:before="40" w:after="120"/>
      <w:ind w:left="0" w:firstLine="0"/>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unhideWhenUsed/>
    <w:qFormat/>
    <w:rsid w:val="006525BE"/>
    <w:pPr>
      <w:keepNext/>
      <w:keepLines/>
      <w:spacing w:before="40" w:after="12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525BE"/>
    <w:pPr>
      <w:keepNext/>
      <w:keepLines/>
      <w:spacing w:before="40" w:after="12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paragraph" w:customStyle="1" w:styleId="Default">
    <w:name w:val="Default"/>
    <w:rsid w:val="00715005"/>
    <w:pPr>
      <w:autoSpaceDE w:val="0"/>
      <w:autoSpaceDN w:val="0"/>
      <w:adjustRightInd w:val="0"/>
      <w:spacing w:before="0"/>
      <w:ind w:left="0" w:firstLine="0"/>
      <w:jc w:val="left"/>
    </w:pPr>
    <w:rPr>
      <w:rFonts w:ascii="Arial" w:hAnsi="Arial" w:cs="Arial"/>
      <w:color w:val="000000"/>
      <w:sz w:val="24"/>
      <w:szCs w:val="24"/>
    </w:rPr>
  </w:style>
  <w:style w:type="paragraph" w:styleId="NoSpacing">
    <w:name w:val="No Spacing"/>
    <w:uiPriority w:val="1"/>
    <w:qFormat/>
    <w:rsid w:val="00FC7998"/>
    <w:pPr>
      <w:spacing w:before="0"/>
    </w:pPr>
  </w:style>
  <w:style w:type="character" w:styleId="Hyperlink">
    <w:name w:val="Hyperlink"/>
    <w:basedOn w:val="DefaultParagraphFont"/>
    <w:uiPriority w:val="99"/>
    <w:unhideWhenUsed/>
    <w:rsid w:val="00F445F5"/>
    <w:rPr>
      <w:color w:val="0000FF" w:themeColor="hyperlink"/>
      <w:u w:val="single"/>
    </w:rPr>
  </w:style>
  <w:style w:type="character" w:styleId="Strong">
    <w:name w:val="Strong"/>
    <w:basedOn w:val="DefaultParagraphFont"/>
    <w:uiPriority w:val="22"/>
    <w:qFormat/>
    <w:rsid w:val="009D2FE2"/>
    <w:rPr>
      <w:b/>
      <w:bCs/>
    </w:rPr>
  </w:style>
  <w:style w:type="paragraph" w:styleId="NormalWeb">
    <w:name w:val="Normal (Web)"/>
    <w:basedOn w:val="Normal"/>
    <w:uiPriority w:val="99"/>
    <w:unhideWhenUsed/>
    <w:rsid w:val="009D2FE2"/>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B4F2C"/>
    <w:rPr>
      <w:sz w:val="16"/>
      <w:szCs w:val="16"/>
    </w:rPr>
  </w:style>
  <w:style w:type="paragraph" w:styleId="CommentText">
    <w:name w:val="annotation text"/>
    <w:basedOn w:val="Normal"/>
    <w:link w:val="CommentTextChar"/>
    <w:uiPriority w:val="99"/>
    <w:unhideWhenUsed/>
    <w:rsid w:val="002B4F2C"/>
    <w:pPr>
      <w:widowControl w:val="0"/>
      <w:adjustRightInd w:val="0"/>
      <w:spacing w:before="0"/>
      <w:ind w:left="0" w:firstLine="0"/>
      <w:textAlignment w:val="baseline"/>
    </w:pPr>
    <w:rPr>
      <w:rFonts w:ascii="Arial" w:eastAsia="Times New Roman" w:hAnsi="Arial" w:cs="Times New Roman"/>
      <w:szCs w:val="20"/>
      <w:lang w:eastAsia="en-GB"/>
    </w:rPr>
  </w:style>
  <w:style w:type="character" w:customStyle="1" w:styleId="CommentTextChar">
    <w:name w:val="Comment Text Char"/>
    <w:basedOn w:val="DefaultParagraphFont"/>
    <w:link w:val="CommentText"/>
    <w:uiPriority w:val="99"/>
    <w:rsid w:val="002B4F2C"/>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unhideWhenUsed/>
    <w:rsid w:val="00487CF6"/>
    <w:pPr>
      <w:widowControl/>
      <w:adjustRightInd/>
      <w:spacing w:before="120"/>
      <w:ind w:left="1134" w:hanging="567"/>
      <w:textAlignment w:val="auto"/>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487CF6"/>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6525BE"/>
    <w:rPr>
      <w:rFonts w:ascii="Calibri" w:eastAsiaTheme="majorEastAsia" w:hAnsi="Calibri" w:cstheme="majorBidi"/>
      <w:b/>
      <w:sz w:val="24"/>
      <w:szCs w:val="32"/>
    </w:rPr>
  </w:style>
  <w:style w:type="character" w:customStyle="1" w:styleId="Heading2Char">
    <w:name w:val="Heading 2 Char"/>
    <w:basedOn w:val="DefaultParagraphFont"/>
    <w:link w:val="Heading2"/>
    <w:uiPriority w:val="9"/>
    <w:rsid w:val="006525BE"/>
    <w:rPr>
      <w:rFonts w:eastAsiaTheme="majorEastAsia" w:cstheme="majorBidi"/>
      <w:sz w:val="24"/>
      <w:szCs w:val="26"/>
      <w:u w:val="single"/>
    </w:rPr>
  </w:style>
  <w:style w:type="character" w:customStyle="1" w:styleId="Heading3Char">
    <w:name w:val="Heading 3 Char"/>
    <w:basedOn w:val="DefaultParagraphFont"/>
    <w:link w:val="Heading3"/>
    <w:uiPriority w:val="9"/>
    <w:rsid w:val="006525BE"/>
    <w:rPr>
      <w:rFonts w:ascii="Calibri" w:eastAsiaTheme="majorEastAsia" w:hAnsi="Calibri" w:cstheme="majorBidi"/>
      <w:sz w:val="24"/>
      <w:szCs w:val="24"/>
    </w:rPr>
  </w:style>
  <w:style w:type="character" w:customStyle="1" w:styleId="Heading4Char">
    <w:name w:val="Heading 4 Char"/>
    <w:basedOn w:val="DefaultParagraphFont"/>
    <w:link w:val="Heading4"/>
    <w:uiPriority w:val="9"/>
    <w:rsid w:val="006525BE"/>
    <w:rPr>
      <w:rFonts w:ascii="Calibri" w:eastAsiaTheme="majorEastAsia" w:hAnsi="Calibri" w:cstheme="majorBidi"/>
      <w:i/>
      <w:iCs/>
      <w:sz w:val="24"/>
    </w:rPr>
  </w:style>
  <w:style w:type="character" w:customStyle="1" w:styleId="Heading5Char">
    <w:name w:val="Heading 5 Char"/>
    <w:basedOn w:val="DefaultParagraphFont"/>
    <w:link w:val="Heading5"/>
    <w:uiPriority w:val="9"/>
    <w:rsid w:val="006525BE"/>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6525BE"/>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6525B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6525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525B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6525BE"/>
    <w:rPr>
      <w:color w:val="605E5C"/>
      <w:shd w:val="clear" w:color="auto" w:fill="E1DFDD"/>
    </w:rPr>
  </w:style>
  <w:style w:type="character" w:styleId="FollowedHyperlink">
    <w:name w:val="FollowedHyperlink"/>
    <w:basedOn w:val="DefaultParagraphFont"/>
    <w:uiPriority w:val="99"/>
    <w:semiHidden/>
    <w:unhideWhenUsed/>
    <w:rsid w:val="006525BE"/>
    <w:rPr>
      <w:color w:val="800080" w:themeColor="followedHyperlink"/>
      <w:u w:val="single"/>
    </w:rPr>
  </w:style>
  <w:style w:type="paragraph" w:styleId="Title">
    <w:name w:val="Title"/>
    <w:basedOn w:val="Normal"/>
    <w:next w:val="Normal"/>
    <w:link w:val="TitleChar"/>
    <w:uiPriority w:val="10"/>
    <w:qFormat/>
    <w:rsid w:val="006525BE"/>
    <w:pPr>
      <w:spacing w:before="0" w:after="120"/>
      <w:ind w:left="0" w:firstLine="0"/>
      <w:contextualSpacing/>
      <w:jc w:val="center"/>
    </w:pPr>
    <w:rPr>
      <w:rFonts w:ascii="Calibri" w:eastAsiaTheme="majorEastAsia" w:hAnsi="Calibri" w:cstheme="majorBidi"/>
      <w:b/>
      <w:kern w:val="24"/>
      <w:sz w:val="24"/>
      <w:szCs w:val="56"/>
    </w:rPr>
  </w:style>
  <w:style w:type="character" w:customStyle="1" w:styleId="TitleChar">
    <w:name w:val="Title Char"/>
    <w:basedOn w:val="DefaultParagraphFont"/>
    <w:link w:val="Title"/>
    <w:uiPriority w:val="10"/>
    <w:rsid w:val="006525BE"/>
    <w:rPr>
      <w:rFonts w:ascii="Calibri" w:eastAsiaTheme="majorEastAsia" w:hAnsi="Calibri" w:cstheme="majorBidi"/>
      <w:b/>
      <w:kern w:val="24"/>
      <w:sz w:val="24"/>
      <w:szCs w:val="56"/>
    </w:rPr>
  </w:style>
  <w:style w:type="paragraph" w:styleId="IntenseQuote">
    <w:name w:val="Intense Quote"/>
    <w:basedOn w:val="Normal"/>
    <w:next w:val="Normal"/>
    <w:link w:val="IntenseQuoteChar"/>
    <w:uiPriority w:val="30"/>
    <w:qFormat/>
    <w:rsid w:val="006525BE"/>
    <w:pPr>
      <w:pBdr>
        <w:top w:val="single" w:sz="4" w:space="10" w:color="4F81BD" w:themeColor="accent1"/>
        <w:bottom w:val="single" w:sz="4" w:space="10" w:color="4F81BD" w:themeColor="accent1"/>
      </w:pBdr>
      <w:spacing w:before="360" w:after="360"/>
      <w:ind w:left="864" w:right="864" w:firstLine="0"/>
      <w:jc w:val="center"/>
    </w:pPr>
    <w:rPr>
      <w:rFonts w:ascii="Calibri" w:hAnsi="Calibri"/>
      <w:i/>
      <w:iCs/>
      <w:color w:val="4F81BD" w:themeColor="accent1"/>
      <w:sz w:val="24"/>
    </w:rPr>
  </w:style>
  <w:style w:type="character" w:customStyle="1" w:styleId="IntenseQuoteChar">
    <w:name w:val="Intense Quote Char"/>
    <w:basedOn w:val="DefaultParagraphFont"/>
    <w:link w:val="IntenseQuote"/>
    <w:uiPriority w:val="30"/>
    <w:rsid w:val="006525BE"/>
    <w:rPr>
      <w:rFonts w:ascii="Calibri" w:hAnsi="Calibri"/>
      <w:i/>
      <w:iCs/>
      <w:color w:val="4F81BD" w:themeColor="accent1"/>
      <w:sz w:val="24"/>
    </w:rPr>
  </w:style>
  <w:style w:type="character" w:styleId="SubtleReference">
    <w:name w:val="Subtle Reference"/>
    <w:basedOn w:val="DefaultParagraphFont"/>
    <w:uiPriority w:val="31"/>
    <w:qFormat/>
    <w:rsid w:val="006525BE"/>
    <w:rPr>
      <w:smallCaps/>
      <w:color w:val="5A5A5A" w:themeColor="text1" w:themeTint="A5"/>
    </w:rPr>
  </w:style>
  <w:style w:type="character" w:styleId="IntenseReference">
    <w:name w:val="Intense Reference"/>
    <w:basedOn w:val="DefaultParagraphFont"/>
    <w:uiPriority w:val="32"/>
    <w:qFormat/>
    <w:rsid w:val="006525BE"/>
    <w:rPr>
      <w:b/>
      <w:bCs/>
      <w:smallCaps/>
      <w:color w:val="4F81BD" w:themeColor="accent1"/>
      <w:spacing w:val="5"/>
    </w:rPr>
  </w:style>
  <w:style w:type="character" w:styleId="BookTitle">
    <w:name w:val="Book Title"/>
    <w:basedOn w:val="DefaultParagraphFont"/>
    <w:uiPriority w:val="33"/>
    <w:qFormat/>
    <w:rsid w:val="006525BE"/>
    <w:rPr>
      <w:b/>
      <w:bCs/>
      <w:i/>
      <w:iCs/>
      <w:spacing w:val="5"/>
    </w:rPr>
  </w:style>
  <w:style w:type="paragraph" w:styleId="ListNumber">
    <w:name w:val="List Number"/>
    <w:basedOn w:val="Normal"/>
    <w:uiPriority w:val="99"/>
    <w:semiHidden/>
    <w:unhideWhenUsed/>
    <w:rsid w:val="006525BE"/>
    <w:pPr>
      <w:numPr>
        <w:numId w:val="18"/>
      </w:numPr>
      <w:spacing w:after="120"/>
      <w:contextualSpacing/>
    </w:pPr>
    <w:rPr>
      <w:rFonts w:ascii="Calibri" w:hAnsi="Calibri"/>
      <w:sz w:val="24"/>
    </w:rPr>
  </w:style>
  <w:style w:type="paragraph" w:styleId="ListBullet">
    <w:name w:val="List Bullet"/>
    <w:basedOn w:val="Normal"/>
    <w:uiPriority w:val="99"/>
    <w:unhideWhenUsed/>
    <w:rsid w:val="006525BE"/>
    <w:pPr>
      <w:numPr>
        <w:numId w:val="19"/>
      </w:numPr>
      <w:spacing w:after="120"/>
      <w:ind w:left="754" w:hanging="357"/>
    </w:pPr>
    <w:rPr>
      <w:rFonts w:ascii="Calibri" w:hAnsi="Calibri"/>
      <w:sz w:val="24"/>
    </w:rPr>
  </w:style>
  <w:style w:type="paragraph" w:styleId="ListNumber2">
    <w:name w:val="List Number 2"/>
    <w:basedOn w:val="Normal"/>
    <w:uiPriority w:val="99"/>
    <w:semiHidden/>
    <w:unhideWhenUsed/>
    <w:rsid w:val="006525BE"/>
    <w:pPr>
      <w:numPr>
        <w:numId w:val="21"/>
      </w:numPr>
      <w:spacing w:after="120"/>
      <w:contextualSpacing/>
    </w:pPr>
    <w:rPr>
      <w:rFonts w:ascii="Calibri" w:hAnsi="Calibri"/>
      <w:sz w:val="24"/>
    </w:rPr>
  </w:style>
  <w:style w:type="paragraph" w:styleId="ListContinue2">
    <w:name w:val="List Continue 2"/>
    <w:basedOn w:val="Normal"/>
    <w:uiPriority w:val="99"/>
    <w:semiHidden/>
    <w:unhideWhenUsed/>
    <w:rsid w:val="006525BE"/>
    <w:pPr>
      <w:spacing w:after="120"/>
      <w:ind w:left="566" w:firstLine="0"/>
      <w:contextualSpacing/>
    </w:pPr>
    <w:rPr>
      <w:rFonts w:ascii="Calibri" w:hAnsi="Calibri"/>
      <w:sz w:val="24"/>
    </w:rPr>
  </w:style>
  <w:style w:type="paragraph" w:styleId="Subtitle">
    <w:name w:val="Subtitle"/>
    <w:basedOn w:val="Normal"/>
    <w:next w:val="Normal"/>
    <w:link w:val="SubtitleChar"/>
    <w:uiPriority w:val="11"/>
    <w:qFormat/>
    <w:rsid w:val="006525BE"/>
    <w:pPr>
      <w:numPr>
        <w:ilvl w:val="1"/>
      </w:numPr>
      <w:spacing w:after="160"/>
      <w:ind w:left="1134" w:hanging="567"/>
    </w:pPr>
    <w:rPr>
      <w:rFonts w:eastAsiaTheme="minorEastAsia"/>
      <w:sz w:val="24"/>
      <w:u w:val="single"/>
    </w:rPr>
  </w:style>
  <w:style w:type="character" w:customStyle="1" w:styleId="SubtitleChar">
    <w:name w:val="Subtitle Char"/>
    <w:basedOn w:val="DefaultParagraphFont"/>
    <w:link w:val="Subtitle"/>
    <w:uiPriority w:val="11"/>
    <w:rsid w:val="006525BE"/>
    <w:rPr>
      <w:rFonts w:eastAsiaTheme="minorEastAsia"/>
      <w:sz w:val="24"/>
      <w:u w:val="single"/>
    </w:rPr>
  </w:style>
  <w:style w:type="paragraph" w:styleId="ListContinue">
    <w:name w:val="List Continue"/>
    <w:basedOn w:val="Normal"/>
    <w:uiPriority w:val="99"/>
    <w:semiHidden/>
    <w:unhideWhenUsed/>
    <w:rsid w:val="006525BE"/>
    <w:pPr>
      <w:spacing w:after="120"/>
      <w:ind w:left="283" w:firstLine="0"/>
      <w:contextualSpacing/>
    </w:pPr>
    <w:rPr>
      <w:rFonts w:ascii="Calibri" w:hAnsi="Calibri"/>
      <w:sz w:val="24"/>
    </w:rPr>
  </w:style>
  <w:style w:type="character" w:styleId="SubtleEmphasis">
    <w:name w:val="Subtle Emphasis"/>
    <w:basedOn w:val="DefaultParagraphFont"/>
    <w:uiPriority w:val="19"/>
    <w:qFormat/>
    <w:rsid w:val="006525BE"/>
    <w:rPr>
      <w:i/>
      <w:iCs/>
      <w:color w:val="404040" w:themeColor="text1" w:themeTint="BF"/>
    </w:rPr>
  </w:style>
  <w:style w:type="paragraph" w:styleId="ListNumber3">
    <w:name w:val="List Number 3"/>
    <w:basedOn w:val="Normal"/>
    <w:uiPriority w:val="99"/>
    <w:semiHidden/>
    <w:unhideWhenUsed/>
    <w:rsid w:val="006525BE"/>
    <w:pPr>
      <w:numPr>
        <w:numId w:val="22"/>
      </w:numPr>
      <w:spacing w:after="120"/>
      <w:contextualSpacing/>
    </w:pPr>
    <w:rPr>
      <w:rFonts w:ascii="Calibri" w:hAnsi="Calibri"/>
      <w:sz w:val="24"/>
    </w:rPr>
  </w:style>
  <w:style w:type="paragraph" w:customStyle="1" w:styleId="Appendixtitles">
    <w:name w:val="Appendix titles"/>
    <w:basedOn w:val="Heading1"/>
    <w:link w:val="AppendixtitlesChar"/>
    <w:rsid w:val="006525BE"/>
    <w:pPr>
      <w:numPr>
        <w:numId w:val="0"/>
      </w:numPr>
    </w:pPr>
  </w:style>
  <w:style w:type="character" w:customStyle="1" w:styleId="AppendixtitlesChar">
    <w:name w:val="Appendix titles Char"/>
    <w:basedOn w:val="Heading1Char"/>
    <w:link w:val="Appendixtitles"/>
    <w:rsid w:val="006525BE"/>
    <w:rPr>
      <w:rFonts w:ascii="Calibri" w:eastAsiaTheme="majorEastAsia" w:hAnsi="Calibri" w:cstheme="majorBidi"/>
      <w:b/>
      <w:sz w:val="24"/>
      <w:szCs w:val="32"/>
    </w:rPr>
  </w:style>
  <w:style w:type="paragraph" w:styleId="TOC1">
    <w:name w:val="toc 1"/>
    <w:basedOn w:val="Normal"/>
    <w:next w:val="Normal"/>
    <w:autoRedefine/>
    <w:uiPriority w:val="39"/>
    <w:unhideWhenUsed/>
    <w:rsid w:val="00695523"/>
    <w:pPr>
      <w:tabs>
        <w:tab w:val="right" w:leader="dot" w:pos="9016"/>
      </w:tabs>
      <w:spacing w:after="100"/>
      <w:ind w:left="709" w:firstLine="0"/>
    </w:pPr>
    <w:rPr>
      <w:rFonts w:ascii="Calibri" w:hAnsi="Calibri"/>
      <w:sz w:val="24"/>
    </w:rPr>
  </w:style>
  <w:style w:type="paragraph" w:styleId="Revision">
    <w:name w:val="Revision"/>
    <w:hidden/>
    <w:uiPriority w:val="99"/>
    <w:semiHidden/>
    <w:rsid w:val="006525BE"/>
    <w:pPr>
      <w:spacing w:before="0"/>
      <w:ind w:left="0" w:firstLine="0"/>
      <w:jc w:val="left"/>
    </w:pPr>
    <w:rPr>
      <w:rFonts w:ascii="Calibri" w:hAnsi="Calibri"/>
      <w:sz w:val="24"/>
    </w:rPr>
  </w:style>
  <w:style w:type="character" w:customStyle="1" w:styleId="ui-provider">
    <w:name w:val="ui-provider"/>
    <w:basedOn w:val="DefaultParagraphFont"/>
    <w:rsid w:val="00E2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336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314027655">
      <w:bodyDiv w:val="1"/>
      <w:marLeft w:val="0"/>
      <w:marRight w:val="0"/>
      <w:marTop w:val="0"/>
      <w:marBottom w:val="0"/>
      <w:divBdr>
        <w:top w:val="none" w:sz="0" w:space="0" w:color="auto"/>
        <w:left w:val="none" w:sz="0" w:space="0" w:color="auto"/>
        <w:bottom w:val="none" w:sz="0" w:space="0" w:color="auto"/>
        <w:right w:val="none" w:sz="0" w:space="0" w:color="auto"/>
      </w:divBdr>
      <w:divsChild>
        <w:div w:id="1562784650">
          <w:marLeft w:val="0"/>
          <w:marRight w:val="0"/>
          <w:marTop w:val="0"/>
          <w:marBottom w:val="0"/>
          <w:divBdr>
            <w:top w:val="none" w:sz="0" w:space="0" w:color="auto"/>
            <w:left w:val="none" w:sz="0" w:space="0" w:color="auto"/>
            <w:bottom w:val="none" w:sz="0" w:space="0" w:color="auto"/>
            <w:right w:val="none" w:sz="0" w:space="0" w:color="auto"/>
          </w:divBdr>
          <w:divsChild>
            <w:div w:id="1086421343">
              <w:marLeft w:val="0"/>
              <w:marRight w:val="0"/>
              <w:marTop w:val="0"/>
              <w:marBottom w:val="0"/>
              <w:divBdr>
                <w:top w:val="none" w:sz="0" w:space="0" w:color="auto"/>
                <w:left w:val="none" w:sz="0" w:space="0" w:color="auto"/>
                <w:bottom w:val="none" w:sz="0" w:space="0" w:color="auto"/>
                <w:right w:val="none" w:sz="0" w:space="0" w:color="auto"/>
              </w:divBdr>
              <w:divsChild>
                <w:div w:id="2070303821">
                  <w:marLeft w:val="0"/>
                  <w:marRight w:val="0"/>
                  <w:marTop w:val="0"/>
                  <w:marBottom w:val="0"/>
                  <w:divBdr>
                    <w:top w:val="none" w:sz="0" w:space="0" w:color="auto"/>
                    <w:left w:val="none" w:sz="0" w:space="0" w:color="auto"/>
                    <w:bottom w:val="none" w:sz="0" w:space="0" w:color="auto"/>
                    <w:right w:val="none" w:sz="0" w:space="0" w:color="auto"/>
                  </w:divBdr>
                  <w:divsChild>
                    <w:div w:id="1850170438">
                      <w:marLeft w:val="0"/>
                      <w:marRight w:val="0"/>
                      <w:marTop w:val="0"/>
                      <w:marBottom w:val="0"/>
                      <w:divBdr>
                        <w:top w:val="none" w:sz="0" w:space="0" w:color="auto"/>
                        <w:left w:val="none" w:sz="0" w:space="0" w:color="auto"/>
                        <w:bottom w:val="none" w:sz="0" w:space="0" w:color="auto"/>
                        <w:right w:val="none" w:sz="0" w:space="0" w:color="auto"/>
                      </w:divBdr>
                      <w:divsChild>
                        <w:div w:id="1413239646">
                          <w:marLeft w:val="0"/>
                          <w:marRight w:val="0"/>
                          <w:marTop w:val="0"/>
                          <w:marBottom w:val="0"/>
                          <w:divBdr>
                            <w:top w:val="none" w:sz="0" w:space="0" w:color="auto"/>
                            <w:left w:val="none" w:sz="0" w:space="0" w:color="auto"/>
                            <w:bottom w:val="none" w:sz="0" w:space="0" w:color="auto"/>
                            <w:right w:val="none" w:sz="0" w:space="0" w:color="auto"/>
                          </w:divBdr>
                          <w:divsChild>
                            <w:div w:id="1505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staffnet/governance/data-protection-6958.php" TargetMode="External"/><Relationship Id="rId18" Type="http://schemas.openxmlformats.org/officeDocument/2006/relationships/hyperlink" Target="https://www.abdn.ac.uk/staffnet/governance/data-protection-6958.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bdn.ac.uk/staffnet/governance/data-protection-6958.php" TargetMode="External"/><Relationship Id="rId17" Type="http://schemas.openxmlformats.org/officeDocument/2006/relationships/hyperlink" Target="https://www.abdn.ac.uk/staffnet/governance/data-protection-6958.php" TargetMode="External"/><Relationship Id="rId2" Type="http://schemas.openxmlformats.org/officeDocument/2006/relationships/customXml" Target="../customXml/item2.xml"/><Relationship Id="rId16" Type="http://schemas.openxmlformats.org/officeDocument/2006/relationships/hyperlink" Target="https://www.abdn.ac.uk/staffnet/working-here/it-services/collaboration.php"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governance/data-protection-6958.php" TargetMode="External"/><Relationship Id="rId5" Type="http://schemas.openxmlformats.org/officeDocument/2006/relationships/numbering" Target="numbering.xml"/><Relationship Id="rId15" Type="http://schemas.openxmlformats.org/officeDocument/2006/relationships/hyperlink" Target="https://www.abdn.ac.uk/staffnet/governance/data-protection-6958.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bdn.ac.uk/staffnet/governance/data-protection-6958.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dn.ac.uk/staffnet/governance/data-protection-6958.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83C5424814F4EA9C058F96D409730" ma:contentTypeVersion="8" ma:contentTypeDescription="Create a new document." ma:contentTypeScope="" ma:versionID="77c08a0a05d619bf0742e5a66ce6ad02">
  <xsd:schema xmlns:xsd="http://www.w3.org/2001/XMLSchema" xmlns:xs="http://www.w3.org/2001/XMLSchema" xmlns:p="http://schemas.microsoft.com/office/2006/metadata/properties" xmlns:ns2="ce57e12f-972d-4fb4-b542-2321dd7eae31" targetNamespace="http://schemas.microsoft.com/office/2006/metadata/properties" ma:root="true" ma:fieldsID="1a9c2de6a8eaba21c70a9f84450edf40" ns2:_="">
    <xsd:import namespace="ce57e12f-972d-4fb4-b542-2321dd7ea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7e12f-972d-4fb4-b542-2321dd7ea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56E00-68E5-43B8-A323-A8FDDA787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7e12f-972d-4fb4-b542-2321dd7ea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93204-FDEA-4886-9A27-E06D687CCF7B}">
  <ds:schemaRefs>
    <ds:schemaRef ds:uri="http://schemas.openxmlformats.org/officeDocument/2006/bibliography"/>
  </ds:schemaRefs>
</ds:datastoreItem>
</file>

<file path=customXml/itemProps3.xml><?xml version="1.0" encoding="utf-8"?>
<ds:datastoreItem xmlns:ds="http://schemas.openxmlformats.org/officeDocument/2006/customXml" ds:itemID="{BFF8D807-EFB6-4ED8-9A26-2A67B42B14EF}">
  <ds:schemaRefs>
    <ds:schemaRef ds:uri="http://purl.org/dc/elements/1.1/"/>
    <ds:schemaRef ds:uri="http://schemas.microsoft.com/office/infopath/2007/PartnerControls"/>
    <ds:schemaRef ds:uri="http://www.w3.org/XML/1998/namespace"/>
    <ds:schemaRef ds:uri="ce57e12f-972d-4fb4-b542-2321dd7eae3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CBA2C74A-4EA6-47E8-A015-C960EFBC1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Glennie</dc:creator>
  <cp:lastModifiedBy>Sabiston, Mary</cp:lastModifiedBy>
  <cp:revision>6</cp:revision>
  <cp:lastPrinted>2018-11-26T09:39:00Z</cp:lastPrinted>
  <dcterms:created xsi:type="dcterms:W3CDTF">2025-03-06T10:01:00Z</dcterms:created>
  <dcterms:modified xsi:type="dcterms:W3CDTF">2025-03-07T13:26:00Z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0x0101004CE83C5424814F4EA9C058F96D409730</vt:lpwstr>
  </property>
</Properties>
</file>