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6DED33C3" w:rsidR="004875F8" w:rsidRDefault="004875F8" w:rsidP="00111191">
      <w:pPr>
        <w:spacing w:before="0"/>
        <w:ind w:left="567"/>
        <w:rPr>
          <w:rFonts w:cstheme="minorHAnsi"/>
          <w:sz w:val="20"/>
          <w:szCs w:val="20"/>
        </w:rPr>
      </w:pP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037DB43F" w14:textId="77777777" w:rsidR="00586D95" w:rsidRPr="005C76A4" w:rsidRDefault="00586D95" w:rsidP="00C006CC">
      <w:pPr>
        <w:autoSpaceDE w:val="0"/>
        <w:autoSpaceDN w:val="0"/>
        <w:adjustRightInd w:val="0"/>
        <w:spacing w:before="0"/>
        <w:ind w:left="0" w:firstLine="0"/>
        <w:jc w:val="left"/>
        <w:rPr>
          <w:rFonts w:eastAsia="Calibri" w:cstheme="minorHAnsi"/>
          <w:b/>
          <w:bCs/>
          <w:color w:val="000000"/>
          <w:sz w:val="40"/>
          <w:szCs w:val="40"/>
        </w:rPr>
      </w:pPr>
    </w:p>
    <w:p w14:paraId="61BBC029" w14:textId="00CA4159" w:rsidR="00C006CC" w:rsidRPr="005C76A4" w:rsidRDefault="00723501"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 xml:space="preserve">Biosafety </w:t>
      </w:r>
      <w:r w:rsidR="00F92288">
        <w:rPr>
          <w:rFonts w:eastAsia="Calibri" w:cstheme="minorHAnsi"/>
          <w:b/>
          <w:bCs/>
          <w:color w:val="000000"/>
          <w:sz w:val="40"/>
          <w:szCs w:val="40"/>
        </w:rPr>
        <w:t>Policy</w:t>
      </w:r>
      <w:r w:rsidR="009F50EC">
        <w:rPr>
          <w:rFonts w:eastAsia="Calibri" w:cstheme="minorHAnsi"/>
          <w:b/>
          <w:bCs/>
          <w:color w:val="000000"/>
          <w:sz w:val="40"/>
          <w:szCs w:val="40"/>
        </w:rPr>
        <w:t xml:space="preserve"> </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3BD01CB8" w14:textId="77777777" w:rsidR="00C006CC" w:rsidRPr="005C76A4" w:rsidRDefault="00C006CC" w:rsidP="00C006CC">
      <w:pPr>
        <w:spacing w:before="0" w:after="160" w:line="259" w:lineRule="auto"/>
        <w:ind w:left="0" w:right="5198" w:firstLine="0"/>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51256A28" w14:textId="34F79A0F" w:rsidR="009F50EC" w:rsidRDefault="00254D93" w:rsidP="00254D93">
      <w:pPr>
        <w:spacing w:before="0" w:after="160" w:line="259" w:lineRule="auto"/>
        <w:ind w:left="0" w:right="5198" w:firstLine="0"/>
        <w:jc w:val="left"/>
        <w:rPr>
          <w:rFonts w:eastAsia="Calibri" w:cstheme="minorHAnsi"/>
          <w:color w:val="000000"/>
        </w:rPr>
      </w:pPr>
      <w:r>
        <w:t xml:space="preserve">The University of Aberdeen is committed to providing a safe and healthy working environment.  The University undertakes research and teaching with biological agents (both wild-type and genetically modified) and all reasonable steps will be taken to ensure that personnel will not be exposed to biological agents as part of their work activities. </w:t>
      </w:r>
    </w:p>
    <w:p w14:paraId="34C21FB3" w14:textId="1646F052" w:rsidR="009F50EC" w:rsidRDefault="009F50EC" w:rsidP="009F50EC">
      <w:pPr>
        <w:spacing w:before="0" w:after="160" w:line="259" w:lineRule="auto"/>
        <w:ind w:left="0" w:right="5198" w:firstLine="0"/>
        <w:rPr>
          <w:rFonts w:eastAsia="Calibri" w:cstheme="minorHAnsi"/>
          <w:color w:val="000000"/>
        </w:rPr>
      </w:pPr>
    </w:p>
    <w:p w14:paraId="3A7E288C" w14:textId="14E64387" w:rsidR="009F50EC" w:rsidRDefault="009F50EC" w:rsidP="009F50EC">
      <w:pPr>
        <w:spacing w:before="0" w:after="160" w:line="259" w:lineRule="auto"/>
        <w:ind w:left="0" w:right="5198" w:firstLine="0"/>
        <w:rPr>
          <w:rFonts w:eastAsia="Calibri" w:cstheme="minorHAnsi"/>
          <w:color w:val="000000"/>
        </w:rPr>
      </w:pPr>
    </w:p>
    <w:p w14:paraId="60B93C27" w14:textId="3D458128" w:rsidR="009F50EC" w:rsidRDefault="009F50EC" w:rsidP="009F50EC">
      <w:pPr>
        <w:spacing w:before="0" w:after="160" w:line="259" w:lineRule="auto"/>
        <w:ind w:left="0" w:right="5198" w:firstLine="0"/>
        <w:rPr>
          <w:rFonts w:eastAsia="Calibri" w:cstheme="minorHAnsi"/>
          <w:color w:val="000000"/>
        </w:rPr>
      </w:pPr>
    </w:p>
    <w:p w14:paraId="2E789EF8" w14:textId="77777777" w:rsidR="009F50EC" w:rsidRPr="005C76A4" w:rsidRDefault="009F50EC" w:rsidP="009F50EC">
      <w:pPr>
        <w:spacing w:before="0" w:after="160" w:line="259" w:lineRule="auto"/>
        <w:ind w:left="0" w:right="5198" w:firstLine="0"/>
        <w:rPr>
          <w:rFonts w:eastAsia="Calibri" w:cstheme="minorHAnsi"/>
          <w:color w:val="000000"/>
        </w:rPr>
      </w:pPr>
    </w:p>
    <w:p w14:paraId="0B92DF75" w14:textId="77777777" w:rsidR="00C006CC" w:rsidRPr="005C76A4" w:rsidRDefault="00C006CC" w:rsidP="00C006CC">
      <w:pPr>
        <w:spacing w:before="0" w:after="160" w:line="259" w:lineRule="auto"/>
        <w:ind w:left="5812" w:firstLine="0"/>
        <w:rPr>
          <w:rFonts w:eastAsia="Calibri" w:cstheme="minorHAnsi"/>
          <w:color w:val="000000"/>
          <w:sz w:val="24"/>
          <w:szCs w:val="24"/>
        </w:rPr>
      </w:pPr>
    </w:p>
    <w:p w14:paraId="1C933F6F" w14:textId="77777777" w:rsidR="00C006CC" w:rsidRPr="009F50EC" w:rsidRDefault="00C006CC" w:rsidP="00C006CC">
      <w:pPr>
        <w:spacing w:before="0" w:after="160" w:line="259" w:lineRule="auto"/>
        <w:ind w:left="0" w:firstLine="0"/>
        <w:rPr>
          <w:rFonts w:eastAsia="Calibri" w:cstheme="minorHAnsi"/>
          <w:b/>
          <w:bCs/>
          <w:color w:val="000000"/>
          <w:sz w:val="24"/>
          <w:szCs w:val="24"/>
          <w:u w:val="single"/>
        </w:rPr>
      </w:pPr>
      <w:r w:rsidRPr="009F50EC">
        <w:rPr>
          <w:rFonts w:eastAsia="Calibri" w:cstheme="minorHAnsi"/>
          <w:b/>
          <w:bCs/>
          <w:color w:val="000000"/>
          <w:sz w:val="24"/>
          <w:szCs w:val="24"/>
          <w:u w:val="single"/>
        </w:rPr>
        <w:t xml:space="preserve">Approval </w:t>
      </w:r>
    </w:p>
    <w:p w14:paraId="57F53414" w14:textId="7091A08F"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Approved by:</w:t>
      </w:r>
      <w:r w:rsidR="00284388" w:rsidRPr="005C76A4">
        <w:rPr>
          <w:rFonts w:eastAsia="Calibri" w:cstheme="minorHAnsi"/>
          <w:b/>
          <w:bCs/>
          <w:color w:val="000000"/>
          <w:sz w:val="24"/>
          <w:szCs w:val="24"/>
        </w:rPr>
        <w:t xml:space="preserve"> </w:t>
      </w:r>
      <w:r w:rsidR="0033525F">
        <w:rPr>
          <w:rFonts w:eastAsia="Calibri" w:cstheme="minorHAnsi"/>
          <w:b/>
          <w:bCs/>
          <w:color w:val="000000"/>
          <w:sz w:val="24"/>
          <w:szCs w:val="24"/>
        </w:rPr>
        <w:t>SMT</w:t>
      </w:r>
    </w:p>
    <w:p w14:paraId="74DBCA4A" w14:textId="0160703E"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 xml:space="preserve">Date:  </w:t>
      </w:r>
      <w:r w:rsidR="0033525F">
        <w:rPr>
          <w:rFonts w:eastAsia="Calibri" w:cstheme="minorHAnsi"/>
          <w:b/>
          <w:bCs/>
          <w:color w:val="000000"/>
          <w:sz w:val="24"/>
          <w:szCs w:val="24"/>
        </w:rPr>
        <w:t>15/08/2025</w:t>
      </w:r>
    </w:p>
    <w:p w14:paraId="2EEC6FB8" w14:textId="77777777"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r w:rsidRPr="005C76A4">
        <w:rPr>
          <w:rFonts w:eastAsia="Calibri" w:cstheme="minorHAnsi"/>
          <w:b/>
          <w:bCs/>
          <w:color w:val="000000"/>
          <w:sz w:val="36"/>
          <w:szCs w:val="36"/>
        </w:rPr>
        <w:lastRenderedPageBreak/>
        <w:tab/>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37378E82" w:rsidR="00C006CC" w:rsidRPr="005C76A4" w:rsidRDefault="009A72CA" w:rsidP="00586D95">
            <w:pPr>
              <w:rPr>
                <w:rFonts w:eastAsia="Calibri" w:cstheme="minorHAnsi"/>
                <w:b/>
                <w:bCs/>
                <w:color w:val="000000"/>
              </w:rPr>
            </w:pPr>
            <w:r>
              <w:rPr>
                <w:rFonts w:eastAsia="Calibri" w:cstheme="minorHAnsi"/>
                <w:color w:val="000000"/>
              </w:rPr>
              <w:t>Issue 1</w:t>
            </w:r>
          </w:p>
        </w:tc>
        <w:tc>
          <w:tcPr>
            <w:tcW w:w="1557" w:type="dxa"/>
            <w:vAlign w:val="center"/>
          </w:tcPr>
          <w:p w14:paraId="6A56A060" w14:textId="24AD8CE9" w:rsidR="00C006CC" w:rsidRPr="005C76A4" w:rsidRDefault="009A72CA" w:rsidP="00586D95">
            <w:pPr>
              <w:rPr>
                <w:rFonts w:eastAsia="Calibri" w:cstheme="minorHAnsi"/>
                <w:color w:val="000000"/>
              </w:rPr>
            </w:pPr>
            <w:r>
              <w:rPr>
                <w:rFonts w:eastAsia="Calibri" w:cstheme="minorHAnsi"/>
                <w:color w:val="000000"/>
              </w:rPr>
              <w:t>October 2017</w:t>
            </w:r>
          </w:p>
        </w:tc>
        <w:tc>
          <w:tcPr>
            <w:tcW w:w="5661" w:type="dxa"/>
            <w:vAlign w:val="center"/>
          </w:tcPr>
          <w:p w14:paraId="18537897" w14:textId="68096FA9" w:rsidR="00C006CC" w:rsidRPr="005C76A4" w:rsidRDefault="009A72CA" w:rsidP="00586D95">
            <w:pPr>
              <w:rPr>
                <w:rFonts w:eastAsia="Calibri" w:cstheme="minorHAnsi"/>
                <w:color w:val="000000"/>
              </w:rPr>
            </w:pPr>
            <w:r>
              <w:rPr>
                <w:rFonts w:eastAsia="Calibri" w:cstheme="minorHAnsi"/>
                <w:color w:val="000000"/>
              </w:rPr>
              <w:t>Approved by Operating Board</w:t>
            </w:r>
          </w:p>
        </w:tc>
      </w:tr>
      <w:tr w:rsidR="0068083F" w:rsidRPr="005C76A4" w14:paraId="43DFE5A8" w14:textId="77777777" w:rsidTr="00586D95">
        <w:trPr>
          <w:trHeight w:val="404"/>
        </w:trPr>
        <w:tc>
          <w:tcPr>
            <w:tcW w:w="2259" w:type="dxa"/>
            <w:vAlign w:val="center"/>
          </w:tcPr>
          <w:p w14:paraId="031576EE" w14:textId="3F16E818" w:rsidR="0068083F" w:rsidRPr="005C76A4" w:rsidRDefault="009A72CA" w:rsidP="00586D95">
            <w:pPr>
              <w:rPr>
                <w:rFonts w:eastAsia="Calibri" w:cstheme="minorHAnsi"/>
                <w:color w:val="000000"/>
              </w:rPr>
            </w:pPr>
            <w:r>
              <w:rPr>
                <w:rFonts w:eastAsia="Calibri" w:cstheme="minorHAnsi"/>
                <w:color w:val="000000"/>
              </w:rPr>
              <w:t>Rev 2</w:t>
            </w:r>
          </w:p>
        </w:tc>
        <w:tc>
          <w:tcPr>
            <w:tcW w:w="1557" w:type="dxa"/>
            <w:vAlign w:val="center"/>
          </w:tcPr>
          <w:p w14:paraId="69803797" w14:textId="689BEF04" w:rsidR="0068083F" w:rsidRPr="005C76A4" w:rsidRDefault="009A72CA" w:rsidP="00586D95">
            <w:pPr>
              <w:rPr>
                <w:rFonts w:eastAsia="Calibri" w:cstheme="minorHAnsi"/>
                <w:color w:val="000000"/>
              </w:rPr>
            </w:pPr>
            <w:r>
              <w:rPr>
                <w:rFonts w:eastAsia="Calibri" w:cstheme="minorHAnsi"/>
                <w:color w:val="000000"/>
              </w:rPr>
              <w:t>June 2025</w:t>
            </w:r>
          </w:p>
        </w:tc>
        <w:tc>
          <w:tcPr>
            <w:tcW w:w="5661" w:type="dxa"/>
            <w:vAlign w:val="center"/>
          </w:tcPr>
          <w:p w14:paraId="76E17F5C" w14:textId="6697A6BA" w:rsidR="0068083F" w:rsidRPr="005C76A4" w:rsidRDefault="009A72CA" w:rsidP="00586D95">
            <w:pPr>
              <w:rPr>
                <w:rFonts w:eastAsia="Calibri" w:cstheme="minorHAnsi"/>
                <w:color w:val="000000"/>
              </w:rPr>
            </w:pPr>
            <w:r>
              <w:rPr>
                <w:rFonts w:eastAsia="Calibri" w:cstheme="minorHAnsi"/>
                <w:color w:val="000000"/>
              </w:rPr>
              <w:t xml:space="preserve">Update </w:t>
            </w:r>
            <w:r w:rsidR="0009532C">
              <w:rPr>
                <w:rFonts w:eastAsia="Calibri" w:cstheme="minorHAnsi"/>
                <w:color w:val="000000"/>
              </w:rPr>
              <w:t xml:space="preserve">of policy and transferred onto </w:t>
            </w:r>
            <w:r>
              <w:rPr>
                <w:rFonts w:eastAsia="Calibri" w:cstheme="minorHAnsi"/>
                <w:color w:val="000000"/>
              </w:rPr>
              <w:t xml:space="preserve">new </w:t>
            </w:r>
            <w:r w:rsidR="0009532C">
              <w:rPr>
                <w:rFonts w:eastAsia="Calibri" w:cstheme="minorHAnsi"/>
                <w:color w:val="000000"/>
              </w:rPr>
              <w:t xml:space="preserve">policy </w:t>
            </w:r>
            <w:r w:rsidR="00C45B3F">
              <w:rPr>
                <w:rFonts w:eastAsia="Calibri" w:cstheme="minorHAnsi"/>
                <w:color w:val="000000"/>
              </w:rPr>
              <w:t xml:space="preserve">template </w:t>
            </w:r>
          </w:p>
        </w:tc>
      </w:tr>
      <w:tr w:rsidR="0068083F" w:rsidRPr="005C76A4" w14:paraId="72BDD246" w14:textId="77777777" w:rsidTr="00586D95">
        <w:trPr>
          <w:trHeight w:val="404"/>
        </w:trPr>
        <w:tc>
          <w:tcPr>
            <w:tcW w:w="2259" w:type="dxa"/>
            <w:vAlign w:val="center"/>
          </w:tcPr>
          <w:p w14:paraId="0A3A3233" w14:textId="77777777" w:rsidR="0068083F" w:rsidRPr="005C76A4" w:rsidRDefault="0068083F" w:rsidP="00586D95">
            <w:pPr>
              <w:rPr>
                <w:rFonts w:eastAsia="Calibri" w:cstheme="minorHAnsi"/>
                <w:color w:val="000000"/>
              </w:rPr>
            </w:pPr>
          </w:p>
        </w:tc>
        <w:tc>
          <w:tcPr>
            <w:tcW w:w="1557" w:type="dxa"/>
            <w:vAlign w:val="center"/>
          </w:tcPr>
          <w:p w14:paraId="75A47CD5" w14:textId="77777777" w:rsidR="0068083F" w:rsidRPr="005C76A4" w:rsidRDefault="0068083F" w:rsidP="00586D95">
            <w:pPr>
              <w:rPr>
                <w:rFonts w:eastAsia="Calibri" w:cstheme="minorHAnsi"/>
                <w:color w:val="000000"/>
              </w:rPr>
            </w:pPr>
          </w:p>
        </w:tc>
        <w:tc>
          <w:tcPr>
            <w:tcW w:w="5661" w:type="dxa"/>
            <w:vAlign w:val="center"/>
          </w:tcPr>
          <w:p w14:paraId="4255DAF5" w14:textId="4C1D8BCC" w:rsidR="0068083F" w:rsidRPr="005C76A4" w:rsidRDefault="0068083F" w:rsidP="00586D95">
            <w:pPr>
              <w:rPr>
                <w:rFonts w:eastAsia="Calibri" w:cstheme="minorHAnsi"/>
                <w:color w:val="000000"/>
              </w:rPr>
            </w:pP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C006CC">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Calibri" w:cstheme="minorHAnsi"/>
        </w:rPr>
        <w:id w:val="-841242232"/>
        <w:docPartObj>
          <w:docPartGallery w:val="Table of Contents"/>
          <w:docPartUnique/>
        </w:docPartObj>
      </w:sdtPr>
      <w:sdtEndPr>
        <w:rPr>
          <w:b/>
          <w:bCs/>
          <w:noProof/>
        </w:rPr>
      </w:sdtEndPr>
      <w:sdtContent>
        <w:p w14:paraId="50D288E6" w14:textId="7D3E650A" w:rsidR="00C006CC" w:rsidRDefault="00C006CC" w:rsidP="00C006CC">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14:paraId="5DB735DB" w14:textId="77777777" w:rsidR="00DA30D2" w:rsidRPr="005C76A4" w:rsidRDefault="00DA30D2" w:rsidP="00C006CC">
          <w:pPr>
            <w:keepNext/>
            <w:keepLines/>
            <w:spacing w:before="240" w:line="259" w:lineRule="auto"/>
            <w:ind w:left="0" w:firstLine="0"/>
            <w:jc w:val="left"/>
            <w:rPr>
              <w:rFonts w:eastAsia="Times New Roman" w:cstheme="minorHAnsi"/>
              <w:color w:val="2F5496"/>
              <w:sz w:val="32"/>
              <w:szCs w:val="32"/>
              <w:lang w:val="en-US"/>
            </w:rPr>
          </w:pPr>
        </w:p>
        <w:p w14:paraId="442D1B26" w14:textId="5DA10FDF" w:rsidR="009808A0" w:rsidRDefault="00C006CC">
          <w:pPr>
            <w:pStyle w:val="TOC1"/>
            <w:tabs>
              <w:tab w:val="right" w:leader="dot" w:pos="9016"/>
            </w:tabs>
            <w:rPr>
              <w:rFonts w:eastAsiaTheme="minorEastAsia"/>
              <w:noProof/>
              <w:kern w:val="2"/>
              <w:sz w:val="24"/>
              <w:szCs w:val="24"/>
              <w:lang w:eastAsia="en-GB"/>
              <w14:ligatures w14:val="standardContextual"/>
            </w:rPr>
          </w:pPr>
          <w:r w:rsidRPr="00A97766">
            <w:rPr>
              <w:rFonts w:eastAsia="Calibri" w:cstheme="minorHAnsi"/>
            </w:rPr>
            <w:fldChar w:fldCharType="begin"/>
          </w:r>
          <w:r w:rsidRPr="00A97766">
            <w:rPr>
              <w:rFonts w:eastAsia="Calibri" w:cstheme="minorHAnsi"/>
            </w:rPr>
            <w:instrText xml:space="preserve"> TOC \o "1-3" \h \z \u </w:instrText>
          </w:r>
          <w:r w:rsidRPr="00A97766">
            <w:rPr>
              <w:rFonts w:eastAsia="Calibri" w:cstheme="minorHAnsi"/>
            </w:rPr>
            <w:fldChar w:fldCharType="separate"/>
          </w:r>
          <w:hyperlink w:anchor="_Toc203115808" w:history="1">
            <w:r w:rsidR="009808A0" w:rsidRPr="00D7432D">
              <w:rPr>
                <w:rStyle w:val="Hyperlink"/>
                <w:rFonts w:asciiTheme="majorHAnsi" w:eastAsia="Times New Roman" w:hAnsiTheme="majorHAnsi" w:cstheme="majorHAnsi"/>
                <w:noProof/>
              </w:rPr>
              <w:t>1.0</w:t>
            </w:r>
            <w:r w:rsidR="009808A0">
              <w:rPr>
                <w:rFonts w:eastAsiaTheme="minorEastAsia"/>
                <w:noProof/>
                <w:kern w:val="2"/>
                <w:sz w:val="24"/>
                <w:szCs w:val="24"/>
                <w:lang w:eastAsia="en-GB"/>
                <w14:ligatures w14:val="standardContextual"/>
              </w:rPr>
              <w:tab/>
            </w:r>
            <w:r w:rsidR="009808A0" w:rsidRPr="00D7432D">
              <w:rPr>
                <w:rStyle w:val="Hyperlink"/>
                <w:rFonts w:eastAsia="Times New Roman" w:cstheme="minorHAnsi"/>
                <w:noProof/>
              </w:rPr>
              <w:t>Purpose of the Policy</w:t>
            </w:r>
            <w:r w:rsidR="009808A0">
              <w:rPr>
                <w:noProof/>
                <w:webHidden/>
              </w:rPr>
              <w:tab/>
            </w:r>
            <w:r w:rsidR="009808A0">
              <w:rPr>
                <w:noProof/>
                <w:webHidden/>
              </w:rPr>
              <w:fldChar w:fldCharType="begin"/>
            </w:r>
            <w:r w:rsidR="009808A0">
              <w:rPr>
                <w:noProof/>
                <w:webHidden/>
              </w:rPr>
              <w:instrText xml:space="preserve"> PAGEREF _Toc203115808 \h </w:instrText>
            </w:r>
            <w:r w:rsidR="009808A0">
              <w:rPr>
                <w:noProof/>
                <w:webHidden/>
              </w:rPr>
            </w:r>
            <w:r w:rsidR="009808A0">
              <w:rPr>
                <w:noProof/>
                <w:webHidden/>
              </w:rPr>
              <w:fldChar w:fldCharType="separate"/>
            </w:r>
            <w:r w:rsidR="009808A0">
              <w:rPr>
                <w:noProof/>
                <w:webHidden/>
              </w:rPr>
              <w:t>4</w:t>
            </w:r>
            <w:r w:rsidR="009808A0">
              <w:rPr>
                <w:noProof/>
                <w:webHidden/>
              </w:rPr>
              <w:fldChar w:fldCharType="end"/>
            </w:r>
          </w:hyperlink>
        </w:p>
        <w:p w14:paraId="11774930" w14:textId="766AEE8D"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09" w:history="1">
            <w:r w:rsidRPr="00D7432D">
              <w:rPr>
                <w:rStyle w:val="Hyperlink"/>
                <w:rFonts w:asciiTheme="majorHAnsi" w:eastAsia="Times New Roman" w:hAnsiTheme="majorHAnsi" w:cstheme="majorHAnsi"/>
                <w:noProof/>
              </w:rPr>
              <w:t>2.0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Scope of Policy</w:t>
            </w:r>
            <w:r>
              <w:rPr>
                <w:noProof/>
                <w:webHidden/>
              </w:rPr>
              <w:tab/>
            </w:r>
            <w:r>
              <w:rPr>
                <w:noProof/>
                <w:webHidden/>
              </w:rPr>
              <w:fldChar w:fldCharType="begin"/>
            </w:r>
            <w:r>
              <w:rPr>
                <w:noProof/>
                <w:webHidden/>
              </w:rPr>
              <w:instrText xml:space="preserve"> PAGEREF _Toc203115809 \h </w:instrText>
            </w:r>
            <w:r>
              <w:rPr>
                <w:noProof/>
                <w:webHidden/>
              </w:rPr>
            </w:r>
            <w:r>
              <w:rPr>
                <w:noProof/>
                <w:webHidden/>
              </w:rPr>
              <w:fldChar w:fldCharType="separate"/>
            </w:r>
            <w:r>
              <w:rPr>
                <w:noProof/>
                <w:webHidden/>
              </w:rPr>
              <w:t>4</w:t>
            </w:r>
            <w:r>
              <w:rPr>
                <w:noProof/>
                <w:webHidden/>
              </w:rPr>
              <w:fldChar w:fldCharType="end"/>
            </w:r>
          </w:hyperlink>
        </w:p>
        <w:p w14:paraId="283F7BBF" w14:textId="0689B189"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0" w:history="1">
            <w:r w:rsidRPr="00D7432D">
              <w:rPr>
                <w:rStyle w:val="Hyperlink"/>
                <w:rFonts w:asciiTheme="majorHAnsi" w:eastAsia="Times New Roman" w:hAnsiTheme="majorHAnsi" w:cstheme="majorHAnsi"/>
                <w:noProof/>
              </w:rPr>
              <w:t>3.0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Definitions</w:t>
            </w:r>
            <w:r>
              <w:rPr>
                <w:noProof/>
                <w:webHidden/>
              </w:rPr>
              <w:tab/>
            </w:r>
            <w:r>
              <w:rPr>
                <w:noProof/>
                <w:webHidden/>
              </w:rPr>
              <w:fldChar w:fldCharType="begin"/>
            </w:r>
            <w:r>
              <w:rPr>
                <w:noProof/>
                <w:webHidden/>
              </w:rPr>
              <w:instrText xml:space="preserve"> PAGEREF _Toc203115810 \h </w:instrText>
            </w:r>
            <w:r>
              <w:rPr>
                <w:noProof/>
                <w:webHidden/>
              </w:rPr>
            </w:r>
            <w:r>
              <w:rPr>
                <w:noProof/>
                <w:webHidden/>
              </w:rPr>
              <w:fldChar w:fldCharType="separate"/>
            </w:r>
            <w:r>
              <w:rPr>
                <w:noProof/>
                <w:webHidden/>
              </w:rPr>
              <w:t>4</w:t>
            </w:r>
            <w:r>
              <w:rPr>
                <w:noProof/>
                <w:webHidden/>
              </w:rPr>
              <w:fldChar w:fldCharType="end"/>
            </w:r>
          </w:hyperlink>
        </w:p>
        <w:p w14:paraId="267B28E7" w14:textId="3EE45CDA"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1" w:history="1">
            <w:r w:rsidRPr="00D7432D">
              <w:rPr>
                <w:rStyle w:val="Hyperlink"/>
                <w:rFonts w:asciiTheme="majorHAnsi" w:eastAsia="Times New Roman" w:hAnsiTheme="majorHAnsi" w:cstheme="majorHAnsi"/>
                <w:noProof/>
              </w:rPr>
              <w:t>4.0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Legislative Requirements</w:t>
            </w:r>
            <w:r>
              <w:rPr>
                <w:noProof/>
                <w:webHidden/>
              </w:rPr>
              <w:tab/>
            </w:r>
            <w:r>
              <w:rPr>
                <w:noProof/>
                <w:webHidden/>
              </w:rPr>
              <w:fldChar w:fldCharType="begin"/>
            </w:r>
            <w:r>
              <w:rPr>
                <w:noProof/>
                <w:webHidden/>
              </w:rPr>
              <w:instrText xml:space="preserve"> PAGEREF _Toc203115811 \h </w:instrText>
            </w:r>
            <w:r>
              <w:rPr>
                <w:noProof/>
                <w:webHidden/>
              </w:rPr>
            </w:r>
            <w:r>
              <w:rPr>
                <w:noProof/>
                <w:webHidden/>
              </w:rPr>
              <w:fldChar w:fldCharType="separate"/>
            </w:r>
            <w:r>
              <w:rPr>
                <w:noProof/>
                <w:webHidden/>
              </w:rPr>
              <w:t>5</w:t>
            </w:r>
            <w:r>
              <w:rPr>
                <w:noProof/>
                <w:webHidden/>
              </w:rPr>
              <w:fldChar w:fldCharType="end"/>
            </w:r>
          </w:hyperlink>
        </w:p>
        <w:p w14:paraId="5DDCE994" w14:textId="57435253"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2" w:history="1">
            <w:r w:rsidRPr="00D7432D">
              <w:rPr>
                <w:rStyle w:val="Hyperlink"/>
                <w:rFonts w:asciiTheme="majorHAnsi" w:eastAsia="Times New Roman" w:hAnsiTheme="majorHAnsi" w:cstheme="majorHAnsi"/>
                <w:noProof/>
              </w:rPr>
              <w:t>5.0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Responsibilities</w:t>
            </w:r>
            <w:r>
              <w:rPr>
                <w:noProof/>
                <w:webHidden/>
              </w:rPr>
              <w:tab/>
            </w:r>
            <w:r>
              <w:rPr>
                <w:noProof/>
                <w:webHidden/>
              </w:rPr>
              <w:fldChar w:fldCharType="begin"/>
            </w:r>
            <w:r>
              <w:rPr>
                <w:noProof/>
                <w:webHidden/>
              </w:rPr>
              <w:instrText xml:space="preserve"> PAGEREF _Toc203115812 \h </w:instrText>
            </w:r>
            <w:r>
              <w:rPr>
                <w:noProof/>
                <w:webHidden/>
              </w:rPr>
            </w:r>
            <w:r>
              <w:rPr>
                <w:noProof/>
                <w:webHidden/>
              </w:rPr>
              <w:fldChar w:fldCharType="separate"/>
            </w:r>
            <w:r>
              <w:rPr>
                <w:noProof/>
                <w:webHidden/>
              </w:rPr>
              <w:t>5</w:t>
            </w:r>
            <w:r>
              <w:rPr>
                <w:noProof/>
                <w:webHidden/>
              </w:rPr>
              <w:fldChar w:fldCharType="end"/>
            </w:r>
          </w:hyperlink>
        </w:p>
        <w:p w14:paraId="7EF9AD6D" w14:textId="190E0F6A"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3" w:history="1">
            <w:r w:rsidRPr="00D7432D">
              <w:rPr>
                <w:rStyle w:val="Hyperlink"/>
                <w:rFonts w:asciiTheme="majorHAnsi" w:eastAsiaTheme="majorEastAsia" w:hAnsiTheme="majorHAnsi" w:cstheme="majorBidi"/>
                <w:noProof/>
              </w:rPr>
              <w:t>5.1</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University Court</w:t>
            </w:r>
            <w:r>
              <w:rPr>
                <w:noProof/>
                <w:webHidden/>
              </w:rPr>
              <w:tab/>
            </w:r>
            <w:r>
              <w:rPr>
                <w:noProof/>
                <w:webHidden/>
              </w:rPr>
              <w:fldChar w:fldCharType="begin"/>
            </w:r>
            <w:r>
              <w:rPr>
                <w:noProof/>
                <w:webHidden/>
              </w:rPr>
              <w:instrText xml:space="preserve"> PAGEREF _Toc203115813 \h </w:instrText>
            </w:r>
            <w:r>
              <w:rPr>
                <w:noProof/>
                <w:webHidden/>
              </w:rPr>
            </w:r>
            <w:r>
              <w:rPr>
                <w:noProof/>
                <w:webHidden/>
              </w:rPr>
              <w:fldChar w:fldCharType="separate"/>
            </w:r>
            <w:r>
              <w:rPr>
                <w:noProof/>
                <w:webHidden/>
              </w:rPr>
              <w:t>5</w:t>
            </w:r>
            <w:r>
              <w:rPr>
                <w:noProof/>
                <w:webHidden/>
              </w:rPr>
              <w:fldChar w:fldCharType="end"/>
            </w:r>
          </w:hyperlink>
        </w:p>
        <w:p w14:paraId="4B7F268F" w14:textId="72E0656C"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4" w:history="1">
            <w:r w:rsidRPr="00D7432D">
              <w:rPr>
                <w:rStyle w:val="Hyperlink"/>
                <w:rFonts w:asciiTheme="majorHAnsi" w:eastAsiaTheme="majorEastAsia" w:hAnsiTheme="majorHAnsi" w:cstheme="majorBidi"/>
                <w:noProof/>
              </w:rPr>
              <w:t>5.2</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Senior Management Team</w:t>
            </w:r>
            <w:r>
              <w:rPr>
                <w:noProof/>
                <w:webHidden/>
              </w:rPr>
              <w:tab/>
            </w:r>
            <w:r>
              <w:rPr>
                <w:noProof/>
                <w:webHidden/>
              </w:rPr>
              <w:fldChar w:fldCharType="begin"/>
            </w:r>
            <w:r>
              <w:rPr>
                <w:noProof/>
                <w:webHidden/>
              </w:rPr>
              <w:instrText xml:space="preserve"> PAGEREF _Toc203115814 \h </w:instrText>
            </w:r>
            <w:r>
              <w:rPr>
                <w:noProof/>
                <w:webHidden/>
              </w:rPr>
            </w:r>
            <w:r>
              <w:rPr>
                <w:noProof/>
                <w:webHidden/>
              </w:rPr>
              <w:fldChar w:fldCharType="separate"/>
            </w:r>
            <w:r>
              <w:rPr>
                <w:noProof/>
                <w:webHidden/>
              </w:rPr>
              <w:t>5</w:t>
            </w:r>
            <w:r>
              <w:rPr>
                <w:noProof/>
                <w:webHidden/>
              </w:rPr>
              <w:fldChar w:fldCharType="end"/>
            </w:r>
          </w:hyperlink>
        </w:p>
        <w:p w14:paraId="67F70E71" w14:textId="7CF9EDE7"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5" w:history="1">
            <w:r w:rsidRPr="00D7432D">
              <w:rPr>
                <w:rStyle w:val="Hyperlink"/>
                <w:rFonts w:asciiTheme="majorHAnsi" w:eastAsiaTheme="majorEastAsia" w:hAnsiTheme="majorHAnsi" w:cstheme="majorBidi"/>
                <w:noProof/>
              </w:rPr>
              <w:t>5.3</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Heads of Schools/Departments</w:t>
            </w:r>
            <w:r>
              <w:rPr>
                <w:noProof/>
                <w:webHidden/>
              </w:rPr>
              <w:tab/>
            </w:r>
            <w:r>
              <w:rPr>
                <w:noProof/>
                <w:webHidden/>
              </w:rPr>
              <w:fldChar w:fldCharType="begin"/>
            </w:r>
            <w:r>
              <w:rPr>
                <w:noProof/>
                <w:webHidden/>
              </w:rPr>
              <w:instrText xml:space="preserve"> PAGEREF _Toc203115815 \h </w:instrText>
            </w:r>
            <w:r>
              <w:rPr>
                <w:noProof/>
                <w:webHidden/>
              </w:rPr>
            </w:r>
            <w:r>
              <w:rPr>
                <w:noProof/>
                <w:webHidden/>
              </w:rPr>
              <w:fldChar w:fldCharType="separate"/>
            </w:r>
            <w:r>
              <w:rPr>
                <w:noProof/>
                <w:webHidden/>
              </w:rPr>
              <w:t>6</w:t>
            </w:r>
            <w:r>
              <w:rPr>
                <w:noProof/>
                <w:webHidden/>
              </w:rPr>
              <w:fldChar w:fldCharType="end"/>
            </w:r>
          </w:hyperlink>
        </w:p>
        <w:p w14:paraId="0BF204BB" w14:textId="0395D6FB"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6" w:history="1">
            <w:r w:rsidRPr="00D7432D">
              <w:rPr>
                <w:rStyle w:val="Hyperlink"/>
                <w:rFonts w:asciiTheme="majorHAnsi" w:eastAsiaTheme="majorEastAsia" w:hAnsiTheme="majorHAnsi" w:cstheme="majorBidi"/>
                <w:noProof/>
              </w:rPr>
              <w:t>5.4</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Principal Investigators / Laboratory Managers</w:t>
            </w:r>
            <w:r>
              <w:rPr>
                <w:noProof/>
                <w:webHidden/>
              </w:rPr>
              <w:tab/>
            </w:r>
            <w:r>
              <w:rPr>
                <w:noProof/>
                <w:webHidden/>
              </w:rPr>
              <w:fldChar w:fldCharType="begin"/>
            </w:r>
            <w:r>
              <w:rPr>
                <w:noProof/>
                <w:webHidden/>
              </w:rPr>
              <w:instrText xml:space="preserve"> PAGEREF _Toc203115816 \h </w:instrText>
            </w:r>
            <w:r>
              <w:rPr>
                <w:noProof/>
                <w:webHidden/>
              </w:rPr>
            </w:r>
            <w:r>
              <w:rPr>
                <w:noProof/>
                <w:webHidden/>
              </w:rPr>
              <w:fldChar w:fldCharType="separate"/>
            </w:r>
            <w:r>
              <w:rPr>
                <w:noProof/>
                <w:webHidden/>
              </w:rPr>
              <w:t>6</w:t>
            </w:r>
            <w:r>
              <w:rPr>
                <w:noProof/>
                <w:webHidden/>
              </w:rPr>
              <w:fldChar w:fldCharType="end"/>
            </w:r>
          </w:hyperlink>
        </w:p>
        <w:p w14:paraId="5EAC4130" w14:textId="0EF5CF4D"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7" w:history="1">
            <w:r w:rsidRPr="00D7432D">
              <w:rPr>
                <w:rStyle w:val="Hyperlink"/>
                <w:rFonts w:asciiTheme="majorHAnsi" w:eastAsiaTheme="majorEastAsia" w:hAnsiTheme="majorHAnsi" w:cstheme="majorBidi"/>
                <w:noProof/>
              </w:rPr>
              <w:t>5.5</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Staff and Students</w:t>
            </w:r>
            <w:r>
              <w:rPr>
                <w:noProof/>
                <w:webHidden/>
              </w:rPr>
              <w:tab/>
            </w:r>
            <w:r>
              <w:rPr>
                <w:noProof/>
                <w:webHidden/>
              </w:rPr>
              <w:fldChar w:fldCharType="begin"/>
            </w:r>
            <w:r>
              <w:rPr>
                <w:noProof/>
                <w:webHidden/>
              </w:rPr>
              <w:instrText xml:space="preserve"> PAGEREF _Toc203115817 \h </w:instrText>
            </w:r>
            <w:r>
              <w:rPr>
                <w:noProof/>
                <w:webHidden/>
              </w:rPr>
            </w:r>
            <w:r>
              <w:rPr>
                <w:noProof/>
                <w:webHidden/>
              </w:rPr>
              <w:fldChar w:fldCharType="separate"/>
            </w:r>
            <w:r>
              <w:rPr>
                <w:noProof/>
                <w:webHidden/>
              </w:rPr>
              <w:t>6</w:t>
            </w:r>
            <w:r>
              <w:rPr>
                <w:noProof/>
                <w:webHidden/>
              </w:rPr>
              <w:fldChar w:fldCharType="end"/>
            </w:r>
          </w:hyperlink>
        </w:p>
        <w:p w14:paraId="114DC4AD" w14:textId="37060F5B"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8" w:history="1">
            <w:r w:rsidRPr="00D7432D">
              <w:rPr>
                <w:rStyle w:val="Hyperlink"/>
                <w:rFonts w:asciiTheme="majorHAnsi" w:eastAsiaTheme="majorEastAsia" w:hAnsiTheme="majorHAnsi" w:cstheme="majorBidi"/>
                <w:noProof/>
              </w:rPr>
              <w:t>5.6</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University Biosafety Officer</w:t>
            </w:r>
            <w:r>
              <w:rPr>
                <w:noProof/>
                <w:webHidden/>
              </w:rPr>
              <w:tab/>
            </w:r>
            <w:r>
              <w:rPr>
                <w:noProof/>
                <w:webHidden/>
              </w:rPr>
              <w:fldChar w:fldCharType="begin"/>
            </w:r>
            <w:r>
              <w:rPr>
                <w:noProof/>
                <w:webHidden/>
              </w:rPr>
              <w:instrText xml:space="preserve"> PAGEREF _Toc203115818 \h </w:instrText>
            </w:r>
            <w:r>
              <w:rPr>
                <w:noProof/>
                <w:webHidden/>
              </w:rPr>
            </w:r>
            <w:r>
              <w:rPr>
                <w:noProof/>
                <w:webHidden/>
              </w:rPr>
              <w:fldChar w:fldCharType="separate"/>
            </w:r>
            <w:r>
              <w:rPr>
                <w:noProof/>
                <w:webHidden/>
              </w:rPr>
              <w:t>7</w:t>
            </w:r>
            <w:r>
              <w:rPr>
                <w:noProof/>
                <w:webHidden/>
              </w:rPr>
              <w:fldChar w:fldCharType="end"/>
            </w:r>
          </w:hyperlink>
        </w:p>
        <w:p w14:paraId="6F7EEC73" w14:textId="3BE66BF3"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19" w:history="1">
            <w:r w:rsidRPr="00D7432D">
              <w:rPr>
                <w:rStyle w:val="Hyperlink"/>
                <w:rFonts w:asciiTheme="majorHAnsi" w:eastAsia="Times New Roman" w:hAnsiTheme="majorHAnsi" w:cstheme="majorHAnsi"/>
                <w:noProof/>
              </w:rPr>
              <w:t>6.0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Arrangements</w:t>
            </w:r>
            <w:r>
              <w:rPr>
                <w:noProof/>
                <w:webHidden/>
              </w:rPr>
              <w:tab/>
            </w:r>
            <w:r>
              <w:rPr>
                <w:noProof/>
                <w:webHidden/>
              </w:rPr>
              <w:fldChar w:fldCharType="begin"/>
            </w:r>
            <w:r>
              <w:rPr>
                <w:noProof/>
                <w:webHidden/>
              </w:rPr>
              <w:instrText xml:space="preserve"> PAGEREF _Toc203115819 \h </w:instrText>
            </w:r>
            <w:r>
              <w:rPr>
                <w:noProof/>
                <w:webHidden/>
              </w:rPr>
            </w:r>
            <w:r>
              <w:rPr>
                <w:noProof/>
                <w:webHidden/>
              </w:rPr>
              <w:fldChar w:fldCharType="separate"/>
            </w:r>
            <w:r>
              <w:rPr>
                <w:noProof/>
                <w:webHidden/>
              </w:rPr>
              <w:t>7</w:t>
            </w:r>
            <w:r>
              <w:rPr>
                <w:noProof/>
                <w:webHidden/>
              </w:rPr>
              <w:fldChar w:fldCharType="end"/>
            </w:r>
          </w:hyperlink>
        </w:p>
        <w:p w14:paraId="7341DC2E" w14:textId="43D5E024"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0" w:history="1">
            <w:r w:rsidRPr="00D7432D">
              <w:rPr>
                <w:rStyle w:val="Hyperlink"/>
                <w:rFonts w:asciiTheme="majorHAnsi" w:eastAsiaTheme="majorEastAsia" w:hAnsiTheme="majorHAnsi" w:cstheme="majorBidi"/>
                <w:noProof/>
              </w:rPr>
              <w:t>6.1</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Risk assessments</w:t>
            </w:r>
            <w:r>
              <w:rPr>
                <w:noProof/>
                <w:webHidden/>
              </w:rPr>
              <w:tab/>
            </w:r>
            <w:r>
              <w:rPr>
                <w:noProof/>
                <w:webHidden/>
              </w:rPr>
              <w:fldChar w:fldCharType="begin"/>
            </w:r>
            <w:r>
              <w:rPr>
                <w:noProof/>
                <w:webHidden/>
              </w:rPr>
              <w:instrText xml:space="preserve"> PAGEREF _Toc203115820 \h </w:instrText>
            </w:r>
            <w:r>
              <w:rPr>
                <w:noProof/>
                <w:webHidden/>
              </w:rPr>
            </w:r>
            <w:r>
              <w:rPr>
                <w:noProof/>
                <w:webHidden/>
              </w:rPr>
              <w:fldChar w:fldCharType="separate"/>
            </w:r>
            <w:r>
              <w:rPr>
                <w:noProof/>
                <w:webHidden/>
              </w:rPr>
              <w:t>7</w:t>
            </w:r>
            <w:r>
              <w:rPr>
                <w:noProof/>
                <w:webHidden/>
              </w:rPr>
              <w:fldChar w:fldCharType="end"/>
            </w:r>
          </w:hyperlink>
        </w:p>
        <w:p w14:paraId="40A8B9D6" w14:textId="719BD4A8"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1" w:history="1">
            <w:r w:rsidRPr="00D7432D">
              <w:rPr>
                <w:rStyle w:val="Hyperlink"/>
                <w:rFonts w:asciiTheme="majorHAnsi" w:eastAsiaTheme="majorEastAsia" w:hAnsiTheme="majorHAnsi" w:cstheme="majorBidi"/>
                <w:noProof/>
              </w:rPr>
              <w:t>6.2</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Biological Safety Committees</w:t>
            </w:r>
            <w:r>
              <w:rPr>
                <w:noProof/>
                <w:webHidden/>
              </w:rPr>
              <w:tab/>
            </w:r>
            <w:r>
              <w:rPr>
                <w:noProof/>
                <w:webHidden/>
              </w:rPr>
              <w:fldChar w:fldCharType="begin"/>
            </w:r>
            <w:r>
              <w:rPr>
                <w:noProof/>
                <w:webHidden/>
              </w:rPr>
              <w:instrText xml:space="preserve"> PAGEREF _Toc203115821 \h </w:instrText>
            </w:r>
            <w:r>
              <w:rPr>
                <w:noProof/>
                <w:webHidden/>
              </w:rPr>
            </w:r>
            <w:r>
              <w:rPr>
                <w:noProof/>
                <w:webHidden/>
              </w:rPr>
              <w:fldChar w:fldCharType="separate"/>
            </w:r>
            <w:r>
              <w:rPr>
                <w:noProof/>
                <w:webHidden/>
              </w:rPr>
              <w:t>9</w:t>
            </w:r>
            <w:r>
              <w:rPr>
                <w:noProof/>
                <w:webHidden/>
              </w:rPr>
              <w:fldChar w:fldCharType="end"/>
            </w:r>
          </w:hyperlink>
        </w:p>
        <w:p w14:paraId="23EE1A97" w14:textId="0DF29760"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2" w:history="1">
            <w:r w:rsidRPr="00D7432D">
              <w:rPr>
                <w:rStyle w:val="Hyperlink"/>
                <w:rFonts w:asciiTheme="majorHAnsi" w:eastAsiaTheme="majorEastAsia" w:hAnsiTheme="majorHAnsi" w:cstheme="majorBidi"/>
                <w:noProof/>
              </w:rPr>
              <w:t>6.3</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Storage, Transportation &amp; Disposal of Biological Agents / GMO</w:t>
            </w:r>
            <w:r>
              <w:rPr>
                <w:noProof/>
                <w:webHidden/>
              </w:rPr>
              <w:tab/>
            </w:r>
            <w:r>
              <w:rPr>
                <w:noProof/>
                <w:webHidden/>
              </w:rPr>
              <w:fldChar w:fldCharType="begin"/>
            </w:r>
            <w:r>
              <w:rPr>
                <w:noProof/>
                <w:webHidden/>
              </w:rPr>
              <w:instrText xml:space="preserve"> PAGEREF _Toc203115822 \h </w:instrText>
            </w:r>
            <w:r>
              <w:rPr>
                <w:noProof/>
                <w:webHidden/>
              </w:rPr>
            </w:r>
            <w:r>
              <w:rPr>
                <w:noProof/>
                <w:webHidden/>
              </w:rPr>
              <w:fldChar w:fldCharType="separate"/>
            </w:r>
            <w:r>
              <w:rPr>
                <w:noProof/>
                <w:webHidden/>
              </w:rPr>
              <w:t>9</w:t>
            </w:r>
            <w:r>
              <w:rPr>
                <w:noProof/>
                <w:webHidden/>
              </w:rPr>
              <w:fldChar w:fldCharType="end"/>
            </w:r>
          </w:hyperlink>
        </w:p>
        <w:p w14:paraId="007ED027" w14:textId="2E6E1AC7"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3" w:history="1">
            <w:r w:rsidRPr="00D7432D">
              <w:rPr>
                <w:rStyle w:val="Hyperlink"/>
                <w:rFonts w:asciiTheme="majorHAnsi" w:eastAsiaTheme="majorEastAsia" w:hAnsiTheme="majorHAnsi" w:cstheme="majorBidi"/>
                <w:noProof/>
              </w:rPr>
              <w:t>6.4</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Schedule 5 Pathogens and Toxins</w:t>
            </w:r>
            <w:r>
              <w:rPr>
                <w:noProof/>
                <w:webHidden/>
              </w:rPr>
              <w:tab/>
            </w:r>
            <w:r>
              <w:rPr>
                <w:noProof/>
                <w:webHidden/>
              </w:rPr>
              <w:fldChar w:fldCharType="begin"/>
            </w:r>
            <w:r>
              <w:rPr>
                <w:noProof/>
                <w:webHidden/>
              </w:rPr>
              <w:instrText xml:space="preserve"> PAGEREF _Toc203115823 \h </w:instrText>
            </w:r>
            <w:r>
              <w:rPr>
                <w:noProof/>
                <w:webHidden/>
              </w:rPr>
            </w:r>
            <w:r>
              <w:rPr>
                <w:noProof/>
                <w:webHidden/>
              </w:rPr>
              <w:fldChar w:fldCharType="separate"/>
            </w:r>
            <w:r>
              <w:rPr>
                <w:noProof/>
                <w:webHidden/>
              </w:rPr>
              <w:t>9</w:t>
            </w:r>
            <w:r>
              <w:rPr>
                <w:noProof/>
                <w:webHidden/>
              </w:rPr>
              <w:fldChar w:fldCharType="end"/>
            </w:r>
          </w:hyperlink>
        </w:p>
        <w:p w14:paraId="1C040B9D" w14:textId="7137E19C"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4" w:history="1">
            <w:r w:rsidRPr="00D7432D">
              <w:rPr>
                <w:rStyle w:val="Hyperlink"/>
                <w:rFonts w:asciiTheme="majorHAnsi" w:eastAsiaTheme="majorEastAsia" w:hAnsiTheme="majorHAnsi" w:cstheme="majorBidi"/>
                <w:noProof/>
              </w:rPr>
              <w:t>6.5</w:t>
            </w:r>
            <w:r>
              <w:rPr>
                <w:rFonts w:eastAsiaTheme="minorEastAsia"/>
                <w:noProof/>
                <w:kern w:val="2"/>
                <w:sz w:val="24"/>
                <w:szCs w:val="24"/>
                <w:lang w:eastAsia="en-GB"/>
                <w14:ligatures w14:val="standardContextual"/>
              </w:rPr>
              <w:tab/>
            </w:r>
            <w:r w:rsidRPr="00D7432D">
              <w:rPr>
                <w:rStyle w:val="Hyperlink"/>
                <w:rFonts w:asciiTheme="majorHAnsi" w:eastAsiaTheme="majorEastAsia" w:hAnsiTheme="majorHAnsi" w:cstheme="majorBidi"/>
                <w:noProof/>
              </w:rPr>
              <w:t>Specified Animal Pathogen Order</w:t>
            </w:r>
            <w:r>
              <w:rPr>
                <w:noProof/>
                <w:webHidden/>
              </w:rPr>
              <w:tab/>
            </w:r>
            <w:r>
              <w:rPr>
                <w:noProof/>
                <w:webHidden/>
              </w:rPr>
              <w:fldChar w:fldCharType="begin"/>
            </w:r>
            <w:r>
              <w:rPr>
                <w:noProof/>
                <w:webHidden/>
              </w:rPr>
              <w:instrText xml:space="preserve"> PAGEREF _Toc203115824 \h </w:instrText>
            </w:r>
            <w:r>
              <w:rPr>
                <w:noProof/>
                <w:webHidden/>
              </w:rPr>
            </w:r>
            <w:r>
              <w:rPr>
                <w:noProof/>
                <w:webHidden/>
              </w:rPr>
              <w:fldChar w:fldCharType="separate"/>
            </w:r>
            <w:r>
              <w:rPr>
                <w:noProof/>
                <w:webHidden/>
              </w:rPr>
              <w:t>10</w:t>
            </w:r>
            <w:r>
              <w:rPr>
                <w:noProof/>
                <w:webHidden/>
              </w:rPr>
              <w:fldChar w:fldCharType="end"/>
            </w:r>
          </w:hyperlink>
        </w:p>
        <w:p w14:paraId="623E364A" w14:textId="6051C6C3" w:rsidR="009808A0" w:rsidRDefault="009808A0">
          <w:pPr>
            <w:pStyle w:val="TOC1"/>
            <w:tabs>
              <w:tab w:val="right" w:leader="dot" w:pos="9016"/>
            </w:tabs>
            <w:rPr>
              <w:rFonts w:eastAsiaTheme="minorEastAsia"/>
              <w:noProof/>
              <w:kern w:val="2"/>
              <w:sz w:val="24"/>
              <w:szCs w:val="24"/>
              <w:lang w:eastAsia="en-GB"/>
              <w14:ligatures w14:val="standardContextual"/>
            </w:rPr>
          </w:pPr>
          <w:hyperlink w:anchor="_Toc203115825" w:history="1">
            <w:r w:rsidRPr="00D7432D">
              <w:rPr>
                <w:rStyle w:val="Hyperlink"/>
                <w:rFonts w:asciiTheme="majorHAnsi" w:eastAsia="Times New Roman" w:hAnsiTheme="majorHAnsi" w:cstheme="majorHAnsi"/>
                <w:noProof/>
              </w:rPr>
              <w:t>7.0</w:t>
            </w:r>
            <w:r>
              <w:rPr>
                <w:rFonts w:eastAsiaTheme="minorEastAsia"/>
                <w:noProof/>
                <w:kern w:val="2"/>
                <w:sz w:val="24"/>
                <w:szCs w:val="24"/>
                <w:lang w:eastAsia="en-GB"/>
                <w14:ligatures w14:val="standardContextual"/>
              </w:rPr>
              <w:tab/>
            </w:r>
            <w:r w:rsidRPr="00D7432D">
              <w:rPr>
                <w:rStyle w:val="Hyperlink"/>
                <w:rFonts w:eastAsia="Times New Roman" w:cstheme="minorHAnsi"/>
                <w:noProof/>
              </w:rPr>
              <w:t>References</w:t>
            </w:r>
            <w:r>
              <w:rPr>
                <w:noProof/>
                <w:webHidden/>
              </w:rPr>
              <w:tab/>
            </w:r>
            <w:r>
              <w:rPr>
                <w:noProof/>
                <w:webHidden/>
              </w:rPr>
              <w:fldChar w:fldCharType="begin"/>
            </w:r>
            <w:r>
              <w:rPr>
                <w:noProof/>
                <w:webHidden/>
              </w:rPr>
              <w:instrText xml:space="preserve"> PAGEREF _Toc203115825 \h </w:instrText>
            </w:r>
            <w:r>
              <w:rPr>
                <w:noProof/>
                <w:webHidden/>
              </w:rPr>
            </w:r>
            <w:r>
              <w:rPr>
                <w:noProof/>
                <w:webHidden/>
              </w:rPr>
              <w:fldChar w:fldCharType="separate"/>
            </w:r>
            <w:r>
              <w:rPr>
                <w:noProof/>
                <w:webHidden/>
              </w:rPr>
              <w:t>11</w:t>
            </w:r>
            <w:r>
              <w:rPr>
                <w:noProof/>
                <w:webHidden/>
              </w:rPr>
              <w:fldChar w:fldCharType="end"/>
            </w:r>
          </w:hyperlink>
        </w:p>
        <w:p w14:paraId="00BC604B" w14:textId="07B59954" w:rsidR="00C006CC" w:rsidRPr="005C76A4" w:rsidRDefault="00C006CC" w:rsidP="00C006CC">
          <w:pPr>
            <w:spacing w:before="0" w:after="160" w:line="259" w:lineRule="auto"/>
            <w:ind w:left="0" w:firstLine="0"/>
            <w:jc w:val="left"/>
            <w:rPr>
              <w:rFonts w:eastAsia="Calibri" w:cstheme="minorHAnsi"/>
            </w:rPr>
          </w:pPr>
          <w:r w:rsidRPr="00A97766">
            <w:rPr>
              <w:rFonts w:eastAsia="Calibri" w:cstheme="minorHAnsi"/>
              <w:b/>
              <w:bCs/>
              <w:noProof/>
            </w:rPr>
            <w:fldChar w:fldCharType="end"/>
          </w:r>
        </w:p>
      </w:sdtContent>
    </w:sdt>
    <w:p w14:paraId="1DA39BFE" w14:textId="77777777" w:rsidR="00C006CC" w:rsidRPr="005C76A4" w:rsidRDefault="00C006CC" w:rsidP="00C006CC">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1008C0AC" w14:textId="77777777" w:rsidR="00C006CC" w:rsidRPr="005C76A4" w:rsidRDefault="00C006C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203115808"/>
      <w:r w:rsidRPr="005C76A4">
        <w:rPr>
          <w:rFonts w:eastAsia="Times New Roman" w:cstheme="minorHAnsi"/>
          <w:color w:val="2F5496"/>
          <w:sz w:val="32"/>
          <w:szCs w:val="32"/>
        </w:rPr>
        <w:lastRenderedPageBreak/>
        <w:t>Purpose of the Policy</w:t>
      </w:r>
      <w:bookmarkEnd w:id="0"/>
    </w:p>
    <w:p w14:paraId="00DF120D" w14:textId="0BE91AC6" w:rsidR="00C73D6A" w:rsidRPr="00C73D6A" w:rsidRDefault="003F0920" w:rsidP="00ED68A6">
      <w:pPr>
        <w:pStyle w:val="ListParagraph"/>
        <w:autoSpaceDE w:val="0"/>
        <w:autoSpaceDN w:val="0"/>
        <w:adjustRightInd w:val="0"/>
        <w:spacing w:before="0"/>
        <w:ind w:left="0" w:firstLine="0"/>
        <w:jc w:val="left"/>
      </w:pPr>
      <w:r>
        <w:t xml:space="preserve">The purpose of the policy is to describe the University of Aberdeen’s policy, responsibilities and arrangements on the control of biological agents </w:t>
      </w:r>
      <w:r w:rsidR="00744F06">
        <w:t>(</w:t>
      </w:r>
      <w:r w:rsidR="003343D0">
        <w:t>including those modified by genetic modification</w:t>
      </w:r>
      <w:r w:rsidR="00744F06">
        <w:t xml:space="preserve">) </w:t>
      </w:r>
      <w:r>
        <w:t>that will be used in teaching and research</w:t>
      </w:r>
      <w:r w:rsidR="00A37EF0">
        <w:t>.</w:t>
      </w:r>
      <w:r>
        <w:t xml:space="preserve"> </w:t>
      </w:r>
    </w:p>
    <w:p w14:paraId="33AEDD06" w14:textId="5661F7C9" w:rsidR="009F50EC" w:rsidRDefault="009F50EC" w:rsidP="00C006CC">
      <w:pPr>
        <w:autoSpaceDE w:val="0"/>
        <w:autoSpaceDN w:val="0"/>
        <w:adjustRightInd w:val="0"/>
        <w:spacing w:before="0"/>
        <w:ind w:left="0" w:firstLine="0"/>
        <w:rPr>
          <w:rFonts w:eastAsia="Calibri" w:cstheme="minorHAnsi"/>
          <w:color w:val="000000"/>
        </w:rPr>
      </w:pPr>
    </w:p>
    <w:p w14:paraId="51B24210" w14:textId="77777777" w:rsidR="009F50EC" w:rsidRDefault="009F50EC" w:rsidP="00C006CC">
      <w:pPr>
        <w:autoSpaceDE w:val="0"/>
        <w:autoSpaceDN w:val="0"/>
        <w:adjustRightInd w:val="0"/>
        <w:spacing w:before="0"/>
        <w:ind w:left="0" w:firstLine="0"/>
        <w:rPr>
          <w:rFonts w:eastAsia="Calibri" w:cstheme="minorHAnsi"/>
          <w:color w:val="000000"/>
        </w:rPr>
      </w:pPr>
    </w:p>
    <w:p w14:paraId="1B222E22" w14:textId="77777777" w:rsidR="00C006CC" w:rsidRPr="005C76A4" w:rsidRDefault="00C006C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1" w:name="_Toc203115809"/>
      <w:r w:rsidRPr="005C76A4">
        <w:rPr>
          <w:rFonts w:eastAsia="Times New Roman" w:cstheme="minorHAnsi"/>
          <w:color w:val="2F5496"/>
          <w:sz w:val="32"/>
          <w:szCs w:val="32"/>
        </w:rPr>
        <w:t>Scope of Policy</w:t>
      </w:r>
      <w:bookmarkEnd w:id="1"/>
    </w:p>
    <w:p w14:paraId="0063D3A6" w14:textId="494D4E56" w:rsidR="00C73D6A" w:rsidRPr="00C73D6A" w:rsidRDefault="003F0920" w:rsidP="00C73D6A">
      <w:pPr>
        <w:autoSpaceDE w:val="0"/>
        <w:autoSpaceDN w:val="0"/>
        <w:adjustRightInd w:val="0"/>
        <w:spacing w:before="0"/>
        <w:ind w:left="0" w:firstLine="0"/>
        <w:jc w:val="left"/>
      </w:pPr>
      <w:r>
        <w:t>This document applies to all biological agents that are used or stored on any University of Aberdeen premises or any that may be encountered</w:t>
      </w:r>
      <w:r w:rsidR="00744F06">
        <w:t xml:space="preserve"> incidentally during other activities.</w:t>
      </w:r>
      <w:r>
        <w:t xml:space="preserve"> </w:t>
      </w:r>
      <w:r w:rsidR="00A37EF0">
        <w:t xml:space="preserve">The Policy covers work with both wild-type and genetically modified bioagents. It covers all University of Aberdeen staff (including visiting academics), students, visitors and contractors who work with bioagents. </w:t>
      </w:r>
      <w:r w:rsidR="00571E46">
        <w:t xml:space="preserve">Schools, Institutes or Directorates </w:t>
      </w:r>
      <w:r w:rsidR="00A37EF0">
        <w:t>which use bioagents and genetically modified organisms for teaching or research purposes shall have local arrangements in place to comply with this Policy.</w:t>
      </w:r>
    </w:p>
    <w:p w14:paraId="1392BBAC" w14:textId="0230BB15" w:rsidR="00057CF1" w:rsidRPr="005C76A4" w:rsidRDefault="00057CF1" w:rsidP="00057CF1">
      <w:pPr>
        <w:keepNext/>
        <w:keepLines/>
        <w:spacing w:before="240" w:after="160" w:line="259" w:lineRule="auto"/>
        <w:ind w:left="0" w:firstLine="0"/>
        <w:jc w:val="left"/>
        <w:outlineLvl w:val="0"/>
        <w:rPr>
          <w:rFonts w:eastAsia="Times New Roman" w:cstheme="minorHAnsi"/>
          <w:color w:val="2F5496"/>
          <w:sz w:val="32"/>
          <w:szCs w:val="32"/>
        </w:rPr>
      </w:pPr>
    </w:p>
    <w:p w14:paraId="5DA44C12" w14:textId="4777D23C" w:rsidR="00C006CC" w:rsidRDefault="009F50E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203115810"/>
      <w:bookmarkStart w:id="3" w:name="_Hlk113360846"/>
      <w:r>
        <w:rPr>
          <w:rFonts w:eastAsia="Times New Roman" w:cstheme="minorHAnsi"/>
          <w:color w:val="2F5496"/>
          <w:sz w:val="32"/>
          <w:szCs w:val="32"/>
        </w:rPr>
        <w:t>Definitions</w:t>
      </w:r>
      <w:bookmarkEnd w:id="2"/>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9F50EC" w:rsidRPr="009F50EC" w14:paraId="7A42F4E8"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7FD742E2" w14:textId="14B7F382" w:rsidR="009F50EC" w:rsidRPr="009F50EC" w:rsidRDefault="009F50EC" w:rsidP="009F50EC">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bookmarkStart w:id="4" w:name="_Hlk113360851"/>
            <w:bookmarkEnd w:id="3"/>
            <w:r w:rsidRPr="009F50EC">
              <w:rPr>
                <w:rFonts w:ascii="Calibri" w:eastAsia="Times New Roman" w:hAnsi="Calibri" w:cs="Calibri"/>
                <w:lang w:eastAsia="en-GB"/>
              </w:rPr>
              <w:t> </w:t>
            </w:r>
            <w:r w:rsidR="00072EB8">
              <w:rPr>
                <w:rFonts w:ascii="Calibri" w:eastAsia="Times New Roman" w:hAnsi="Calibri" w:cs="Calibri"/>
                <w:lang w:eastAsia="en-GB"/>
              </w:rPr>
              <w:t>Term</w:t>
            </w:r>
          </w:p>
        </w:tc>
        <w:tc>
          <w:tcPr>
            <w:tcW w:w="632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002DDB4E" w14:textId="13018540" w:rsidR="009F50EC" w:rsidRPr="009F50EC" w:rsidRDefault="00072EB8" w:rsidP="009F50EC">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Definition</w:t>
            </w:r>
          </w:p>
        </w:tc>
      </w:tr>
      <w:tr w:rsidR="009F50EC" w:rsidRPr="009F50EC" w14:paraId="471F2696" w14:textId="77777777" w:rsidTr="00ED68A6">
        <w:trPr>
          <w:trHeight w:val="345"/>
        </w:trPr>
        <w:tc>
          <w:tcPr>
            <w:tcW w:w="2685" w:type="dxa"/>
            <w:tcBorders>
              <w:top w:val="single" w:sz="6" w:space="0" w:color="auto"/>
              <w:left w:val="single" w:sz="6" w:space="0" w:color="auto"/>
              <w:bottom w:val="single" w:sz="6" w:space="0" w:color="auto"/>
              <w:right w:val="single" w:sz="6" w:space="0" w:color="auto"/>
            </w:tcBorders>
            <w:vAlign w:val="center"/>
          </w:tcPr>
          <w:p w14:paraId="75BA639D" w14:textId="38914678"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Biological agent (Bioagent)</w:t>
            </w:r>
          </w:p>
        </w:tc>
        <w:tc>
          <w:tcPr>
            <w:tcW w:w="6325" w:type="dxa"/>
            <w:tcBorders>
              <w:top w:val="single" w:sz="6" w:space="0" w:color="auto"/>
              <w:left w:val="single" w:sz="6" w:space="0" w:color="auto"/>
              <w:bottom w:val="single" w:sz="6" w:space="0" w:color="auto"/>
              <w:right w:val="single" w:sz="6" w:space="0" w:color="auto"/>
            </w:tcBorders>
            <w:vAlign w:val="center"/>
          </w:tcPr>
          <w:p w14:paraId="0A8C6584" w14:textId="1D8DB4A7"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 xml:space="preserve">A micro-organism, cell culture, or human endoparasite </w:t>
            </w:r>
            <w:proofErr w:type="gramStart"/>
            <w:r w:rsidRPr="00744F06">
              <w:rPr>
                <w:rFonts w:eastAsia="Times New Roman" w:cstheme="minorHAnsi"/>
                <w:lang w:eastAsia="en-GB"/>
              </w:rPr>
              <w:t>whether or not</w:t>
            </w:r>
            <w:proofErr w:type="gramEnd"/>
            <w:r w:rsidRPr="00744F06">
              <w:rPr>
                <w:rFonts w:eastAsia="Times New Roman" w:cstheme="minorHAnsi"/>
                <w:lang w:eastAsia="en-GB"/>
              </w:rPr>
              <w:t xml:space="preserve"> </w:t>
            </w:r>
            <w:r>
              <w:rPr>
                <w:rFonts w:eastAsia="Times New Roman" w:cstheme="minorHAnsi"/>
                <w:lang w:eastAsia="en-GB"/>
              </w:rPr>
              <w:t>genetically modified, which may cause infection, allergy, toxicity or otherwise create a hazard to human health</w:t>
            </w:r>
          </w:p>
        </w:tc>
      </w:tr>
      <w:tr w:rsidR="00744F06" w:rsidRPr="009F50EC" w14:paraId="71DCDE8E" w14:textId="77777777" w:rsidTr="00ED68A6">
        <w:trPr>
          <w:trHeight w:val="345"/>
        </w:trPr>
        <w:tc>
          <w:tcPr>
            <w:tcW w:w="2685" w:type="dxa"/>
            <w:tcBorders>
              <w:top w:val="single" w:sz="6" w:space="0" w:color="auto"/>
              <w:left w:val="single" w:sz="6" w:space="0" w:color="auto"/>
              <w:bottom w:val="single" w:sz="6" w:space="0" w:color="auto"/>
              <w:right w:val="single" w:sz="6" w:space="0" w:color="auto"/>
            </w:tcBorders>
            <w:vAlign w:val="center"/>
          </w:tcPr>
          <w:p w14:paraId="466561CE" w14:textId="7CE811A6" w:rsidR="00744F06"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COSHH</w:t>
            </w:r>
          </w:p>
        </w:tc>
        <w:tc>
          <w:tcPr>
            <w:tcW w:w="6325" w:type="dxa"/>
            <w:tcBorders>
              <w:top w:val="single" w:sz="6" w:space="0" w:color="auto"/>
              <w:left w:val="single" w:sz="6" w:space="0" w:color="auto"/>
              <w:bottom w:val="single" w:sz="6" w:space="0" w:color="auto"/>
              <w:right w:val="single" w:sz="6" w:space="0" w:color="auto"/>
            </w:tcBorders>
            <w:vAlign w:val="center"/>
          </w:tcPr>
          <w:p w14:paraId="3A65E3B1" w14:textId="31592969" w:rsidR="00744F06"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5665B">
              <w:rPr>
                <w:rFonts w:eastAsia="Times New Roman" w:cstheme="minorHAnsi"/>
                <w:lang w:eastAsia="en-GB"/>
              </w:rPr>
              <w:t>Control of Substances Hazardous to Health</w:t>
            </w:r>
          </w:p>
        </w:tc>
      </w:tr>
      <w:tr w:rsidR="009F50EC" w:rsidRPr="009F50EC" w14:paraId="59E899EE"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111813B9" w14:textId="2C030322"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Hazard Group</w:t>
            </w:r>
            <w:r w:rsidR="008F22CE">
              <w:rPr>
                <w:rFonts w:eastAsia="Times New Roman" w:cstheme="minorHAnsi"/>
                <w:lang w:eastAsia="en-GB"/>
              </w:rPr>
              <w:t xml:space="preserve"> (HG)</w:t>
            </w:r>
          </w:p>
        </w:tc>
        <w:tc>
          <w:tcPr>
            <w:tcW w:w="6325" w:type="dxa"/>
            <w:tcBorders>
              <w:top w:val="single" w:sz="6" w:space="0" w:color="auto"/>
              <w:left w:val="single" w:sz="6" w:space="0" w:color="auto"/>
              <w:bottom w:val="single" w:sz="6" w:space="0" w:color="auto"/>
              <w:right w:val="single" w:sz="6" w:space="0" w:color="auto"/>
            </w:tcBorders>
            <w:vAlign w:val="center"/>
          </w:tcPr>
          <w:p w14:paraId="63B961C4" w14:textId="16B1AA76" w:rsidR="006841F3" w:rsidRPr="00744F06" w:rsidRDefault="00744F06" w:rsidP="00C73D6A">
            <w:pPr>
              <w:spacing w:before="100" w:beforeAutospacing="1" w:after="100" w:afterAutospacing="1"/>
              <w:ind w:left="0" w:firstLine="0"/>
              <w:jc w:val="left"/>
              <w:textAlignment w:val="baseline"/>
              <w:rPr>
                <w:rFonts w:cstheme="minorHAnsi"/>
              </w:rPr>
            </w:pPr>
            <w:r>
              <w:rPr>
                <w:rFonts w:cstheme="minorHAnsi"/>
              </w:rPr>
              <w:t>A series of 4 groups (1-4) to which bioagents are assigned to depending on its level of risk of infection to humans</w:t>
            </w:r>
          </w:p>
        </w:tc>
      </w:tr>
      <w:tr w:rsidR="009F50EC" w:rsidRPr="009F50EC" w14:paraId="2ECB32F1"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4B6637B8" w14:textId="1253DD47"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Containment Level</w:t>
            </w:r>
          </w:p>
        </w:tc>
        <w:tc>
          <w:tcPr>
            <w:tcW w:w="6325" w:type="dxa"/>
            <w:tcBorders>
              <w:top w:val="single" w:sz="6" w:space="0" w:color="auto"/>
              <w:left w:val="single" w:sz="6" w:space="0" w:color="auto"/>
              <w:bottom w:val="single" w:sz="6" w:space="0" w:color="auto"/>
              <w:right w:val="single" w:sz="6" w:space="0" w:color="auto"/>
            </w:tcBorders>
            <w:vAlign w:val="center"/>
          </w:tcPr>
          <w:p w14:paraId="2B747C24" w14:textId="0DEB404D"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A series of 4 groups of defined containment measures that match the hazard groups 1 to 4</w:t>
            </w:r>
          </w:p>
        </w:tc>
      </w:tr>
      <w:tr w:rsidR="009F50EC" w:rsidRPr="009F50EC" w14:paraId="36FA094E"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446E146D" w14:textId="39E81094"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44F06">
              <w:rPr>
                <w:rFonts w:eastAsia="Times New Roman" w:cstheme="minorHAnsi"/>
                <w:lang w:eastAsia="en-GB"/>
              </w:rPr>
              <w:t>PPE</w:t>
            </w:r>
          </w:p>
        </w:tc>
        <w:tc>
          <w:tcPr>
            <w:tcW w:w="6325" w:type="dxa"/>
            <w:tcBorders>
              <w:top w:val="single" w:sz="6" w:space="0" w:color="auto"/>
              <w:left w:val="single" w:sz="6" w:space="0" w:color="auto"/>
              <w:bottom w:val="single" w:sz="6" w:space="0" w:color="auto"/>
              <w:right w:val="single" w:sz="6" w:space="0" w:color="auto"/>
            </w:tcBorders>
            <w:vAlign w:val="center"/>
          </w:tcPr>
          <w:p w14:paraId="4E12815F" w14:textId="4F464BC7"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sidRPr="0075665B">
              <w:rPr>
                <w:rFonts w:eastAsia="Times New Roman" w:cstheme="minorHAnsi"/>
                <w:lang w:eastAsia="en-GB"/>
              </w:rPr>
              <w:t>Personal Protective Equipment</w:t>
            </w:r>
          </w:p>
        </w:tc>
      </w:tr>
      <w:tr w:rsidR="009F50EC" w:rsidRPr="009F50EC" w14:paraId="40B317C5"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3143CF7A" w14:textId="4A60D99A" w:rsidR="009F50EC" w:rsidRPr="00744F06" w:rsidRDefault="00744F06"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ACDP</w:t>
            </w:r>
          </w:p>
        </w:tc>
        <w:tc>
          <w:tcPr>
            <w:tcW w:w="6325" w:type="dxa"/>
            <w:tcBorders>
              <w:top w:val="single" w:sz="6" w:space="0" w:color="auto"/>
              <w:left w:val="single" w:sz="6" w:space="0" w:color="auto"/>
              <w:bottom w:val="single" w:sz="6" w:space="0" w:color="auto"/>
              <w:right w:val="single" w:sz="6" w:space="0" w:color="auto"/>
            </w:tcBorders>
            <w:vAlign w:val="center"/>
          </w:tcPr>
          <w:p w14:paraId="117B4281" w14:textId="24E15BC4" w:rsidR="009F50EC" w:rsidRPr="00744F06" w:rsidRDefault="009D7A8C" w:rsidP="00C73D6A">
            <w:pPr>
              <w:tabs>
                <w:tab w:val="num" w:pos="720"/>
              </w:tabs>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Advisory Committee in Dangerous Pathogens</w:t>
            </w:r>
          </w:p>
        </w:tc>
      </w:tr>
      <w:tr w:rsidR="009F50EC" w:rsidRPr="009F50EC" w14:paraId="2476D94B"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31A3B04B" w14:textId="163796C7" w:rsidR="009F50EC" w:rsidRPr="00744F06" w:rsidRDefault="00A37EF0"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GMO</w:t>
            </w:r>
          </w:p>
        </w:tc>
        <w:tc>
          <w:tcPr>
            <w:tcW w:w="6325" w:type="dxa"/>
            <w:tcBorders>
              <w:top w:val="single" w:sz="6" w:space="0" w:color="auto"/>
              <w:left w:val="single" w:sz="6" w:space="0" w:color="auto"/>
              <w:bottom w:val="single" w:sz="6" w:space="0" w:color="auto"/>
              <w:right w:val="single" w:sz="6" w:space="0" w:color="auto"/>
            </w:tcBorders>
            <w:vAlign w:val="center"/>
          </w:tcPr>
          <w:p w14:paraId="6FAEEAE9" w14:textId="3B18B9FF" w:rsidR="009F50EC" w:rsidRPr="00744F06" w:rsidRDefault="009D7A8C" w:rsidP="00C73D6A">
            <w:pPr>
              <w:tabs>
                <w:tab w:val="num" w:pos="720"/>
              </w:tabs>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Genetically modified organism</w:t>
            </w:r>
          </w:p>
        </w:tc>
      </w:tr>
      <w:tr w:rsidR="003E7F88" w:rsidRPr="009F50EC" w14:paraId="1D987DE1"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72657C6F" w14:textId="3AB36024" w:rsidR="003E7F88" w:rsidRDefault="003E7F88"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GMO(CU)</w:t>
            </w:r>
          </w:p>
        </w:tc>
        <w:tc>
          <w:tcPr>
            <w:tcW w:w="6325" w:type="dxa"/>
            <w:tcBorders>
              <w:top w:val="single" w:sz="6" w:space="0" w:color="auto"/>
              <w:left w:val="single" w:sz="6" w:space="0" w:color="auto"/>
              <w:bottom w:val="single" w:sz="6" w:space="0" w:color="auto"/>
              <w:right w:val="single" w:sz="6" w:space="0" w:color="auto"/>
            </w:tcBorders>
            <w:vAlign w:val="center"/>
          </w:tcPr>
          <w:p w14:paraId="3A63B160" w14:textId="07C8D62A" w:rsidR="003E7F88" w:rsidRDefault="003E7F88"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Genetically Modified Organism (Contained Use) Regulations</w:t>
            </w:r>
          </w:p>
        </w:tc>
      </w:tr>
      <w:tr w:rsidR="009F50EC" w:rsidRPr="009F50EC" w14:paraId="582372D9"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7E7AD467" w14:textId="0F4C6F1C" w:rsidR="009F50EC" w:rsidRPr="00744F06" w:rsidRDefault="009D7A8C"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CTSA</w:t>
            </w:r>
          </w:p>
        </w:tc>
        <w:tc>
          <w:tcPr>
            <w:tcW w:w="6325" w:type="dxa"/>
            <w:tcBorders>
              <w:top w:val="single" w:sz="6" w:space="0" w:color="auto"/>
              <w:left w:val="single" w:sz="6" w:space="0" w:color="auto"/>
              <w:bottom w:val="single" w:sz="6" w:space="0" w:color="auto"/>
              <w:right w:val="single" w:sz="6" w:space="0" w:color="auto"/>
            </w:tcBorders>
            <w:vAlign w:val="center"/>
          </w:tcPr>
          <w:p w14:paraId="49338288" w14:textId="789B2363" w:rsidR="009F50EC" w:rsidRPr="00744F06" w:rsidRDefault="009D7A8C"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Counter Terrorism Security Advisor</w:t>
            </w:r>
          </w:p>
        </w:tc>
      </w:tr>
      <w:bookmarkEnd w:id="4"/>
    </w:tbl>
    <w:p w14:paraId="423152F3" w14:textId="77777777" w:rsidR="00DA6BBB" w:rsidRDefault="00DA6BBB" w:rsidP="00DA6BBB">
      <w:pPr>
        <w:keepNext/>
        <w:keepLines/>
        <w:spacing w:before="240" w:after="160" w:line="259" w:lineRule="auto"/>
        <w:jc w:val="left"/>
        <w:outlineLvl w:val="0"/>
        <w:rPr>
          <w:rFonts w:eastAsia="Times New Roman" w:cstheme="minorHAnsi"/>
          <w:color w:val="2F5496"/>
          <w:sz w:val="32"/>
          <w:szCs w:val="32"/>
        </w:rPr>
      </w:pPr>
    </w:p>
    <w:p w14:paraId="0E5A0C11" w14:textId="77777777" w:rsidR="00A37EF0" w:rsidRDefault="00A37EF0">
      <w:pPr>
        <w:rPr>
          <w:rFonts w:eastAsia="Times New Roman" w:cstheme="minorHAnsi"/>
          <w:color w:val="2F5496"/>
          <w:sz w:val="32"/>
          <w:szCs w:val="32"/>
        </w:rPr>
      </w:pPr>
      <w:r>
        <w:rPr>
          <w:rFonts w:eastAsia="Times New Roman" w:cstheme="minorHAnsi"/>
          <w:color w:val="2F5496"/>
          <w:sz w:val="32"/>
          <w:szCs w:val="32"/>
        </w:rPr>
        <w:br w:type="page"/>
      </w:r>
    </w:p>
    <w:p w14:paraId="0DDAE105" w14:textId="680CA5C7" w:rsidR="00057CF1" w:rsidRPr="00A97766" w:rsidRDefault="00FA5882" w:rsidP="00A97766">
      <w:pPr>
        <w:keepNext/>
        <w:keepLines/>
        <w:numPr>
          <w:ilvl w:val="0"/>
          <w:numId w:val="1"/>
        </w:numPr>
        <w:spacing w:before="240" w:after="160" w:line="259" w:lineRule="auto"/>
        <w:jc w:val="left"/>
        <w:outlineLvl w:val="0"/>
        <w:rPr>
          <w:rFonts w:eastAsia="Times New Roman" w:cstheme="minorHAnsi"/>
          <w:color w:val="2F5496"/>
          <w:sz w:val="32"/>
          <w:szCs w:val="32"/>
        </w:rPr>
      </w:pPr>
      <w:bookmarkStart w:id="5" w:name="_Toc203115811"/>
      <w:r w:rsidRPr="00A97766">
        <w:rPr>
          <w:rFonts w:eastAsia="Times New Roman" w:cstheme="minorHAnsi"/>
          <w:color w:val="2F5496"/>
          <w:sz w:val="32"/>
          <w:szCs w:val="32"/>
        </w:rPr>
        <w:lastRenderedPageBreak/>
        <w:t>L</w:t>
      </w:r>
      <w:r w:rsidR="00057CF1" w:rsidRPr="00A97766">
        <w:rPr>
          <w:rFonts w:eastAsia="Times New Roman" w:cstheme="minorHAnsi"/>
          <w:color w:val="2F5496"/>
          <w:sz w:val="32"/>
          <w:szCs w:val="32"/>
        </w:rPr>
        <w:t>egislative Requirements</w:t>
      </w:r>
      <w:bookmarkEnd w:id="5"/>
      <w:r w:rsidR="00057CF1" w:rsidRPr="00A97766">
        <w:rPr>
          <w:rFonts w:eastAsia="Times New Roman" w:cstheme="minorHAnsi"/>
          <w:color w:val="2F5496"/>
          <w:sz w:val="32"/>
          <w:szCs w:val="32"/>
        </w:rPr>
        <w:t xml:space="preserve"> </w:t>
      </w:r>
    </w:p>
    <w:p w14:paraId="499FAC5F" w14:textId="77777777" w:rsidR="00A37EF0" w:rsidRDefault="00A37EF0" w:rsidP="009C2163">
      <w:pPr>
        <w:ind w:left="0" w:firstLine="0"/>
        <w:jc w:val="left"/>
      </w:pPr>
      <w:r>
        <w:t xml:space="preserve">The Health and Safety at Work Act 1974 sets out the framework for managing workplace health and safety in the UK.  The act defines the general duties of everyone </w:t>
      </w:r>
      <w:proofErr w:type="gramStart"/>
      <w:r>
        <w:t>from employers and employees,</w:t>
      </w:r>
      <w:proofErr w:type="gramEnd"/>
      <w:r>
        <w:t xml:space="preserve"> to managers and maintainers of work premises for maintaining health and safety within the workplace.</w:t>
      </w:r>
    </w:p>
    <w:p w14:paraId="20522D08" w14:textId="417C3A22" w:rsidR="00A37EF0" w:rsidRDefault="00A37EF0" w:rsidP="009C2163">
      <w:pPr>
        <w:ind w:left="0" w:firstLine="0"/>
        <w:jc w:val="left"/>
      </w:pPr>
      <w:r>
        <w:t xml:space="preserve">The Management of Health and Safety at Work </w:t>
      </w:r>
      <w:r w:rsidR="00257F0D">
        <w:t>Regulations</w:t>
      </w:r>
      <w:r>
        <w:t xml:space="preserve"> 1999 places a duty on employers to undertake risk assessments to identify potential hazards to employee health and safety and anyone who may be affected by their work.</w:t>
      </w:r>
    </w:p>
    <w:p w14:paraId="59D0C76D" w14:textId="5141529C" w:rsidR="00A37EF0" w:rsidRPr="00E10385" w:rsidRDefault="00A37EF0" w:rsidP="009C2163">
      <w:pPr>
        <w:ind w:left="0" w:firstLine="0"/>
        <w:jc w:val="left"/>
      </w:pPr>
      <w:r>
        <w:t xml:space="preserve">The Control of Substances Hazardous to Health Regulations 2002 (COSHH) require employers to adequately control exposure to hazardous substances in the workplace that cause ill health. </w:t>
      </w:r>
      <w:r w:rsidR="00E10385">
        <w:t xml:space="preserve">Within these regulations, a ‘substance hazardous to health’ includes a substance ‘which is a biological agent’ as defined in the regulations as </w:t>
      </w:r>
      <w:r w:rsidR="00E10385">
        <w:rPr>
          <w:i/>
          <w:iCs/>
        </w:rPr>
        <w:t>a</w:t>
      </w:r>
      <w:r w:rsidR="00E10385" w:rsidRPr="00E10385">
        <w:rPr>
          <w:rFonts w:eastAsia="Times New Roman" w:cstheme="minorHAnsi"/>
          <w:i/>
          <w:iCs/>
          <w:lang w:eastAsia="en-GB"/>
        </w:rPr>
        <w:t xml:space="preserve"> micro-organism, cell culture, or human endoparasite </w:t>
      </w:r>
      <w:proofErr w:type="gramStart"/>
      <w:r w:rsidR="00E10385" w:rsidRPr="00E10385">
        <w:rPr>
          <w:rFonts w:eastAsia="Times New Roman" w:cstheme="minorHAnsi"/>
          <w:i/>
          <w:iCs/>
          <w:lang w:eastAsia="en-GB"/>
        </w:rPr>
        <w:t>whether or not</w:t>
      </w:r>
      <w:proofErr w:type="gramEnd"/>
      <w:r w:rsidR="00E10385" w:rsidRPr="00E10385">
        <w:rPr>
          <w:rFonts w:eastAsia="Times New Roman" w:cstheme="minorHAnsi"/>
          <w:i/>
          <w:iCs/>
          <w:lang w:eastAsia="en-GB"/>
        </w:rPr>
        <w:t xml:space="preserve"> genetically modified, which may cause infection, allergy, toxicity or otherwise create a hazard to human health</w:t>
      </w:r>
      <w:r w:rsidR="00E10385">
        <w:rPr>
          <w:rFonts w:eastAsia="Times New Roman" w:cstheme="minorHAnsi"/>
          <w:lang w:eastAsia="en-GB"/>
        </w:rPr>
        <w:t>.</w:t>
      </w:r>
    </w:p>
    <w:p w14:paraId="467617B0" w14:textId="6EEAE95E" w:rsidR="00A37EF0" w:rsidRDefault="00A37EF0" w:rsidP="009C2163">
      <w:pPr>
        <w:ind w:left="0" w:firstLine="0"/>
        <w:jc w:val="left"/>
      </w:pPr>
      <w:r>
        <w:t>T</w:t>
      </w:r>
      <w:r w:rsidR="00E10385">
        <w:t>he</w:t>
      </w:r>
      <w:r>
        <w:t xml:space="preserve"> G</w:t>
      </w:r>
      <w:r w:rsidR="00E10385">
        <w:t xml:space="preserve">enetically Modified Organisms </w:t>
      </w:r>
      <w:r>
        <w:t>(C</w:t>
      </w:r>
      <w:r w:rsidR="00E10385">
        <w:t xml:space="preserve">ontained </w:t>
      </w:r>
      <w:r>
        <w:t>U</w:t>
      </w:r>
      <w:r w:rsidR="00E10385">
        <w:t>se</w:t>
      </w:r>
      <w:r>
        <w:t>)</w:t>
      </w:r>
      <w:r w:rsidR="00E10385">
        <w:t xml:space="preserve"> Regulations </w:t>
      </w:r>
      <w:r w:rsidR="003E7F88">
        <w:t>2015 (GMO(CU</w:t>
      </w:r>
      <w:proofErr w:type="gramStart"/>
      <w:r w:rsidR="003E7F88">
        <w:t>))</w:t>
      </w:r>
      <w:r w:rsidR="009D7A8C">
        <w:t>places</w:t>
      </w:r>
      <w:proofErr w:type="gramEnd"/>
      <w:r w:rsidR="009D7A8C">
        <w:t xml:space="preserve"> duties on those organisations to undertake risk assessments for work with GMOs, classifying the contained use work, notifying the competent authority, applying the relevant control measures and reporting any accidents.</w:t>
      </w:r>
    </w:p>
    <w:p w14:paraId="3E241CDC" w14:textId="69C7C9E1" w:rsidR="009D7A8C" w:rsidRDefault="00C25FB4" w:rsidP="009C2163">
      <w:pPr>
        <w:ind w:left="0" w:firstLine="0"/>
        <w:jc w:val="left"/>
      </w:pPr>
      <w:r>
        <w:t xml:space="preserve">The Anti-Terrorism, Crime and Security Act 2001 (Amended 2007), notably Part 7 (Security of Pathogens and Toxins) places duties on the University of Aberdeen to ensure that certain bioagents and toxins are notified to the Home Office of the holdings of any Schedule 5 pathogens and toxins. </w:t>
      </w:r>
      <w:r w:rsidR="00571E46">
        <w:t>The enforcement of this legislation is via Police Scotland’s Counter Terrorism Security Adviser.</w:t>
      </w:r>
    </w:p>
    <w:p w14:paraId="168B29D9" w14:textId="18E6BAA5" w:rsidR="008F22CE" w:rsidRPr="008F22CE" w:rsidRDefault="008F22CE" w:rsidP="009C2163">
      <w:pPr>
        <w:ind w:left="0" w:firstLine="0"/>
        <w:jc w:val="left"/>
      </w:pPr>
      <w:r>
        <w:t xml:space="preserve">The Specified Animal Pathogens (Scotland) Order 2009 (SAPO) places duties on the University of Aberdeen to ensure that specified animal pathogens (viruses, bacteria and parasites) are not introduced </w:t>
      </w:r>
      <w:r w:rsidR="00A97766">
        <w:t>in</w:t>
      </w:r>
      <w:r>
        <w:t xml:space="preserve">to the </w:t>
      </w:r>
      <w:r w:rsidR="00A97766">
        <w:t>country which could cause serious disease to livestock and other animals and cause serious economic loss. Any work with SAPO pathogens requires a licence to be obtained from the HSE.</w:t>
      </w:r>
    </w:p>
    <w:p w14:paraId="5A65A07F" w14:textId="77777777" w:rsidR="009D7A8C" w:rsidRDefault="009D7A8C" w:rsidP="009D7A8C">
      <w:pPr>
        <w:ind w:left="0" w:firstLine="0"/>
      </w:pPr>
    </w:p>
    <w:p w14:paraId="6C9766F6" w14:textId="4E8C7234" w:rsidR="009F50EC" w:rsidRDefault="009F50E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6" w:name="_Toc203115812"/>
      <w:r>
        <w:rPr>
          <w:rFonts w:eastAsia="Times New Roman" w:cstheme="minorHAnsi"/>
          <w:color w:val="2F5496"/>
          <w:sz w:val="32"/>
          <w:szCs w:val="32"/>
        </w:rPr>
        <w:t>Responsibilities</w:t>
      </w:r>
      <w:bookmarkEnd w:id="6"/>
    </w:p>
    <w:p w14:paraId="68616F4F" w14:textId="77777777" w:rsidR="00EC0BA3" w:rsidRPr="006841F3" w:rsidRDefault="00EC0BA3" w:rsidP="00AD70B0">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7" w:name="_Toc203115813"/>
      <w:bookmarkStart w:id="8" w:name="_Hlk116304484"/>
      <w:r w:rsidRPr="006841F3">
        <w:rPr>
          <w:rFonts w:asciiTheme="majorHAnsi" w:eastAsiaTheme="majorEastAsia" w:hAnsiTheme="majorHAnsi" w:cstheme="majorBidi"/>
          <w:color w:val="243F60" w:themeColor="accent1" w:themeShade="7F"/>
          <w:sz w:val="24"/>
          <w:szCs w:val="24"/>
        </w:rPr>
        <w:t>University Court</w:t>
      </w:r>
      <w:bookmarkEnd w:id="7"/>
    </w:p>
    <w:p w14:paraId="7CF81CA3" w14:textId="77777777" w:rsidR="00EC0BA3" w:rsidRDefault="00EC0BA3" w:rsidP="009C2163">
      <w:pPr>
        <w:ind w:left="0" w:firstLine="0"/>
        <w:jc w:val="left"/>
      </w:pPr>
      <w:r>
        <w:t>The University Court has ultimate responsibility for overseeing health, safety and wellbeing matters at the University. As such, they should seek assurance that appropriate risk control measures are in place and acted upon in relation to activities across the University that could give rise to significant risk. They should be aware of significant health and safety risks across the University.</w:t>
      </w:r>
    </w:p>
    <w:p w14:paraId="556F8B7B" w14:textId="77777777" w:rsidR="00EC0BA3" w:rsidRDefault="00EC0BA3" w:rsidP="006841F3">
      <w:pPr>
        <w:ind w:left="0" w:firstLine="0"/>
      </w:pPr>
    </w:p>
    <w:p w14:paraId="3346C7AC" w14:textId="77777777" w:rsidR="00EC0BA3" w:rsidRPr="006841F3" w:rsidRDefault="00EC0BA3" w:rsidP="00AD70B0">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9" w:name="_Toc203115814"/>
      <w:r w:rsidRPr="006841F3">
        <w:rPr>
          <w:rFonts w:asciiTheme="majorHAnsi" w:eastAsiaTheme="majorEastAsia" w:hAnsiTheme="majorHAnsi" w:cstheme="majorBidi"/>
          <w:color w:val="243F60" w:themeColor="accent1" w:themeShade="7F"/>
          <w:sz w:val="24"/>
          <w:szCs w:val="24"/>
        </w:rPr>
        <w:t>Senior Management Team</w:t>
      </w:r>
      <w:bookmarkEnd w:id="9"/>
    </w:p>
    <w:p w14:paraId="3D66F118" w14:textId="77777777" w:rsidR="00EC0BA3" w:rsidRDefault="00EC0BA3" w:rsidP="009C2163">
      <w:pPr>
        <w:ind w:left="0" w:firstLine="0"/>
        <w:jc w:val="left"/>
      </w:pPr>
      <w:r>
        <w:t>The Senior Management Team (SMT)</w:t>
      </w:r>
      <w:r w:rsidRPr="00A96242">
        <w:t xml:space="preserve"> </w:t>
      </w:r>
      <w:r w:rsidRPr="00991BA0">
        <w:t>has delegated</w:t>
      </w:r>
      <w:r w:rsidRPr="002A71E7">
        <w:t xml:space="preserve"> authority from the University Court and as such, </w:t>
      </w:r>
      <w:r>
        <w:t xml:space="preserve">should seek reassurance that appropriate risk control measures are in place, are being implemented and that those with risk management and assessment responsibilities are trained and competent. </w:t>
      </w:r>
    </w:p>
    <w:bookmarkEnd w:id="8"/>
    <w:p w14:paraId="5B131852" w14:textId="28EB17C9" w:rsidR="00FA5882" w:rsidRDefault="00FA5882" w:rsidP="006841F3">
      <w:pPr>
        <w:pStyle w:val="NoSpacing"/>
        <w:ind w:left="0" w:firstLine="0"/>
        <w:jc w:val="left"/>
      </w:pPr>
    </w:p>
    <w:p w14:paraId="637759D6" w14:textId="77777777" w:rsidR="00C25FB4" w:rsidRDefault="00C25FB4">
      <w:pPr>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br w:type="page"/>
      </w:r>
    </w:p>
    <w:p w14:paraId="07A3B12F" w14:textId="6B9F907F" w:rsidR="00C73D6A" w:rsidRDefault="00C73D6A" w:rsidP="00AD70B0">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0" w:name="_Toc203115815"/>
      <w:r w:rsidRPr="006841F3">
        <w:rPr>
          <w:rFonts w:asciiTheme="majorHAnsi" w:eastAsiaTheme="majorEastAsia" w:hAnsiTheme="majorHAnsi" w:cstheme="majorBidi"/>
          <w:color w:val="243F60" w:themeColor="accent1" w:themeShade="7F"/>
          <w:sz w:val="24"/>
          <w:szCs w:val="24"/>
        </w:rPr>
        <w:lastRenderedPageBreak/>
        <w:t>Heads of Schools/Departments</w:t>
      </w:r>
      <w:bookmarkEnd w:id="10"/>
    </w:p>
    <w:p w14:paraId="442D49DE" w14:textId="7BD9BDA5" w:rsidR="00C25FB4" w:rsidRPr="00AC2D20" w:rsidRDefault="00C25FB4" w:rsidP="00956C86">
      <w:pPr>
        <w:pStyle w:val="BodyText"/>
        <w:spacing w:before="81"/>
        <w:ind w:left="0" w:firstLine="0"/>
        <w:jc w:val="left"/>
      </w:pPr>
      <w:bookmarkStart w:id="11" w:name="_Toc199937054"/>
      <w:r w:rsidRPr="00AC2D20">
        <w:t>Heads of Schools / Departments must ensure tha</w:t>
      </w:r>
      <w:r w:rsidR="00136114" w:rsidRPr="00AC2D20">
        <w:t>t:</w:t>
      </w:r>
      <w:bookmarkEnd w:id="11"/>
    </w:p>
    <w:p w14:paraId="2326F99B" w14:textId="2FD32E97" w:rsidR="00136114" w:rsidRPr="00AC2D20" w:rsidRDefault="00136114" w:rsidP="00136114">
      <w:pPr>
        <w:pStyle w:val="ListParagraph"/>
        <w:widowControl w:val="0"/>
        <w:numPr>
          <w:ilvl w:val="2"/>
          <w:numId w:val="2"/>
        </w:numPr>
        <w:tabs>
          <w:tab w:val="left" w:pos="1211"/>
        </w:tabs>
        <w:autoSpaceDE w:val="0"/>
        <w:autoSpaceDN w:val="0"/>
        <w:spacing w:before="77" w:line="259" w:lineRule="auto"/>
        <w:ind w:right="147"/>
        <w:contextualSpacing w:val="0"/>
      </w:pPr>
      <w:r w:rsidRPr="00AC2D20">
        <w:t>the area that they are responsible for is compliant with all relevant laws and statutory regulations for work with bioagents</w:t>
      </w:r>
    </w:p>
    <w:p w14:paraId="294264E2" w14:textId="53AF1B90" w:rsidR="00136114" w:rsidRPr="00AC2D20" w:rsidRDefault="00136114" w:rsidP="00136114">
      <w:pPr>
        <w:pStyle w:val="ListParagraph"/>
        <w:widowControl w:val="0"/>
        <w:numPr>
          <w:ilvl w:val="2"/>
          <w:numId w:val="2"/>
        </w:numPr>
        <w:tabs>
          <w:tab w:val="left" w:pos="1211"/>
        </w:tabs>
        <w:autoSpaceDE w:val="0"/>
        <w:autoSpaceDN w:val="0"/>
        <w:spacing w:before="1" w:line="259" w:lineRule="auto"/>
        <w:ind w:right="148"/>
        <w:contextualSpacing w:val="0"/>
      </w:pPr>
      <w:r w:rsidRPr="00AC2D20">
        <w:t>the relevant regulatory authorities are notified of activities with bioagents / GMOs via the University Biosafety Officer</w:t>
      </w:r>
    </w:p>
    <w:p w14:paraId="73250711" w14:textId="76CBB450"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140"/>
        <w:contextualSpacing w:val="0"/>
      </w:pPr>
      <w:r w:rsidRPr="00AC2D20">
        <w:t xml:space="preserve">Appointing a competent individual(s) </w:t>
      </w:r>
      <w:r w:rsidR="008F22CE">
        <w:t xml:space="preserve">is appointed </w:t>
      </w:r>
      <w:r w:rsidRPr="00AC2D20">
        <w:t>in the role of Local Biological Safety Officer (LBSO) to assist the School / Section in the matters of advising and monitoring of biosafety/GMO within the School / Section</w:t>
      </w:r>
    </w:p>
    <w:p w14:paraId="6E8D16A0" w14:textId="7FC152CD"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138"/>
        <w:contextualSpacing w:val="0"/>
      </w:pPr>
      <w:r w:rsidRPr="00AC2D20">
        <w:t xml:space="preserve">formal risk assessments are </w:t>
      </w:r>
      <w:proofErr w:type="gramStart"/>
      <w:r w:rsidRPr="00AC2D20">
        <w:t>conducted</w:t>
      </w:r>
      <w:proofErr w:type="gramEnd"/>
      <w:r w:rsidRPr="00AC2D20">
        <w:t xml:space="preserve"> and control measures are identified for all work involving bioagents / GMOs</w:t>
      </w:r>
    </w:p>
    <w:p w14:paraId="35A9F747" w14:textId="36928D77"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136"/>
        <w:contextualSpacing w:val="0"/>
      </w:pPr>
      <w:r w:rsidRPr="00AC2D20">
        <w:t>adequate resources and equipment (including PPE) are made available to effectively manage risks arising from work involving bioagents / GMOs</w:t>
      </w:r>
    </w:p>
    <w:p w14:paraId="54804212" w14:textId="2F49E5F9"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147"/>
        <w:contextualSpacing w:val="0"/>
      </w:pPr>
      <w:r w:rsidRPr="00AC2D20">
        <w:t>suitable and sufficient information, instruction and training is provided to individuals working with bioagents / GMOs</w:t>
      </w:r>
    </w:p>
    <w:p w14:paraId="5773A03A" w14:textId="79B2750F" w:rsidR="00136114" w:rsidRPr="00AC2D20" w:rsidRDefault="00136114" w:rsidP="00136114">
      <w:pPr>
        <w:pStyle w:val="ListParagraph"/>
        <w:widowControl w:val="0"/>
        <w:numPr>
          <w:ilvl w:val="2"/>
          <w:numId w:val="2"/>
        </w:numPr>
        <w:tabs>
          <w:tab w:val="left" w:pos="1210"/>
        </w:tabs>
        <w:autoSpaceDE w:val="0"/>
        <w:autoSpaceDN w:val="0"/>
        <w:spacing w:before="0"/>
        <w:ind w:left="1210" w:hanging="359"/>
        <w:contextualSpacing w:val="0"/>
      </w:pPr>
      <w:r w:rsidRPr="00AC2D20">
        <w:t>plant,</w:t>
      </w:r>
      <w:r w:rsidRPr="00AC2D20">
        <w:rPr>
          <w:spacing w:val="-5"/>
        </w:rPr>
        <w:t xml:space="preserve"> </w:t>
      </w:r>
      <w:r w:rsidRPr="00AC2D20">
        <w:t>equipment</w:t>
      </w:r>
      <w:r w:rsidRPr="00AC2D20">
        <w:rPr>
          <w:spacing w:val="-1"/>
        </w:rPr>
        <w:t xml:space="preserve"> </w:t>
      </w:r>
      <w:r w:rsidRPr="00AC2D20">
        <w:t>and</w:t>
      </w:r>
      <w:r w:rsidRPr="00AC2D20">
        <w:rPr>
          <w:spacing w:val="-4"/>
        </w:rPr>
        <w:t xml:space="preserve"> </w:t>
      </w:r>
      <w:r w:rsidRPr="00AC2D20">
        <w:t>facilities</w:t>
      </w:r>
      <w:r w:rsidRPr="00AC2D20">
        <w:rPr>
          <w:spacing w:val="-2"/>
        </w:rPr>
        <w:t xml:space="preserve"> </w:t>
      </w:r>
      <w:r w:rsidRPr="00AC2D20">
        <w:t>are</w:t>
      </w:r>
      <w:r w:rsidRPr="00AC2D20">
        <w:rPr>
          <w:spacing w:val="4"/>
        </w:rPr>
        <w:t xml:space="preserve"> </w:t>
      </w:r>
      <w:r w:rsidRPr="00AC2D20">
        <w:t>fit</w:t>
      </w:r>
      <w:r w:rsidRPr="00AC2D20">
        <w:rPr>
          <w:spacing w:val="-2"/>
        </w:rPr>
        <w:t xml:space="preserve"> </w:t>
      </w:r>
      <w:r w:rsidRPr="00AC2D20">
        <w:t>for</w:t>
      </w:r>
      <w:r w:rsidRPr="00AC2D20">
        <w:rPr>
          <w:spacing w:val="-3"/>
        </w:rPr>
        <w:t xml:space="preserve"> </w:t>
      </w:r>
      <w:r w:rsidRPr="00AC2D20">
        <w:t>purpose</w:t>
      </w:r>
      <w:r w:rsidRPr="00AC2D20">
        <w:rPr>
          <w:spacing w:val="-4"/>
        </w:rPr>
        <w:t xml:space="preserve"> </w:t>
      </w:r>
      <w:r w:rsidRPr="00AC2D20">
        <w:t>and</w:t>
      </w:r>
      <w:r w:rsidRPr="00AC2D20">
        <w:rPr>
          <w:spacing w:val="-3"/>
        </w:rPr>
        <w:t xml:space="preserve"> </w:t>
      </w:r>
      <w:r w:rsidRPr="00AC2D20">
        <w:t>are</w:t>
      </w:r>
      <w:r w:rsidRPr="00AC2D20">
        <w:rPr>
          <w:spacing w:val="-1"/>
        </w:rPr>
        <w:t xml:space="preserve"> </w:t>
      </w:r>
      <w:r w:rsidRPr="00AC2D20">
        <w:rPr>
          <w:spacing w:val="-2"/>
        </w:rPr>
        <w:t>maintained</w:t>
      </w:r>
    </w:p>
    <w:p w14:paraId="6B66BA2B" w14:textId="2E5B03E0" w:rsidR="00136114" w:rsidRDefault="00136114" w:rsidP="00136114">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2" w:name="_Toc203115816"/>
      <w:r>
        <w:rPr>
          <w:rFonts w:asciiTheme="majorHAnsi" w:eastAsiaTheme="majorEastAsia" w:hAnsiTheme="majorHAnsi" w:cstheme="majorBidi"/>
          <w:color w:val="243F60" w:themeColor="accent1" w:themeShade="7F"/>
          <w:sz w:val="24"/>
          <w:szCs w:val="24"/>
        </w:rPr>
        <w:t>Principal Investigators / Laboratory Managers</w:t>
      </w:r>
      <w:bookmarkEnd w:id="12"/>
    </w:p>
    <w:p w14:paraId="2E169C7B" w14:textId="08B4C558" w:rsidR="00136114" w:rsidRDefault="00136114" w:rsidP="00956C86">
      <w:pPr>
        <w:pStyle w:val="BodyText"/>
        <w:spacing w:before="81"/>
        <w:ind w:left="0" w:firstLine="0"/>
        <w:jc w:val="left"/>
      </w:pPr>
      <w:bookmarkStart w:id="13" w:name="_Toc199925667"/>
      <w:bookmarkStart w:id="14" w:name="_Toc199937056"/>
      <w:r w:rsidRPr="00136114">
        <w:t>Principal</w:t>
      </w:r>
      <w:r>
        <w:t xml:space="preserve"> Investigators / </w:t>
      </w:r>
      <w:r w:rsidRPr="00136114">
        <w:t xml:space="preserve">Laboratory managers </w:t>
      </w:r>
      <w:r>
        <w:t>are responsible for:</w:t>
      </w:r>
      <w:bookmarkEnd w:id="13"/>
      <w:bookmarkEnd w:id="14"/>
    </w:p>
    <w:p w14:paraId="23F20E8B" w14:textId="77777777" w:rsidR="00136114" w:rsidRPr="00AC2D20" w:rsidRDefault="00136114" w:rsidP="00136114">
      <w:pPr>
        <w:pStyle w:val="ListParagraph"/>
        <w:widowControl w:val="0"/>
        <w:numPr>
          <w:ilvl w:val="2"/>
          <w:numId w:val="2"/>
        </w:numPr>
        <w:tabs>
          <w:tab w:val="left" w:pos="1211"/>
        </w:tabs>
        <w:autoSpaceDE w:val="0"/>
        <w:autoSpaceDN w:val="0"/>
        <w:spacing w:before="77" w:line="259" w:lineRule="auto"/>
        <w:ind w:right="145"/>
        <w:contextualSpacing w:val="0"/>
        <w:jc w:val="left"/>
        <w:rPr>
          <w:szCs w:val="20"/>
        </w:rPr>
      </w:pPr>
      <w:r w:rsidRPr="00AC2D20">
        <w:rPr>
          <w:szCs w:val="20"/>
        </w:rPr>
        <w:t>Ensuring</w:t>
      </w:r>
      <w:r w:rsidRPr="00AC2D20">
        <w:rPr>
          <w:spacing w:val="80"/>
          <w:szCs w:val="20"/>
        </w:rPr>
        <w:t xml:space="preserve"> </w:t>
      </w:r>
      <w:r w:rsidRPr="00AC2D20">
        <w:rPr>
          <w:szCs w:val="20"/>
        </w:rPr>
        <w:t>that</w:t>
      </w:r>
      <w:r w:rsidRPr="00AC2D20">
        <w:rPr>
          <w:spacing w:val="80"/>
          <w:szCs w:val="20"/>
        </w:rPr>
        <w:t xml:space="preserve"> </w:t>
      </w:r>
      <w:r w:rsidRPr="00AC2D20">
        <w:rPr>
          <w:szCs w:val="20"/>
        </w:rPr>
        <w:t>formal</w:t>
      </w:r>
      <w:r w:rsidRPr="00AC2D20">
        <w:rPr>
          <w:spacing w:val="80"/>
          <w:szCs w:val="20"/>
        </w:rPr>
        <w:t xml:space="preserve"> </w:t>
      </w:r>
      <w:r w:rsidRPr="00AC2D20">
        <w:rPr>
          <w:szCs w:val="20"/>
        </w:rPr>
        <w:t>risk</w:t>
      </w:r>
      <w:r w:rsidRPr="00AC2D20">
        <w:rPr>
          <w:spacing w:val="80"/>
          <w:szCs w:val="20"/>
        </w:rPr>
        <w:t xml:space="preserve"> </w:t>
      </w:r>
      <w:r w:rsidRPr="00AC2D20">
        <w:rPr>
          <w:szCs w:val="20"/>
        </w:rPr>
        <w:t>assessments</w:t>
      </w:r>
      <w:r w:rsidRPr="00AC2D20">
        <w:rPr>
          <w:spacing w:val="80"/>
          <w:szCs w:val="20"/>
        </w:rPr>
        <w:t xml:space="preserve"> </w:t>
      </w:r>
      <w:r w:rsidRPr="00AC2D20">
        <w:rPr>
          <w:szCs w:val="20"/>
        </w:rPr>
        <w:t>are</w:t>
      </w:r>
      <w:r w:rsidRPr="00AC2D20">
        <w:rPr>
          <w:spacing w:val="80"/>
          <w:szCs w:val="20"/>
        </w:rPr>
        <w:t xml:space="preserve"> </w:t>
      </w:r>
      <w:r w:rsidRPr="00AC2D20">
        <w:rPr>
          <w:szCs w:val="20"/>
        </w:rPr>
        <w:t>conducted</w:t>
      </w:r>
      <w:r w:rsidRPr="00AC2D20">
        <w:rPr>
          <w:spacing w:val="80"/>
          <w:szCs w:val="20"/>
        </w:rPr>
        <w:t xml:space="preserve"> </w:t>
      </w:r>
      <w:r w:rsidRPr="00AC2D20">
        <w:rPr>
          <w:szCs w:val="20"/>
        </w:rPr>
        <w:t>for</w:t>
      </w:r>
      <w:r w:rsidRPr="00AC2D20">
        <w:rPr>
          <w:spacing w:val="80"/>
          <w:szCs w:val="20"/>
        </w:rPr>
        <w:t xml:space="preserve"> </w:t>
      </w:r>
      <w:r w:rsidRPr="00AC2D20">
        <w:rPr>
          <w:szCs w:val="20"/>
        </w:rPr>
        <w:t>all</w:t>
      </w:r>
      <w:r w:rsidRPr="00AC2D20">
        <w:rPr>
          <w:spacing w:val="80"/>
          <w:szCs w:val="20"/>
        </w:rPr>
        <w:t xml:space="preserve"> </w:t>
      </w:r>
      <w:r w:rsidRPr="00AC2D20">
        <w:rPr>
          <w:szCs w:val="20"/>
        </w:rPr>
        <w:t>work</w:t>
      </w:r>
      <w:r w:rsidRPr="00AC2D20">
        <w:rPr>
          <w:spacing w:val="80"/>
          <w:szCs w:val="20"/>
        </w:rPr>
        <w:t xml:space="preserve"> </w:t>
      </w:r>
      <w:r w:rsidRPr="00AC2D20">
        <w:rPr>
          <w:szCs w:val="20"/>
        </w:rPr>
        <w:t>involving bioagents / GMOs and are reviewed on a regular basis</w:t>
      </w:r>
    </w:p>
    <w:p w14:paraId="1824A804" w14:textId="77777777" w:rsidR="00136114" w:rsidRPr="00AC2D20" w:rsidRDefault="00136114" w:rsidP="00136114">
      <w:pPr>
        <w:pStyle w:val="ListParagraph"/>
        <w:widowControl w:val="0"/>
        <w:numPr>
          <w:ilvl w:val="2"/>
          <w:numId w:val="2"/>
        </w:numPr>
        <w:tabs>
          <w:tab w:val="left" w:pos="1211"/>
        </w:tabs>
        <w:autoSpaceDE w:val="0"/>
        <w:autoSpaceDN w:val="0"/>
        <w:spacing w:before="1" w:line="259" w:lineRule="auto"/>
        <w:ind w:right="138"/>
        <w:contextualSpacing w:val="0"/>
        <w:jc w:val="left"/>
        <w:rPr>
          <w:szCs w:val="20"/>
        </w:rPr>
      </w:pPr>
      <w:r w:rsidRPr="00AC2D20">
        <w:rPr>
          <w:szCs w:val="20"/>
        </w:rPr>
        <w:t>Ensuring</w:t>
      </w:r>
      <w:r w:rsidRPr="00AC2D20">
        <w:rPr>
          <w:spacing w:val="40"/>
          <w:szCs w:val="20"/>
        </w:rPr>
        <w:t xml:space="preserve"> </w:t>
      </w:r>
      <w:r w:rsidRPr="00AC2D20">
        <w:rPr>
          <w:szCs w:val="20"/>
        </w:rPr>
        <w:t>that</w:t>
      </w:r>
      <w:r w:rsidRPr="00AC2D20">
        <w:rPr>
          <w:spacing w:val="40"/>
          <w:szCs w:val="20"/>
        </w:rPr>
        <w:t xml:space="preserve"> </w:t>
      </w:r>
      <w:r w:rsidRPr="00AC2D20">
        <w:rPr>
          <w:szCs w:val="20"/>
        </w:rPr>
        <w:t>their</w:t>
      </w:r>
      <w:r w:rsidRPr="00AC2D20">
        <w:rPr>
          <w:spacing w:val="40"/>
          <w:szCs w:val="20"/>
        </w:rPr>
        <w:t xml:space="preserve"> </w:t>
      </w:r>
      <w:r w:rsidRPr="00AC2D20">
        <w:rPr>
          <w:szCs w:val="20"/>
        </w:rPr>
        <w:t>staff</w:t>
      </w:r>
      <w:r w:rsidRPr="00AC2D20">
        <w:rPr>
          <w:spacing w:val="40"/>
          <w:szCs w:val="20"/>
        </w:rPr>
        <w:t xml:space="preserve"> </w:t>
      </w:r>
      <w:r w:rsidRPr="00AC2D20">
        <w:rPr>
          <w:szCs w:val="20"/>
        </w:rPr>
        <w:t>/</w:t>
      </w:r>
      <w:r w:rsidRPr="00AC2D20">
        <w:rPr>
          <w:spacing w:val="40"/>
          <w:szCs w:val="20"/>
        </w:rPr>
        <w:t xml:space="preserve"> </w:t>
      </w:r>
      <w:r w:rsidRPr="00AC2D20">
        <w:rPr>
          <w:szCs w:val="20"/>
        </w:rPr>
        <w:t>students</w:t>
      </w:r>
      <w:r w:rsidRPr="00AC2D20">
        <w:rPr>
          <w:spacing w:val="40"/>
          <w:szCs w:val="20"/>
        </w:rPr>
        <w:t xml:space="preserve"> </w:t>
      </w:r>
      <w:r w:rsidRPr="00AC2D20">
        <w:rPr>
          <w:szCs w:val="20"/>
        </w:rPr>
        <w:t>are</w:t>
      </w:r>
      <w:r w:rsidRPr="00AC2D20">
        <w:rPr>
          <w:spacing w:val="40"/>
          <w:szCs w:val="20"/>
        </w:rPr>
        <w:t xml:space="preserve"> </w:t>
      </w:r>
      <w:r w:rsidRPr="00AC2D20">
        <w:rPr>
          <w:szCs w:val="20"/>
        </w:rPr>
        <w:t>adequately</w:t>
      </w:r>
      <w:r w:rsidRPr="00AC2D20">
        <w:rPr>
          <w:spacing w:val="40"/>
          <w:szCs w:val="20"/>
        </w:rPr>
        <w:t xml:space="preserve"> </w:t>
      </w:r>
      <w:r w:rsidRPr="00AC2D20">
        <w:rPr>
          <w:szCs w:val="20"/>
        </w:rPr>
        <w:t>trained</w:t>
      </w:r>
      <w:r w:rsidRPr="00AC2D20">
        <w:rPr>
          <w:spacing w:val="40"/>
          <w:szCs w:val="20"/>
        </w:rPr>
        <w:t xml:space="preserve"> </w:t>
      </w:r>
      <w:r w:rsidRPr="00AC2D20">
        <w:rPr>
          <w:szCs w:val="20"/>
        </w:rPr>
        <w:t>and</w:t>
      </w:r>
      <w:r w:rsidRPr="00AC2D20">
        <w:rPr>
          <w:spacing w:val="40"/>
          <w:szCs w:val="20"/>
        </w:rPr>
        <w:t xml:space="preserve"> </w:t>
      </w:r>
      <w:r w:rsidRPr="00AC2D20">
        <w:rPr>
          <w:szCs w:val="20"/>
        </w:rPr>
        <w:t>competent</w:t>
      </w:r>
      <w:r w:rsidRPr="00AC2D20">
        <w:rPr>
          <w:spacing w:val="40"/>
          <w:szCs w:val="20"/>
        </w:rPr>
        <w:t xml:space="preserve"> </w:t>
      </w:r>
      <w:r w:rsidRPr="00AC2D20">
        <w:rPr>
          <w:szCs w:val="20"/>
        </w:rPr>
        <w:t>to</w:t>
      </w:r>
      <w:r w:rsidRPr="00AC2D20">
        <w:rPr>
          <w:spacing w:val="40"/>
          <w:szCs w:val="20"/>
        </w:rPr>
        <w:t xml:space="preserve"> </w:t>
      </w:r>
      <w:r w:rsidRPr="00AC2D20">
        <w:rPr>
          <w:szCs w:val="20"/>
        </w:rPr>
        <w:t>conduct their work safely</w:t>
      </w:r>
    </w:p>
    <w:p w14:paraId="514E59CC" w14:textId="77777777"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148"/>
        <w:contextualSpacing w:val="0"/>
        <w:jc w:val="left"/>
        <w:rPr>
          <w:szCs w:val="20"/>
        </w:rPr>
      </w:pPr>
      <w:r w:rsidRPr="00AC2D20">
        <w:rPr>
          <w:szCs w:val="20"/>
        </w:rPr>
        <w:t>Providing</w:t>
      </w:r>
      <w:r w:rsidRPr="00AC2D20">
        <w:rPr>
          <w:spacing w:val="-1"/>
          <w:szCs w:val="20"/>
        </w:rPr>
        <w:t xml:space="preserve"> </w:t>
      </w:r>
      <w:r w:rsidRPr="00AC2D20">
        <w:rPr>
          <w:szCs w:val="20"/>
        </w:rPr>
        <w:t>supervision</w:t>
      </w:r>
      <w:r w:rsidRPr="00AC2D20">
        <w:rPr>
          <w:spacing w:val="-1"/>
          <w:szCs w:val="20"/>
        </w:rPr>
        <w:t xml:space="preserve"> </w:t>
      </w:r>
      <w:r w:rsidRPr="00AC2D20">
        <w:rPr>
          <w:szCs w:val="20"/>
        </w:rPr>
        <w:t>to</w:t>
      </w:r>
      <w:r w:rsidRPr="00AC2D20">
        <w:rPr>
          <w:spacing w:val="-2"/>
          <w:szCs w:val="20"/>
        </w:rPr>
        <w:t xml:space="preserve"> </w:t>
      </w:r>
      <w:r w:rsidRPr="00AC2D20">
        <w:rPr>
          <w:szCs w:val="20"/>
        </w:rPr>
        <w:t>their staff / students</w:t>
      </w:r>
      <w:r w:rsidRPr="00AC2D20">
        <w:rPr>
          <w:spacing w:val="-1"/>
          <w:szCs w:val="20"/>
        </w:rPr>
        <w:t xml:space="preserve"> </w:t>
      </w:r>
      <w:r w:rsidRPr="00AC2D20">
        <w:rPr>
          <w:szCs w:val="20"/>
        </w:rPr>
        <w:t>proportionate to the risks</w:t>
      </w:r>
      <w:r w:rsidRPr="00AC2D20">
        <w:rPr>
          <w:spacing w:val="-1"/>
          <w:szCs w:val="20"/>
        </w:rPr>
        <w:t xml:space="preserve"> </w:t>
      </w:r>
      <w:r w:rsidRPr="00AC2D20">
        <w:rPr>
          <w:szCs w:val="20"/>
        </w:rPr>
        <w:t>involved to maintain a safe working environment</w:t>
      </w:r>
    </w:p>
    <w:p w14:paraId="45D7D7BA" w14:textId="77777777"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267"/>
        <w:contextualSpacing w:val="0"/>
        <w:jc w:val="left"/>
        <w:rPr>
          <w:szCs w:val="20"/>
        </w:rPr>
      </w:pPr>
      <w:r w:rsidRPr="00AC2D20">
        <w:rPr>
          <w:szCs w:val="20"/>
        </w:rPr>
        <w:t>Dealing</w:t>
      </w:r>
      <w:r w:rsidRPr="00AC2D20">
        <w:rPr>
          <w:spacing w:val="33"/>
          <w:szCs w:val="20"/>
        </w:rPr>
        <w:t xml:space="preserve"> </w:t>
      </w:r>
      <w:r w:rsidRPr="00AC2D20">
        <w:rPr>
          <w:szCs w:val="20"/>
        </w:rPr>
        <w:t>with</w:t>
      </w:r>
      <w:r w:rsidRPr="00AC2D20">
        <w:rPr>
          <w:spacing w:val="36"/>
          <w:szCs w:val="20"/>
        </w:rPr>
        <w:t xml:space="preserve"> </w:t>
      </w:r>
      <w:r w:rsidRPr="00AC2D20">
        <w:rPr>
          <w:szCs w:val="20"/>
        </w:rPr>
        <w:t>any</w:t>
      </w:r>
      <w:r w:rsidRPr="00AC2D20">
        <w:rPr>
          <w:spacing w:val="35"/>
          <w:szCs w:val="20"/>
        </w:rPr>
        <w:t xml:space="preserve"> </w:t>
      </w:r>
      <w:r w:rsidRPr="00AC2D20">
        <w:rPr>
          <w:szCs w:val="20"/>
        </w:rPr>
        <w:t>reported</w:t>
      </w:r>
      <w:r w:rsidRPr="00AC2D20">
        <w:rPr>
          <w:spacing w:val="37"/>
          <w:szCs w:val="20"/>
        </w:rPr>
        <w:t xml:space="preserve"> </w:t>
      </w:r>
      <w:r w:rsidRPr="00AC2D20">
        <w:rPr>
          <w:szCs w:val="20"/>
        </w:rPr>
        <w:t>faults</w:t>
      </w:r>
      <w:r w:rsidRPr="00AC2D20">
        <w:rPr>
          <w:spacing w:val="35"/>
          <w:szCs w:val="20"/>
        </w:rPr>
        <w:t xml:space="preserve"> </w:t>
      </w:r>
      <w:r w:rsidRPr="00AC2D20">
        <w:rPr>
          <w:szCs w:val="20"/>
        </w:rPr>
        <w:t>in</w:t>
      </w:r>
      <w:r w:rsidRPr="00AC2D20">
        <w:rPr>
          <w:spacing w:val="34"/>
          <w:szCs w:val="20"/>
        </w:rPr>
        <w:t xml:space="preserve"> </w:t>
      </w:r>
      <w:r w:rsidRPr="00AC2D20">
        <w:rPr>
          <w:szCs w:val="20"/>
        </w:rPr>
        <w:t>plant,</w:t>
      </w:r>
      <w:r w:rsidRPr="00AC2D20">
        <w:rPr>
          <w:spacing w:val="35"/>
          <w:szCs w:val="20"/>
        </w:rPr>
        <w:t xml:space="preserve"> </w:t>
      </w:r>
      <w:r w:rsidRPr="00AC2D20">
        <w:rPr>
          <w:szCs w:val="20"/>
        </w:rPr>
        <w:t>equipment</w:t>
      </w:r>
      <w:r w:rsidRPr="00AC2D20">
        <w:rPr>
          <w:spacing w:val="36"/>
          <w:szCs w:val="20"/>
        </w:rPr>
        <w:t xml:space="preserve"> </w:t>
      </w:r>
      <w:r w:rsidRPr="00AC2D20">
        <w:rPr>
          <w:szCs w:val="20"/>
        </w:rPr>
        <w:t>and</w:t>
      </w:r>
      <w:r w:rsidRPr="00AC2D20">
        <w:rPr>
          <w:spacing w:val="34"/>
          <w:szCs w:val="20"/>
        </w:rPr>
        <w:t xml:space="preserve"> </w:t>
      </w:r>
      <w:r w:rsidRPr="00AC2D20">
        <w:rPr>
          <w:szCs w:val="20"/>
        </w:rPr>
        <w:t>facilities</w:t>
      </w:r>
      <w:r w:rsidRPr="00AC2D20">
        <w:rPr>
          <w:spacing w:val="33"/>
          <w:szCs w:val="20"/>
        </w:rPr>
        <w:t xml:space="preserve"> </w:t>
      </w:r>
      <w:r w:rsidRPr="00AC2D20">
        <w:rPr>
          <w:szCs w:val="20"/>
        </w:rPr>
        <w:t>to</w:t>
      </w:r>
      <w:r w:rsidRPr="00AC2D20">
        <w:rPr>
          <w:spacing w:val="31"/>
          <w:szCs w:val="20"/>
        </w:rPr>
        <w:t xml:space="preserve"> </w:t>
      </w:r>
      <w:r w:rsidRPr="00AC2D20">
        <w:rPr>
          <w:szCs w:val="20"/>
        </w:rPr>
        <w:t>have</w:t>
      </w:r>
      <w:r w:rsidRPr="00AC2D20">
        <w:rPr>
          <w:spacing w:val="36"/>
          <w:szCs w:val="20"/>
        </w:rPr>
        <w:t xml:space="preserve"> </w:t>
      </w:r>
      <w:r w:rsidRPr="00AC2D20">
        <w:rPr>
          <w:szCs w:val="20"/>
        </w:rPr>
        <w:t>the faults rectified.</w:t>
      </w:r>
    </w:p>
    <w:p w14:paraId="047BD4A3" w14:textId="77777777" w:rsidR="00136114" w:rsidRPr="00AC2D20" w:rsidRDefault="00136114" w:rsidP="00136114">
      <w:pPr>
        <w:pStyle w:val="ListParagraph"/>
        <w:widowControl w:val="0"/>
        <w:numPr>
          <w:ilvl w:val="2"/>
          <w:numId w:val="2"/>
        </w:numPr>
        <w:tabs>
          <w:tab w:val="left" w:pos="1211"/>
        </w:tabs>
        <w:autoSpaceDE w:val="0"/>
        <w:autoSpaceDN w:val="0"/>
        <w:spacing w:before="0" w:line="259" w:lineRule="auto"/>
        <w:ind w:right="267"/>
        <w:contextualSpacing w:val="0"/>
        <w:jc w:val="left"/>
        <w:rPr>
          <w:szCs w:val="20"/>
        </w:rPr>
      </w:pPr>
      <w:r w:rsidRPr="00AC2D20">
        <w:rPr>
          <w:szCs w:val="20"/>
        </w:rPr>
        <w:t>Ensuring that faulty or out of statutory inspection date equipment is put out of</w:t>
      </w:r>
      <w:r w:rsidRPr="00AC2D20">
        <w:rPr>
          <w:spacing w:val="80"/>
          <w:w w:val="150"/>
          <w:szCs w:val="20"/>
        </w:rPr>
        <w:t xml:space="preserve"> </w:t>
      </w:r>
      <w:r w:rsidRPr="00AC2D20">
        <w:rPr>
          <w:szCs w:val="20"/>
        </w:rPr>
        <w:t>service and not used until fault rectified or statutory inspection completed</w:t>
      </w:r>
    </w:p>
    <w:p w14:paraId="6C20E2FF" w14:textId="31F591D4" w:rsidR="00136114" w:rsidRDefault="00136114" w:rsidP="00136114">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5" w:name="_Toc203115817"/>
      <w:r>
        <w:rPr>
          <w:rFonts w:asciiTheme="majorHAnsi" w:eastAsiaTheme="majorEastAsia" w:hAnsiTheme="majorHAnsi" w:cstheme="majorBidi"/>
          <w:color w:val="243F60" w:themeColor="accent1" w:themeShade="7F"/>
          <w:sz w:val="24"/>
          <w:szCs w:val="24"/>
        </w:rPr>
        <w:t>Staff and Students</w:t>
      </w:r>
      <w:bookmarkEnd w:id="15"/>
    </w:p>
    <w:p w14:paraId="680B0765" w14:textId="77777777" w:rsidR="00704FFE" w:rsidRDefault="00704FFE" w:rsidP="00571E46">
      <w:pPr>
        <w:pStyle w:val="BodyText"/>
        <w:spacing w:before="81"/>
        <w:ind w:left="0" w:firstLine="0"/>
        <w:jc w:val="left"/>
      </w:pPr>
      <w:r>
        <w:t>Staff</w:t>
      </w:r>
      <w:r>
        <w:rPr>
          <w:spacing w:val="-4"/>
        </w:rPr>
        <w:t xml:space="preserve"> </w:t>
      </w:r>
      <w:r>
        <w:t>and</w:t>
      </w:r>
      <w:r>
        <w:rPr>
          <w:spacing w:val="-3"/>
        </w:rPr>
        <w:t xml:space="preserve"> </w:t>
      </w:r>
      <w:r>
        <w:t>students</w:t>
      </w:r>
      <w:r>
        <w:rPr>
          <w:spacing w:val="-3"/>
        </w:rPr>
        <w:t xml:space="preserve"> </w:t>
      </w:r>
      <w:r>
        <w:t>working</w:t>
      </w:r>
      <w:r>
        <w:rPr>
          <w:spacing w:val="-4"/>
        </w:rPr>
        <w:t xml:space="preserve"> </w:t>
      </w:r>
      <w:r>
        <w:t>with</w:t>
      </w:r>
      <w:r>
        <w:rPr>
          <w:spacing w:val="-5"/>
        </w:rPr>
        <w:t xml:space="preserve"> </w:t>
      </w:r>
      <w:r>
        <w:t>bioagents</w:t>
      </w:r>
      <w:r>
        <w:rPr>
          <w:spacing w:val="-4"/>
        </w:rPr>
        <w:t xml:space="preserve"> </w:t>
      </w:r>
      <w:r>
        <w:t>/</w:t>
      </w:r>
      <w:r>
        <w:rPr>
          <w:spacing w:val="-5"/>
        </w:rPr>
        <w:t xml:space="preserve"> </w:t>
      </w:r>
      <w:r>
        <w:t>GMOs</w:t>
      </w:r>
      <w:r>
        <w:rPr>
          <w:spacing w:val="-4"/>
        </w:rPr>
        <w:t xml:space="preserve"> </w:t>
      </w:r>
      <w:r>
        <w:t>are</w:t>
      </w:r>
      <w:r>
        <w:rPr>
          <w:spacing w:val="-3"/>
        </w:rPr>
        <w:t xml:space="preserve"> </w:t>
      </w:r>
      <w:r>
        <w:t>responsible</w:t>
      </w:r>
      <w:r>
        <w:rPr>
          <w:spacing w:val="3"/>
        </w:rPr>
        <w:t xml:space="preserve"> </w:t>
      </w:r>
      <w:r>
        <w:rPr>
          <w:spacing w:val="-4"/>
        </w:rPr>
        <w:t>for:</w:t>
      </w:r>
    </w:p>
    <w:p w14:paraId="0A2792C6" w14:textId="77777777" w:rsidR="00704FFE" w:rsidRPr="00AC2D20" w:rsidRDefault="00704FFE" w:rsidP="00704FFE">
      <w:pPr>
        <w:pStyle w:val="ListParagraph"/>
        <w:widowControl w:val="0"/>
        <w:numPr>
          <w:ilvl w:val="2"/>
          <w:numId w:val="2"/>
        </w:numPr>
        <w:tabs>
          <w:tab w:val="left" w:pos="1223"/>
        </w:tabs>
        <w:autoSpaceDE w:val="0"/>
        <w:autoSpaceDN w:val="0"/>
        <w:spacing w:before="77"/>
        <w:ind w:left="1223"/>
        <w:contextualSpacing w:val="0"/>
        <w:jc w:val="left"/>
        <w:rPr>
          <w:szCs w:val="20"/>
        </w:rPr>
      </w:pPr>
      <w:r w:rsidRPr="00AC2D20">
        <w:rPr>
          <w:szCs w:val="20"/>
        </w:rPr>
        <w:t>Complying</w:t>
      </w:r>
      <w:r w:rsidRPr="00AC2D20">
        <w:rPr>
          <w:spacing w:val="-6"/>
          <w:szCs w:val="20"/>
        </w:rPr>
        <w:t xml:space="preserve"> </w:t>
      </w:r>
      <w:r w:rsidRPr="00AC2D20">
        <w:rPr>
          <w:szCs w:val="20"/>
        </w:rPr>
        <w:t>with</w:t>
      </w:r>
      <w:r w:rsidRPr="00AC2D20">
        <w:rPr>
          <w:spacing w:val="-1"/>
          <w:szCs w:val="20"/>
        </w:rPr>
        <w:t xml:space="preserve"> </w:t>
      </w:r>
      <w:r w:rsidRPr="00AC2D20">
        <w:rPr>
          <w:szCs w:val="20"/>
        </w:rPr>
        <w:t>any</w:t>
      </w:r>
      <w:r w:rsidRPr="00AC2D20">
        <w:rPr>
          <w:spacing w:val="-4"/>
          <w:szCs w:val="20"/>
        </w:rPr>
        <w:t xml:space="preserve"> </w:t>
      </w:r>
      <w:r w:rsidRPr="00AC2D20">
        <w:rPr>
          <w:szCs w:val="20"/>
        </w:rPr>
        <w:t>instructions</w:t>
      </w:r>
      <w:r w:rsidRPr="00AC2D20">
        <w:rPr>
          <w:spacing w:val="-6"/>
          <w:szCs w:val="20"/>
        </w:rPr>
        <w:t xml:space="preserve"> </w:t>
      </w:r>
      <w:r w:rsidRPr="00AC2D20">
        <w:rPr>
          <w:szCs w:val="20"/>
        </w:rPr>
        <w:t>and</w:t>
      </w:r>
      <w:r w:rsidRPr="00AC2D20">
        <w:rPr>
          <w:spacing w:val="-4"/>
          <w:szCs w:val="20"/>
        </w:rPr>
        <w:t xml:space="preserve"> </w:t>
      </w:r>
      <w:r w:rsidRPr="00AC2D20">
        <w:rPr>
          <w:szCs w:val="20"/>
        </w:rPr>
        <w:t>biosafety</w:t>
      </w:r>
      <w:r w:rsidRPr="00AC2D20">
        <w:rPr>
          <w:spacing w:val="-7"/>
          <w:szCs w:val="20"/>
        </w:rPr>
        <w:t xml:space="preserve"> </w:t>
      </w:r>
      <w:r w:rsidRPr="00AC2D20">
        <w:rPr>
          <w:szCs w:val="20"/>
        </w:rPr>
        <w:t>procedures</w:t>
      </w:r>
      <w:r w:rsidRPr="00AC2D20">
        <w:rPr>
          <w:spacing w:val="-4"/>
          <w:szCs w:val="20"/>
        </w:rPr>
        <w:t xml:space="preserve"> </w:t>
      </w:r>
      <w:r w:rsidRPr="00AC2D20">
        <w:rPr>
          <w:szCs w:val="20"/>
        </w:rPr>
        <w:t>which</w:t>
      </w:r>
      <w:r w:rsidRPr="00AC2D20">
        <w:rPr>
          <w:spacing w:val="-2"/>
          <w:szCs w:val="20"/>
        </w:rPr>
        <w:t xml:space="preserve"> </w:t>
      </w:r>
      <w:r w:rsidRPr="00AC2D20">
        <w:rPr>
          <w:szCs w:val="20"/>
        </w:rPr>
        <w:t>relate</w:t>
      </w:r>
      <w:r w:rsidRPr="00AC2D20">
        <w:rPr>
          <w:spacing w:val="-5"/>
          <w:szCs w:val="20"/>
        </w:rPr>
        <w:t xml:space="preserve"> </w:t>
      </w:r>
      <w:r w:rsidRPr="00AC2D20">
        <w:rPr>
          <w:szCs w:val="20"/>
        </w:rPr>
        <w:t>to</w:t>
      </w:r>
      <w:r w:rsidRPr="00AC2D20">
        <w:rPr>
          <w:spacing w:val="-6"/>
          <w:szCs w:val="20"/>
        </w:rPr>
        <w:t xml:space="preserve"> </w:t>
      </w:r>
      <w:r w:rsidRPr="00AC2D20">
        <w:rPr>
          <w:szCs w:val="20"/>
        </w:rPr>
        <w:t>the</w:t>
      </w:r>
      <w:r w:rsidRPr="00AC2D20">
        <w:rPr>
          <w:spacing w:val="-2"/>
          <w:szCs w:val="20"/>
        </w:rPr>
        <w:t xml:space="preserve"> </w:t>
      </w:r>
      <w:r w:rsidRPr="00AC2D20">
        <w:rPr>
          <w:spacing w:val="-4"/>
          <w:szCs w:val="20"/>
        </w:rPr>
        <w:t>work</w:t>
      </w:r>
    </w:p>
    <w:p w14:paraId="2B366AAE" w14:textId="165C8E21" w:rsidR="00704FFE" w:rsidRPr="00AC2D20" w:rsidRDefault="00704FFE" w:rsidP="00704FFE">
      <w:pPr>
        <w:pStyle w:val="ListParagraph"/>
        <w:widowControl w:val="0"/>
        <w:numPr>
          <w:ilvl w:val="2"/>
          <w:numId w:val="2"/>
        </w:numPr>
        <w:tabs>
          <w:tab w:val="left" w:pos="1223"/>
        </w:tabs>
        <w:autoSpaceDE w:val="0"/>
        <w:autoSpaceDN w:val="0"/>
        <w:spacing w:before="24"/>
        <w:ind w:left="1223"/>
        <w:contextualSpacing w:val="0"/>
        <w:jc w:val="left"/>
        <w:rPr>
          <w:szCs w:val="20"/>
        </w:rPr>
      </w:pPr>
      <w:r w:rsidRPr="00AC2D20">
        <w:rPr>
          <w:szCs w:val="20"/>
        </w:rPr>
        <w:t>Immediately</w:t>
      </w:r>
      <w:r w:rsidRPr="00AC2D20">
        <w:rPr>
          <w:spacing w:val="-6"/>
          <w:szCs w:val="20"/>
        </w:rPr>
        <w:t xml:space="preserve"> </w:t>
      </w:r>
      <w:r w:rsidRPr="00AC2D20">
        <w:rPr>
          <w:szCs w:val="20"/>
        </w:rPr>
        <w:t>reporting</w:t>
      </w:r>
      <w:r w:rsidRPr="00AC2D20">
        <w:rPr>
          <w:spacing w:val="-3"/>
          <w:szCs w:val="20"/>
        </w:rPr>
        <w:t xml:space="preserve"> </w:t>
      </w:r>
      <w:r w:rsidRPr="00AC2D20">
        <w:rPr>
          <w:szCs w:val="20"/>
        </w:rPr>
        <w:t>any</w:t>
      </w:r>
      <w:r w:rsidRPr="00AC2D20">
        <w:rPr>
          <w:spacing w:val="-4"/>
          <w:szCs w:val="20"/>
        </w:rPr>
        <w:t xml:space="preserve"> </w:t>
      </w:r>
      <w:r w:rsidRPr="00AC2D20">
        <w:rPr>
          <w:szCs w:val="20"/>
        </w:rPr>
        <w:t>malfunction</w:t>
      </w:r>
      <w:r w:rsidRPr="00AC2D20">
        <w:rPr>
          <w:spacing w:val="-4"/>
          <w:szCs w:val="20"/>
        </w:rPr>
        <w:t xml:space="preserve"> </w:t>
      </w:r>
      <w:r w:rsidRPr="00AC2D20">
        <w:rPr>
          <w:szCs w:val="20"/>
        </w:rPr>
        <w:t>or</w:t>
      </w:r>
      <w:r w:rsidRPr="00AC2D20">
        <w:rPr>
          <w:spacing w:val="-5"/>
          <w:szCs w:val="20"/>
        </w:rPr>
        <w:t xml:space="preserve"> </w:t>
      </w:r>
      <w:r w:rsidRPr="00AC2D20">
        <w:rPr>
          <w:szCs w:val="20"/>
        </w:rPr>
        <w:t>failure</w:t>
      </w:r>
      <w:r w:rsidRPr="00AC2D20">
        <w:rPr>
          <w:spacing w:val="-5"/>
          <w:szCs w:val="20"/>
        </w:rPr>
        <w:t xml:space="preserve"> </w:t>
      </w:r>
      <w:r w:rsidRPr="00AC2D20">
        <w:rPr>
          <w:szCs w:val="20"/>
        </w:rPr>
        <w:t>in</w:t>
      </w:r>
      <w:r w:rsidRPr="00AC2D20">
        <w:rPr>
          <w:spacing w:val="-2"/>
          <w:szCs w:val="20"/>
        </w:rPr>
        <w:t xml:space="preserve"> </w:t>
      </w:r>
      <w:r w:rsidRPr="00AC2D20">
        <w:rPr>
          <w:szCs w:val="20"/>
        </w:rPr>
        <w:t>any</w:t>
      </w:r>
      <w:r w:rsidRPr="00AC2D20">
        <w:rPr>
          <w:spacing w:val="-3"/>
          <w:szCs w:val="20"/>
        </w:rPr>
        <w:t xml:space="preserve"> </w:t>
      </w:r>
      <w:r w:rsidRPr="00AC2D20">
        <w:rPr>
          <w:spacing w:val="-2"/>
          <w:szCs w:val="20"/>
        </w:rPr>
        <w:t>controls</w:t>
      </w:r>
      <w:r w:rsidR="00976534">
        <w:rPr>
          <w:spacing w:val="-2"/>
          <w:szCs w:val="20"/>
        </w:rPr>
        <w:t xml:space="preserve"> to their supervisor or manager</w:t>
      </w:r>
    </w:p>
    <w:p w14:paraId="61A76A41" w14:textId="77777777" w:rsidR="00704FFE" w:rsidRPr="00AC2D20" w:rsidRDefault="00704FFE" w:rsidP="00704FFE">
      <w:pPr>
        <w:pStyle w:val="ListParagraph"/>
        <w:widowControl w:val="0"/>
        <w:numPr>
          <w:ilvl w:val="2"/>
          <w:numId w:val="2"/>
        </w:numPr>
        <w:tabs>
          <w:tab w:val="left" w:pos="1223"/>
        </w:tabs>
        <w:autoSpaceDE w:val="0"/>
        <w:autoSpaceDN w:val="0"/>
        <w:spacing w:before="24" w:line="256" w:lineRule="auto"/>
        <w:ind w:left="1223" w:right="146"/>
        <w:contextualSpacing w:val="0"/>
        <w:rPr>
          <w:szCs w:val="20"/>
        </w:rPr>
      </w:pPr>
      <w:r w:rsidRPr="00AC2D20">
        <w:rPr>
          <w:szCs w:val="20"/>
        </w:rPr>
        <w:t>Immediately reporting to their supervisor or Local Biosafety Officer any incident involving bioagents or GMOs</w:t>
      </w:r>
    </w:p>
    <w:p w14:paraId="6EA41FAB" w14:textId="77777777" w:rsidR="00704FFE" w:rsidRPr="00AC2D20" w:rsidRDefault="00704FFE" w:rsidP="00704FFE">
      <w:pPr>
        <w:pStyle w:val="ListParagraph"/>
        <w:widowControl w:val="0"/>
        <w:numPr>
          <w:ilvl w:val="2"/>
          <w:numId w:val="2"/>
        </w:numPr>
        <w:tabs>
          <w:tab w:val="left" w:pos="1223"/>
        </w:tabs>
        <w:autoSpaceDE w:val="0"/>
        <w:autoSpaceDN w:val="0"/>
        <w:spacing w:before="4" w:line="259" w:lineRule="auto"/>
        <w:ind w:left="1223" w:right="145"/>
        <w:contextualSpacing w:val="0"/>
        <w:rPr>
          <w:szCs w:val="20"/>
        </w:rPr>
      </w:pPr>
      <w:r w:rsidRPr="00AC2D20">
        <w:rPr>
          <w:szCs w:val="20"/>
        </w:rPr>
        <w:t>Ensuring they are familiar with any emergency biosafety procedure implemented</w:t>
      </w:r>
      <w:r w:rsidRPr="00AC2D20">
        <w:rPr>
          <w:spacing w:val="40"/>
          <w:szCs w:val="20"/>
        </w:rPr>
        <w:t xml:space="preserve"> </w:t>
      </w:r>
      <w:r w:rsidRPr="00AC2D20">
        <w:rPr>
          <w:szCs w:val="20"/>
        </w:rPr>
        <w:t>in their work area</w:t>
      </w:r>
    </w:p>
    <w:p w14:paraId="295FDE15" w14:textId="77777777" w:rsidR="00704FFE" w:rsidRPr="00AC2D20" w:rsidRDefault="00704FFE" w:rsidP="00704FFE">
      <w:pPr>
        <w:pStyle w:val="ListParagraph"/>
        <w:widowControl w:val="0"/>
        <w:numPr>
          <w:ilvl w:val="2"/>
          <w:numId w:val="2"/>
        </w:numPr>
        <w:tabs>
          <w:tab w:val="left" w:pos="1223"/>
        </w:tabs>
        <w:autoSpaceDE w:val="0"/>
        <w:autoSpaceDN w:val="0"/>
        <w:spacing w:before="0" w:line="259" w:lineRule="auto"/>
        <w:ind w:left="1223" w:right="136"/>
        <w:contextualSpacing w:val="0"/>
        <w:rPr>
          <w:szCs w:val="20"/>
        </w:rPr>
      </w:pPr>
      <w:r w:rsidRPr="00AC2D20">
        <w:rPr>
          <w:szCs w:val="20"/>
        </w:rPr>
        <w:t xml:space="preserve">Ensuring that risk assessments and associated procedures reflect current practices and where necessary if changes are identified </w:t>
      </w:r>
      <w:proofErr w:type="gramStart"/>
      <w:r w:rsidRPr="00AC2D20">
        <w:rPr>
          <w:szCs w:val="20"/>
        </w:rPr>
        <w:t>then</w:t>
      </w:r>
      <w:proofErr w:type="gramEnd"/>
      <w:r w:rsidRPr="00AC2D20">
        <w:rPr>
          <w:szCs w:val="20"/>
        </w:rPr>
        <w:t xml:space="preserve"> these are raised and communicated to all concerned</w:t>
      </w:r>
    </w:p>
    <w:p w14:paraId="0E431ECA" w14:textId="4D6E5670" w:rsidR="00136114" w:rsidRDefault="00136114" w:rsidP="00136114">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6" w:name="_Toc203115818"/>
      <w:r>
        <w:rPr>
          <w:rFonts w:asciiTheme="majorHAnsi" w:eastAsiaTheme="majorEastAsia" w:hAnsiTheme="majorHAnsi" w:cstheme="majorBidi"/>
          <w:color w:val="243F60" w:themeColor="accent1" w:themeShade="7F"/>
          <w:sz w:val="24"/>
          <w:szCs w:val="24"/>
        </w:rPr>
        <w:lastRenderedPageBreak/>
        <w:t>University Biosafety Officer</w:t>
      </w:r>
      <w:bookmarkEnd w:id="16"/>
    </w:p>
    <w:p w14:paraId="2402CD56" w14:textId="77777777" w:rsidR="00704FFE" w:rsidRDefault="00704FFE" w:rsidP="00571E46">
      <w:pPr>
        <w:pStyle w:val="BodyText"/>
        <w:spacing w:before="79"/>
        <w:ind w:left="0" w:hanging="12"/>
      </w:pPr>
      <w:r>
        <w:t>The</w:t>
      </w:r>
      <w:r>
        <w:rPr>
          <w:spacing w:val="-3"/>
        </w:rPr>
        <w:t xml:space="preserve"> </w:t>
      </w:r>
      <w:r>
        <w:t>University</w:t>
      </w:r>
      <w:r>
        <w:rPr>
          <w:spacing w:val="-3"/>
        </w:rPr>
        <w:t xml:space="preserve"> </w:t>
      </w:r>
      <w:r>
        <w:t>Biosafety</w:t>
      </w:r>
      <w:r>
        <w:rPr>
          <w:spacing w:val="-6"/>
        </w:rPr>
        <w:t xml:space="preserve"> </w:t>
      </w:r>
      <w:r>
        <w:t>Officer</w:t>
      </w:r>
      <w:r>
        <w:rPr>
          <w:spacing w:val="-3"/>
        </w:rPr>
        <w:t xml:space="preserve"> </w:t>
      </w:r>
      <w:r>
        <w:t>(UBSO) is</w:t>
      </w:r>
      <w:r>
        <w:rPr>
          <w:spacing w:val="-3"/>
        </w:rPr>
        <w:t xml:space="preserve"> </w:t>
      </w:r>
      <w:r>
        <w:t>responsible</w:t>
      </w:r>
      <w:r>
        <w:rPr>
          <w:spacing w:val="-3"/>
        </w:rPr>
        <w:t xml:space="preserve"> </w:t>
      </w:r>
      <w:r>
        <w:rPr>
          <w:spacing w:val="-4"/>
        </w:rPr>
        <w:t>for:</w:t>
      </w:r>
    </w:p>
    <w:p w14:paraId="1A8C15F1" w14:textId="77777777" w:rsidR="00704FFE" w:rsidRPr="00AC2D20" w:rsidRDefault="00704FFE" w:rsidP="00704FFE">
      <w:pPr>
        <w:pStyle w:val="ListParagraph"/>
        <w:widowControl w:val="0"/>
        <w:numPr>
          <w:ilvl w:val="2"/>
          <w:numId w:val="2"/>
        </w:numPr>
        <w:tabs>
          <w:tab w:val="left" w:pos="1222"/>
        </w:tabs>
        <w:autoSpaceDE w:val="0"/>
        <w:autoSpaceDN w:val="0"/>
        <w:spacing w:before="79"/>
        <w:ind w:left="1222" w:hanging="359"/>
        <w:contextualSpacing w:val="0"/>
        <w:rPr>
          <w:szCs w:val="20"/>
        </w:rPr>
      </w:pPr>
      <w:r w:rsidRPr="00AC2D20">
        <w:rPr>
          <w:szCs w:val="20"/>
        </w:rPr>
        <w:t>Liaising</w:t>
      </w:r>
      <w:r w:rsidRPr="00AC2D20">
        <w:rPr>
          <w:spacing w:val="-3"/>
          <w:szCs w:val="20"/>
        </w:rPr>
        <w:t xml:space="preserve"> </w:t>
      </w:r>
      <w:r w:rsidRPr="00AC2D20">
        <w:rPr>
          <w:szCs w:val="20"/>
        </w:rPr>
        <w:t>with</w:t>
      </w:r>
      <w:r w:rsidRPr="00AC2D20">
        <w:rPr>
          <w:spacing w:val="-2"/>
          <w:szCs w:val="20"/>
        </w:rPr>
        <w:t xml:space="preserve"> </w:t>
      </w:r>
      <w:r w:rsidRPr="00AC2D20">
        <w:rPr>
          <w:szCs w:val="20"/>
        </w:rPr>
        <w:t>the</w:t>
      </w:r>
      <w:r w:rsidRPr="00AC2D20">
        <w:rPr>
          <w:spacing w:val="-1"/>
          <w:szCs w:val="20"/>
        </w:rPr>
        <w:t xml:space="preserve"> </w:t>
      </w:r>
      <w:r w:rsidRPr="00AC2D20">
        <w:rPr>
          <w:szCs w:val="20"/>
        </w:rPr>
        <w:t>HSE</w:t>
      </w:r>
      <w:r w:rsidRPr="00AC2D20">
        <w:rPr>
          <w:spacing w:val="-4"/>
          <w:szCs w:val="20"/>
        </w:rPr>
        <w:t xml:space="preserve"> </w:t>
      </w:r>
      <w:r w:rsidRPr="00AC2D20">
        <w:rPr>
          <w:szCs w:val="20"/>
        </w:rPr>
        <w:t>on</w:t>
      </w:r>
      <w:r w:rsidRPr="00AC2D20">
        <w:rPr>
          <w:spacing w:val="-6"/>
          <w:szCs w:val="20"/>
        </w:rPr>
        <w:t xml:space="preserve"> </w:t>
      </w:r>
      <w:r w:rsidRPr="00AC2D20">
        <w:rPr>
          <w:szCs w:val="20"/>
        </w:rPr>
        <w:t>matters</w:t>
      </w:r>
      <w:r w:rsidRPr="00AC2D20">
        <w:rPr>
          <w:spacing w:val="-3"/>
          <w:szCs w:val="20"/>
        </w:rPr>
        <w:t xml:space="preserve"> </w:t>
      </w:r>
      <w:r w:rsidRPr="00AC2D20">
        <w:rPr>
          <w:szCs w:val="20"/>
        </w:rPr>
        <w:t>pertaining</w:t>
      </w:r>
      <w:r w:rsidRPr="00AC2D20">
        <w:rPr>
          <w:spacing w:val="-5"/>
          <w:szCs w:val="20"/>
        </w:rPr>
        <w:t xml:space="preserve"> </w:t>
      </w:r>
      <w:r w:rsidRPr="00AC2D20">
        <w:rPr>
          <w:szCs w:val="20"/>
        </w:rPr>
        <w:t>to</w:t>
      </w:r>
      <w:r w:rsidRPr="00AC2D20">
        <w:rPr>
          <w:spacing w:val="-5"/>
          <w:szCs w:val="20"/>
        </w:rPr>
        <w:t xml:space="preserve"> </w:t>
      </w:r>
      <w:r w:rsidRPr="00AC2D20">
        <w:rPr>
          <w:szCs w:val="20"/>
        </w:rPr>
        <w:t>biological</w:t>
      </w:r>
      <w:r w:rsidRPr="00AC2D20">
        <w:rPr>
          <w:spacing w:val="-3"/>
          <w:szCs w:val="20"/>
        </w:rPr>
        <w:t xml:space="preserve"> </w:t>
      </w:r>
      <w:r w:rsidRPr="00AC2D20">
        <w:rPr>
          <w:szCs w:val="20"/>
        </w:rPr>
        <w:t>safety</w:t>
      </w:r>
      <w:r w:rsidRPr="00AC2D20">
        <w:rPr>
          <w:spacing w:val="-3"/>
          <w:szCs w:val="20"/>
        </w:rPr>
        <w:t xml:space="preserve"> </w:t>
      </w:r>
      <w:r w:rsidRPr="00AC2D20">
        <w:rPr>
          <w:szCs w:val="20"/>
        </w:rPr>
        <w:t>and</w:t>
      </w:r>
      <w:r w:rsidRPr="00AC2D20">
        <w:rPr>
          <w:spacing w:val="-1"/>
          <w:szCs w:val="20"/>
        </w:rPr>
        <w:t xml:space="preserve"> </w:t>
      </w:r>
      <w:r w:rsidRPr="00AC2D20">
        <w:rPr>
          <w:spacing w:val="-4"/>
          <w:szCs w:val="20"/>
        </w:rPr>
        <w:t>GMOs</w:t>
      </w:r>
    </w:p>
    <w:p w14:paraId="0B326CC9" w14:textId="77777777" w:rsidR="00704FFE" w:rsidRPr="00AC2D20" w:rsidRDefault="00704FFE" w:rsidP="00704FFE">
      <w:pPr>
        <w:pStyle w:val="ListParagraph"/>
        <w:widowControl w:val="0"/>
        <w:numPr>
          <w:ilvl w:val="2"/>
          <w:numId w:val="2"/>
        </w:numPr>
        <w:tabs>
          <w:tab w:val="left" w:pos="1223"/>
        </w:tabs>
        <w:autoSpaceDE w:val="0"/>
        <w:autoSpaceDN w:val="0"/>
        <w:spacing w:before="23" w:line="259" w:lineRule="auto"/>
        <w:ind w:left="1223" w:right="142"/>
        <w:contextualSpacing w:val="0"/>
        <w:rPr>
          <w:szCs w:val="20"/>
        </w:rPr>
      </w:pPr>
      <w:r w:rsidRPr="00AC2D20">
        <w:rPr>
          <w:szCs w:val="20"/>
        </w:rPr>
        <w:t>Liaising with the HSE with regards to notifications required under the Genetically Modified Organisms (Contained Use) Regulations and Control of Substances Hazardous to Health Regulations</w:t>
      </w:r>
    </w:p>
    <w:p w14:paraId="28841145" w14:textId="203AB5A7" w:rsidR="00704FFE" w:rsidRPr="00AC2D20" w:rsidRDefault="00704FFE" w:rsidP="00704FFE">
      <w:pPr>
        <w:pStyle w:val="ListParagraph"/>
        <w:widowControl w:val="0"/>
        <w:numPr>
          <w:ilvl w:val="2"/>
          <w:numId w:val="2"/>
        </w:numPr>
        <w:tabs>
          <w:tab w:val="left" w:pos="1223"/>
        </w:tabs>
        <w:autoSpaceDE w:val="0"/>
        <w:autoSpaceDN w:val="0"/>
        <w:spacing w:before="0" w:line="256" w:lineRule="auto"/>
        <w:ind w:left="1223" w:right="142"/>
        <w:contextualSpacing w:val="0"/>
        <w:rPr>
          <w:szCs w:val="20"/>
        </w:rPr>
      </w:pPr>
      <w:r w:rsidRPr="00AC2D20">
        <w:rPr>
          <w:szCs w:val="20"/>
        </w:rPr>
        <w:t>Providing oversight of the work conducted within the Containment Level 3 suite and review</w:t>
      </w:r>
      <w:r w:rsidR="008F22CE">
        <w:rPr>
          <w:szCs w:val="20"/>
        </w:rPr>
        <w:t>ing</w:t>
      </w:r>
      <w:r w:rsidRPr="00AC2D20">
        <w:rPr>
          <w:szCs w:val="20"/>
        </w:rPr>
        <w:t xml:space="preserve"> reports of maintenance activities conducted within the CL3 suite</w:t>
      </w:r>
    </w:p>
    <w:p w14:paraId="6025FF8B" w14:textId="5EE3B68B" w:rsidR="00704FFE" w:rsidRPr="00AC2D20" w:rsidRDefault="00704FFE" w:rsidP="00704FFE">
      <w:pPr>
        <w:pStyle w:val="ListParagraph"/>
        <w:widowControl w:val="0"/>
        <w:numPr>
          <w:ilvl w:val="2"/>
          <w:numId w:val="2"/>
        </w:numPr>
        <w:tabs>
          <w:tab w:val="left" w:pos="1223"/>
        </w:tabs>
        <w:autoSpaceDE w:val="0"/>
        <w:autoSpaceDN w:val="0"/>
        <w:spacing w:before="24" w:line="259" w:lineRule="auto"/>
        <w:ind w:left="1223" w:right="144"/>
        <w:contextualSpacing w:val="0"/>
        <w:rPr>
          <w:szCs w:val="20"/>
        </w:rPr>
      </w:pPr>
      <w:r w:rsidRPr="00AC2D20">
        <w:rPr>
          <w:szCs w:val="20"/>
        </w:rPr>
        <w:t>Act</w:t>
      </w:r>
      <w:r w:rsidR="008F22CE">
        <w:rPr>
          <w:szCs w:val="20"/>
        </w:rPr>
        <w:t>ing</w:t>
      </w:r>
      <w:r w:rsidRPr="00AC2D20">
        <w:rPr>
          <w:szCs w:val="20"/>
        </w:rPr>
        <w:t xml:space="preserve"> as a focal point for queries relating to use of bioagents / GMOs within the </w:t>
      </w:r>
      <w:r w:rsidRPr="00AC2D20">
        <w:rPr>
          <w:spacing w:val="-2"/>
          <w:szCs w:val="20"/>
        </w:rPr>
        <w:t>University</w:t>
      </w:r>
    </w:p>
    <w:p w14:paraId="2CC953BC" w14:textId="3206D565" w:rsidR="00704FFE" w:rsidRPr="00AC2D20" w:rsidRDefault="00704FFE" w:rsidP="00704FFE">
      <w:pPr>
        <w:pStyle w:val="ListParagraph"/>
        <w:widowControl w:val="0"/>
        <w:numPr>
          <w:ilvl w:val="2"/>
          <w:numId w:val="2"/>
        </w:numPr>
        <w:tabs>
          <w:tab w:val="left" w:pos="1222"/>
        </w:tabs>
        <w:autoSpaceDE w:val="0"/>
        <w:autoSpaceDN w:val="0"/>
        <w:spacing w:before="0" w:line="291" w:lineRule="exact"/>
        <w:ind w:left="1222" w:hanging="359"/>
        <w:contextualSpacing w:val="0"/>
        <w:rPr>
          <w:szCs w:val="20"/>
        </w:rPr>
      </w:pPr>
      <w:r w:rsidRPr="00AC2D20">
        <w:rPr>
          <w:szCs w:val="20"/>
        </w:rPr>
        <w:t>Carrying</w:t>
      </w:r>
      <w:r w:rsidRPr="00AC2D20">
        <w:rPr>
          <w:spacing w:val="-3"/>
          <w:szCs w:val="20"/>
        </w:rPr>
        <w:t xml:space="preserve"> </w:t>
      </w:r>
      <w:r w:rsidRPr="00AC2D20">
        <w:rPr>
          <w:szCs w:val="20"/>
        </w:rPr>
        <w:t>out</w:t>
      </w:r>
      <w:r w:rsidRPr="00AC2D20">
        <w:rPr>
          <w:spacing w:val="-2"/>
          <w:szCs w:val="20"/>
        </w:rPr>
        <w:t xml:space="preserve"> </w:t>
      </w:r>
      <w:r w:rsidR="0095640D" w:rsidRPr="00AC2D20">
        <w:rPr>
          <w:spacing w:val="-2"/>
          <w:szCs w:val="20"/>
        </w:rPr>
        <w:t xml:space="preserve">at a minimum an </w:t>
      </w:r>
      <w:r w:rsidRPr="00AC2D20">
        <w:rPr>
          <w:szCs w:val="20"/>
        </w:rPr>
        <w:t>annual</w:t>
      </w:r>
      <w:r w:rsidRPr="00AC2D20">
        <w:rPr>
          <w:spacing w:val="-2"/>
          <w:szCs w:val="20"/>
        </w:rPr>
        <w:t xml:space="preserve"> </w:t>
      </w:r>
      <w:r w:rsidRPr="00AC2D20">
        <w:rPr>
          <w:szCs w:val="20"/>
        </w:rPr>
        <w:t>audit</w:t>
      </w:r>
      <w:r w:rsidRPr="00AC2D20">
        <w:rPr>
          <w:spacing w:val="-2"/>
          <w:szCs w:val="20"/>
        </w:rPr>
        <w:t xml:space="preserve"> </w:t>
      </w:r>
      <w:r w:rsidRPr="00AC2D20">
        <w:rPr>
          <w:szCs w:val="20"/>
        </w:rPr>
        <w:t>of</w:t>
      </w:r>
      <w:r w:rsidRPr="00AC2D20">
        <w:rPr>
          <w:spacing w:val="-4"/>
          <w:szCs w:val="20"/>
        </w:rPr>
        <w:t xml:space="preserve"> </w:t>
      </w:r>
      <w:r w:rsidRPr="00AC2D20">
        <w:rPr>
          <w:szCs w:val="20"/>
        </w:rPr>
        <w:t>the</w:t>
      </w:r>
      <w:r w:rsidRPr="00AC2D20">
        <w:rPr>
          <w:spacing w:val="-5"/>
          <w:szCs w:val="20"/>
        </w:rPr>
        <w:t xml:space="preserve"> </w:t>
      </w:r>
      <w:r w:rsidRPr="00AC2D20">
        <w:rPr>
          <w:szCs w:val="20"/>
        </w:rPr>
        <w:t>CL3</w:t>
      </w:r>
      <w:r w:rsidRPr="00AC2D20">
        <w:rPr>
          <w:spacing w:val="-1"/>
          <w:szCs w:val="20"/>
        </w:rPr>
        <w:t xml:space="preserve"> </w:t>
      </w:r>
      <w:r w:rsidRPr="00AC2D20">
        <w:rPr>
          <w:spacing w:val="-4"/>
          <w:szCs w:val="20"/>
        </w:rPr>
        <w:t>suite</w:t>
      </w:r>
    </w:p>
    <w:p w14:paraId="2FDA637E" w14:textId="77777777" w:rsidR="009567BF" w:rsidRDefault="009567BF" w:rsidP="009567BF">
      <w:pPr>
        <w:widowControl w:val="0"/>
        <w:tabs>
          <w:tab w:val="left" w:pos="1223"/>
        </w:tabs>
        <w:autoSpaceDE w:val="0"/>
        <w:autoSpaceDN w:val="0"/>
        <w:spacing w:before="24" w:line="259" w:lineRule="auto"/>
        <w:ind w:right="144"/>
        <w:rPr>
          <w:szCs w:val="20"/>
        </w:rPr>
      </w:pPr>
    </w:p>
    <w:p w14:paraId="529AC9A2" w14:textId="77777777" w:rsidR="009567BF" w:rsidRPr="009567BF" w:rsidRDefault="009567BF" w:rsidP="009567BF">
      <w:pPr>
        <w:widowControl w:val="0"/>
        <w:tabs>
          <w:tab w:val="left" w:pos="1223"/>
        </w:tabs>
        <w:autoSpaceDE w:val="0"/>
        <w:autoSpaceDN w:val="0"/>
        <w:spacing w:before="24" w:line="259" w:lineRule="auto"/>
        <w:ind w:right="144"/>
        <w:rPr>
          <w:szCs w:val="20"/>
        </w:rPr>
      </w:pPr>
    </w:p>
    <w:p w14:paraId="3764C0FB" w14:textId="6FAF76E3" w:rsidR="00704FFE" w:rsidRPr="00A97766" w:rsidRDefault="009567BF" w:rsidP="00A97766">
      <w:pPr>
        <w:keepNext/>
        <w:keepLines/>
        <w:numPr>
          <w:ilvl w:val="0"/>
          <w:numId w:val="1"/>
        </w:numPr>
        <w:spacing w:before="240" w:after="160" w:line="259" w:lineRule="auto"/>
        <w:jc w:val="left"/>
        <w:outlineLvl w:val="0"/>
        <w:rPr>
          <w:rFonts w:eastAsia="Times New Roman" w:cstheme="minorHAnsi"/>
          <w:color w:val="2F5496"/>
          <w:sz w:val="32"/>
          <w:szCs w:val="32"/>
        </w:rPr>
      </w:pPr>
      <w:bookmarkStart w:id="17" w:name="_Toc203115819"/>
      <w:r w:rsidRPr="00A97766">
        <w:rPr>
          <w:rFonts w:eastAsia="Times New Roman" w:cstheme="minorHAnsi"/>
          <w:color w:val="2F5496"/>
          <w:sz w:val="32"/>
          <w:szCs w:val="32"/>
        </w:rPr>
        <w:t>Arrangements</w:t>
      </w:r>
      <w:bookmarkEnd w:id="17"/>
    </w:p>
    <w:p w14:paraId="76F50084" w14:textId="4976BF35" w:rsidR="009567BF" w:rsidRDefault="009567BF" w:rsidP="009567BF">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8" w:name="_Toc203115820"/>
      <w:r>
        <w:rPr>
          <w:rFonts w:asciiTheme="majorHAnsi" w:eastAsiaTheme="majorEastAsia" w:hAnsiTheme="majorHAnsi" w:cstheme="majorBidi"/>
          <w:color w:val="243F60" w:themeColor="accent1" w:themeShade="7F"/>
          <w:sz w:val="24"/>
          <w:szCs w:val="24"/>
        </w:rPr>
        <w:t>Risk assessments</w:t>
      </w:r>
      <w:bookmarkEnd w:id="18"/>
    </w:p>
    <w:p w14:paraId="4E0DC40B" w14:textId="47632081" w:rsidR="009C2163" w:rsidRDefault="009567BF" w:rsidP="009C2163">
      <w:pPr>
        <w:ind w:left="0" w:firstLine="0"/>
        <w:jc w:val="left"/>
      </w:pPr>
      <w:r w:rsidRPr="009567BF">
        <w:t xml:space="preserve">All work </w:t>
      </w:r>
      <w:r>
        <w:t>with bioagents</w:t>
      </w:r>
      <w:r w:rsidR="009C70E6">
        <w:t xml:space="preserve"> and GMOs</w:t>
      </w:r>
      <w:r>
        <w:t xml:space="preserve"> must be risk assessed</w:t>
      </w:r>
      <w:r w:rsidR="009C70E6">
        <w:t xml:space="preserve"> to determine the appropriate risks, controls, emergency procedures and disposal. The ACDP</w:t>
      </w:r>
      <w:r w:rsidR="00571E46">
        <w:t xml:space="preserve"> has classified bioagents into 4 different categories depending on their level of risk of infection to humans</w:t>
      </w:r>
      <w:r w:rsidR="009C2163">
        <w:t>, how likely it is that the infection would spread to the community and the availability of any prophylaxis or treatment</w:t>
      </w:r>
      <w:r w:rsidR="00571E46">
        <w:t>.</w:t>
      </w:r>
      <w:r w:rsidR="009C2163">
        <w:t xml:space="preserve"> </w:t>
      </w:r>
      <w:r w:rsidR="00B3295E">
        <w:t xml:space="preserve">It is important that before work with bioagents commences, the ACDP approved list is referred to identify the minimum control measures that are required. </w:t>
      </w:r>
      <w:r w:rsidR="009C2163">
        <w:t>The hazard groups are:</w:t>
      </w:r>
    </w:p>
    <w:p w14:paraId="5FCCB5D7" w14:textId="4DA3D53B" w:rsidR="009C2163" w:rsidRDefault="009C2163" w:rsidP="009C2163">
      <w:pPr>
        <w:pStyle w:val="ListParagraph"/>
        <w:numPr>
          <w:ilvl w:val="0"/>
          <w:numId w:val="8"/>
        </w:numPr>
        <w:jc w:val="left"/>
      </w:pPr>
      <w:r>
        <w:t>Group 1 – Unlikely to cause human disease</w:t>
      </w:r>
    </w:p>
    <w:p w14:paraId="0218B6F7" w14:textId="1F1CDBD1" w:rsidR="009C2163" w:rsidRDefault="009C2163" w:rsidP="009C2163">
      <w:pPr>
        <w:pStyle w:val="ListParagraph"/>
        <w:numPr>
          <w:ilvl w:val="0"/>
          <w:numId w:val="8"/>
        </w:numPr>
        <w:jc w:val="left"/>
      </w:pPr>
      <w:r>
        <w:t>Group 2 – Can cause human disease and may be a hazard to employees; it is unlikely to spread to the community and there is usually effective prophylaxis</w:t>
      </w:r>
    </w:p>
    <w:p w14:paraId="242ED995" w14:textId="5F9BC60D" w:rsidR="009C2163" w:rsidRDefault="009C2163" w:rsidP="009C2163">
      <w:pPr>
        <w:pStyle w:val="ListParagraph"/>
        <w:numPr>
          <w:ilvl w:val="0"/>
          <w:numId w:val="8"/>
        </w:numPr>
        <w:jc w:val="left"/>
      </w:pPr>
      <w:r>
        <w:t>Group 3 – Can cause severe human disease and may be a serious hazard to employees; it may spread to the community, but there is usually effective prophylaxis or treatment available</w:t>
      </w:r>
    </w:p>
    <w:p w14:paraId="1B6CF5F2" w14:textId="42E46749" w:rsidR="009C2163" w:rsidRDefault="009C2163" w:rsidP="009C2163">
      <w:pPr>
        <w:pStyle w:val="ListParagraph"/>
        <w:numPr>
          <w:ilvl w:val="0"/>
          <w:numId w:val="8"/>
        </w:numPr>
        <w:jc w:val="left"/>
      </w:pPr>
      <w:r>
        <w:t>Group 4 - Causes severe human disease and is a serious hazard to employees; it is likely spread to the community and there is usually no effective prophylaxis or treatment available</w:t>
      </w:r>
    </w:p>
    <w:p w14:paraId="3780B9FE" w14:textId="77777777" w:rsidR="00B3295E" w:rsidRDefault="00B3295E" w:rsidP="009C2163">
      <w:pPr>
        <w:ind w:left="0" w:firstLine="0"/>
        <w:jc w:val="left"/>
      </w:pPr>
    </w:p>
    <w:p w14:paraId="6BCE8EAF" w14:textId="3340F248" w:rsidR="002539BB" w:rsidRDefault="00B3295E" w:rsidP="002539BB">
      <w:pPr>
        <w:ind w:left="0" w:firstLine="0"/>
        <w:jc w:val="left"/>
      </w:pPr>
      <w:r>
        <w:t xml:space="preserve">Within the COSHH Regulations, there is </w:t>
      </w:r>
      <w:proofErr w:type="gramStart"/>
      <w:r>
        <w:t>particular reference</w:t>
      </w:r>
      <w:proofErr w:type="gramEnd"/>
      <w:r>
        <w:t xml:space="preserve"> to specific control measures for laboratories and animal rooms to adequately control the potential exposure to bioagents</w:t>
      </w:r>
      <w:r w:rsidR="002539BB">
        <w:t>, these being identified in Part II of Schedule 3 (Additional provisions relating to work with biological agents). These are defined as Containment Levels (CL) and consist of 3 levels, CL2, CL3 and CL4. The minimum Containment Level for the different Hazard Groups are:</w:t>
      </w:r>
    </w:p>
    <w:p w14:paraId="32784EC2" w14:textId="0CC21084" w:rsidR="002539BB" w:rsidRDefault="002539BB" w:rsidP="002539BB">
      <w:pPr>
        <w:pStyle w:val="ListParagraph"/>
        <w:numPr>
          <w:ilvl w:val="0"/>
          <w:numId w:val="10"/>
        </w:numPr>
        <w:jc w:val="left"/>
      </w:pPr>
      <w:r>
        <w:t>CL2 for activities which involve working with a HG2 bioagent</w:t>
      </w:r>
    </w:p>
    <w:p w14:paraId="04AAB1FF" w14:textId="23B2F098" w:rsidR="002539BB" w:rsidRDefault="002539BB" w:rsidP="002539BB">
      <w:pPr>
        <w:pStyle w:val="ListParagraph"/>
        <w:numPr>
          <w:ilvl w:val="0"/>
          <w:numId w:val="10"/>
        </w:numPr>
        <w:jc w:val="left"/>
      </w:pPr>
      <w:r>
        <w:t>CL3 for activities which involve working with a HG3 bioagent</w:t>
      </w:r>
    </w:p>
    <w:p w14:paraId="70B51F3A" w14:textId="78B78ED5" w:rsidR="002539BB" w:rsidRDefault="002539BB" w:rsidP="002539BB">
      <w:pPr>
        <w:pStyle w:val="ListParagraph"/>
        <w:numPr>
          <w:ilvl w:val="0"/>
          <w:numId w:val="10"/>
        </w:numPr>
        <w:jc w:val="left"/>
      </w:pPr>
      <w:r>
        <w:t>CL4 for activities which involve working with a HG4 bioagent</w:t>
      </w:r>
    </w:p>
    <w:p w14:paraId="169EF098" w14:textId="5DA9F8BA" w:rsidR="002539BB" w:rsidRDefault="002539BB" w:rsidP="002539BB">
      <w:pPr>
        <w:ind w:left="0" w:firstLine="0"/>
        <w:jc w:val="left"/>
      </w:pPr>
    </w:p>
    <w:p w14:paraId="013E0B01" w14:textId="2913EB61" w:rsidR="002539BB" w:rsidRDefault="002539BB" w:rsidP="002539BB">
      <w:pPr>
        <w:ind w:left="0" w:firstLine="0"/>
        <w:jc w:val="left"/>
      </w:pPr>
      <w:r>
        <w:t>The University of Aberdeen can undertake work at a maximum of CL3 within specialised facilities at the Foresterhill campus.</w:t>
      </w:r>
      <w:r w:rsidR="00447EC6">
        <w:t xml:space="preserve"> </w:t>
      </w:r>
    </w:p>
    <w:p w14:paraId="24FA58D8" w14:textId="43E235B7" w:rsidR="00B3295E" w:rsidRPr="002539BB" w:rsidRDefault="002539BB" w:rsidP="009C2163">
      <w:pPr>
        <w:ind w:left="0" w:firstLine="0"/>
        <w:jc w:val="left"/>
      </w:pPr>
      <w:r>
        <w:lastRenderedPageBreak/>
        <w:t>For avoidance of doubt, any work that is conducted with samples from human origin (</w:t>
      </w:r>
      <w:r>
        <w:rPr>
          <w:i/>
          <w:iCs/>
        </w:rPr>
        <w:t>e.g.</w:t>
      </w:r>
      <w:r>
        <w:t xml:space="preserve"> blood, serum, tissues, stool samples, saliva, </w:t>
      </w:r>
      <w:r>
        <w:rPr>
          <w:i/>
          <w:iCs/>
        </w:rPr>
        <w:t>etc.</w:t>
      </w:r>
      <w:r>
        <w:t xml:space="preserve">) </w:t>
      </w:r>
      <w:r>
        <w:rPr>
          <w:b/>
          <w:bCs/>
        </w:rPr>
        <w:t>must</w:t>
      </w:r>
      <w:r>
        <w:t xml:space="preserve"> be conducted at </w:t>
      </w:r>
      <w:r w:rsidR="004D2BBF">
        <w:t xml:space="preserve">CL2 as a minimum. </w:t>
      </w:r>
    </w:p>
    <w:p w14:paraId="26D8F83B" w14:textId="00C34DB1" w:rsidR="00E14ECE" w:rsidRDefault="00E14ECE" w:rsidP="00E14ECE">
      <w:pPr>
        <w:ind w:left="0" w:firstLine="0"/>
        <w:jc w:val="left"/>
      </w:pPr>
      <w:r>
        <w:t>For the first use of any HG2 or HG3 WT activities doing deliberate work, there is a requirement to notify in writing the HSE at a minimum of 20 days in advance of any planned work. Deliberate work means carrying out activities such as propagation</w:t>
      </w:r>
      <w:r w:rsidR="00D94C9B">
        <w:t>, manipulation, etc.</w:t>
      </w:r>
    </w:p>
    <w:p w14:paraId="34021E2C" w14:textId="77777777" w:rsidR="00E14ECE" w:rsidRDefault="00E14ECE" w:rsidP="009C2163">
      <w:pPr>
        <w:ind w:left="0" w:firstLine="0"/>
        <w:jc w:val="left"/>
      </w:pPr>
    </w:p>
    <w:p w14:paraId="3F8B6B75" w14:textId="55D3A8DE" w:rsidR="003E7F88" w:rsidRDefault="003E7F88" w:rsidP="009C2163">
      <w:pPr>
        <w:ind w:left="0" w:firstLine="0"/>
        <w:jc w:val="left"/>
      </w:pPr>
      <w:r>
        <w:t>A risk assessment must be undertaken for any work with any GMO and this risk assessment must include any potential harm to both humans and the environment. The GMO(CU) regulations highlight that this assessment must include:</w:t>
      </w:r>
    </w:p>
    <w:p w14:paraId="66E6CAED" w14:textId="0126927A" w:rsidR="003E7F88" w:rsidRDefault="008B27C9" w:rsidP="003E7F88">
      <w:pPr>
        <w:pStyle w:val="ListParagraph"/>
        <w:numPr>
          <w:ilvl w:val="0"/>
          <w:numId w:val="11"/>
        </w:numPr>
        <w:jc w:val="left"/>
      </w:pPr>
      <w:r>
        <w:t>Identification of any potential harmful effects</w:t>
      </w:r>
    </w:p>
    <w:p w14:paraId="5B2652C9" w14:textId="45BCE62B" w:rsidR="008B27C9" w:rsidRDefault="008B27C9" w:rsidP="003E7F88">
      <w:pPr>
        <w:pStyle w:val="ListParagraph"/>
        <w:numPr>
          <w:ilvl w:val="0"/>
          <w:numId w:val="11"/>
        </w:numPr>
        <w:jc w:val="left"/>
      </w:pPr>
      <w:r>
        <w:t>Characteristics of the proposed activity</w:t>
      </w:r>
    </w:p>
    <w:p w14:paraId="1E02A552" w14:textId="2888CAB5" w:rsidR="008B27C9" w:rsidRDefault="008B27C9" w:rsidP="003E7F88">
      <w:pPr>
        <w:pStyle w:val="ListParagraph"/>
        <w:numPr>
          <w:ilvl w:val="0"/>
          <w:numId w:val="11"/>
        </w:numPr>
        <w:jc w:val="left"/>
      </w:pPr>
      <w:r>
        <w:t>The severity of any potential harmful effects</w:t>
      </w:r>
    </w:p>
    <w:p w14:paraId="6B7E668A" w14:textId="39C358F9" w:rsidR="008B27C9" w:rsidRDefault="008B27C9" w:rsidP="003E7F88">
      <w:pPr>
        <w:pStyle w:val="ListParagraph"/>
        <w:numPr>
          <w:ilvl w:val="0"/>
          <w:numId w:val="11"/>
        </w:numPr>
        <w:jc w:val="left"/>
      </w:pPr>
      <w:r>
        <w:t xml:space="preserve">The likelihood of them occurring </w:t>
      </w:r>
    </w:p>
    <w:p w14:paraId="2786DF10" w14:textId="5706D5F5" w:rsidR="008B27C9" w:rsidRDefault="008B27C9" w:rsidP="003E7F88">
      <w:pPr>
        <w:pStyle w:val="ListParagraph"/>
        <w:numPr>
          <w:ilvl w:val="0"/>
          <w:numId w:val="11"/>
        </w:numPr>
        <w:jc w:val="left"/>
      </w:pPr>
      <w:r>
        <w:t>Disposal of waste and effluent</w:t>
      </w:r>
    </w:p>
    <w:p w14:paraId="32EE52DF" w14:textId="77777777" w:rsidR="00730C12" w:rsidRDefault="00730C12" w:rsidP="00DA12C8">
      <w:pPr>
        <w:ind w:left="0" w:firstLine="0"/>
        <w:jc w:val="left"/>
      </w:pPr>
    </w:p>
    <w:p w14:paraId="79BFBB9B" w14:textId="4C375065" w:rsidR="00DA12C8" w:rsidRDefault="00DA12C8" w:rsidP="00DA12C8">
      <w:pPr>
        <w:ind w:left="0" w:firstLine="0"/>
        <w:jc w:val="left"/>
      </w:pPr>
      <w:r>
        <w:t>All work with GMOs must be reviewed and approved by the corresponding Biological Safety Committee.</w:t>
      </w:r>
      <w:r w:rsidR="00D263A7">
        <w:t xml:space="preserve"> Following the assessment, the work to be conducted with </w:t>
      </w:r>
      <w:r w:rsidR="000248C0">
        <w:t>GMO must be assigned to an activity class</w:t>
      </w:r>
      <w:r w:rsidR="006F379D">
        <w:t xml:space="preserve"> as follows:</w:t>
      </w:r>
    </w:p>
    <w:p w14:paraId="788DB672" w14:textId="3BAD8C06" w:rsidR="006F379D" w:rsidRDefault="006F379D" w:rsidP="006F379D">
      <w:pPr>
        <w:pStyle w:val="ListParagraph"/>
        <w:numPr>
          <w:ilvl w:val="0"/>
          <w:numId w:val="12"/>
        </w:numPr>
        <w:jc w:val="left"/>
      </w:pPr>
      <w:r>
        <w:t>Class 1 – Contained use of no or negligible risk, for which containment level 1 is appropriate to protect human health and the environment</w:t>
      </w:r>
    </w:p>
    <w:p w14:paraId="684B0793" w14:textId="6EAFEC87" w:rsidR="006F379D" w:rsidRDefault="006F379D" w:rsidP="006F379D">
      <w:pPr>
        <w:pStyle w:val="ListParagraph"/>
        <w:numPr>
          <w:ilvl w:val="0"/>
          <w:numId w:val="12"/>
        </w:numPr>
        <w:jc w:val="left"/>
      </w:pPr>
      <w:r>
        <w:t>Class 2 – Contained use of low risk, for which containment level 2 is appropriate to protect human health and the environment</w:t>
      </w:r>
    </w:p>
    <w:p w14:paraId="4987E9F5" w14:textId="183139B5" w:rsidR="006F379D" w:rsidRDefault="006F379D" w:rsidP="006F379D">
      <w:pPr>
        <w:pStyle w:val="ListParagraph"/>
        <w:numPr>
          <w:ilvl w:val="0"/>
          <w:numId w:val="12"/>
        </w:numPr>
        <w:jc w:val="left"/>
      </w:pPr>
      <w:r>
        <w:t>Class 3 – Contained use of moderate risk, for which containment level 3 is appropriate to protect human health and the environment</w:t>
      </w:r>
    </w:p>
    <w:p w14:paraId="37157CDD" w14:textId="7D6FC0C3" w:rsidR="006F379D" w:rsidRDefault="006F379D" w:rsidP="006F379D">
      <w:pPr>
        <w:pStyle w:val="ListParagraph"/>
        <w:numPr>
          <w:ilvl w:val="0"/>
          <w:numId w:val="12"/>
        </w:numPr>
        <w:jc w:val="left"/>
      </w:pPr>
      <w:r>
        <w:t>Class 4 – Contained use of high risk, for which containment level 4 is appropriate to protect human health and the environment</w:t>
      </w:r>
    </w:p>
    <w:p w14:paraId="0D0BDCC3" w14:textId="77777777" w:rsidR="006F379D" w:rsidRDefault="006F379D" w:rsidP="00DA12C8">
      <w:pPr>
        <w:ind w:left="0" w:firstLine="0"/>
        <w:jc w:val="left"/>
      </w:pPr>
    </w:p>
    <w:p w14:paraId="397EAA44" w14:textId="51E881A5" w:rsidR="006F379D" w:rsidRDefault="00E14ECE" w:rsidP="00DA12C8">
      <w:pPr>
        <w:ind w:left="0" w:firstLine="0"/>
        <w:jc w:val="left"/>
      </w:pPr>
      <w:r>
        <w:t>F</w:t>
      </w:r>
      <w:r w:rsidR="006F379D">
        <w:t xml:space="preserve">or </w:t>
      </w:r>
      <w:r>
        <w:t xml:space="preserve">GM </w:t>
      </w:r>
      <w:r w:rsidR="006F379D">
        <w:t xml:space="preserve">activities that are assigned to Class 2 </w:t>
      </w:r>
      <w:r w:rsidR="008F22CE">
        <w:t xml:space="preserve">or above </w:t>
      </w:r>
      <w:r w:rsidR="007F1AD1">
        <w:t xml:space="preserve">the HSE requires to be notified in writing prior to the work beginning. </w:t>
      </w:r>
      <w:r w:rsidR="00447EC6">
        <w:t xml:space="preserve">In addition, activities at Class 2 or above are added to a public register held on the HSE’s website. </w:t>
      </w:r>
      <w:r w:rsidR="007F1AD1">
        <w:t>There are specific time frames for the HSE to respond prior to the work being allowed to begin and advice should be sought from the UBSO.</w:t>
      </w:r>
      <w:r w:rsidR="00447EC6">
        <w:t xml:space="preserve"> </w:t>
      </w:r>
    </w:p>
    <w:p w14:paraId="59739EE1" w14:textId="73015049" w:rsidR="00257F0D" w:rsidRDefault="00257F0D">
      <w:r>
        <w:br w:type="page"/>
      </w:r>
    </w:p>
    <w:p w14:paraId="15E5119E" w14:textId="631418A4" w:rsidR="00DA12C8" w:rsidRPr="00DA12C8" w:rsidRDefault="00915354" w:rsidP="00DA12C8">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9" w:name="_Toc203115821"/>
      <w:r>
        <w:rPr>
          <w:rFonts w:asciiTheme="majorHAnsi" w:eastAsiaTheme="majorEastAsia" w:hAnsiTheme="majorHAnsi" w:cstheme="majorBidi"/>
          <w:color w:val="243F60" w:themeColor="accent1" w:themeShade="7F"/>
          <w:sz w:val="24"/>
          <w:szCs w:val="24"/>
        </w:rPr>
        <w:lastRenderedPageBreak/>
        <w:t>Biological Safety Committees</w:t>
      </w:r>
      <w:bookmarkEnd w:id="19"/>
    </w:p>
    <w:p w14:paraId="72FBA700" w14:textId="27059404" w:rsidR="00DA12C8" w:rsidRDefault="00DA12C8" w:rsidP="00DA12C8">
      <w:pPr>
        <w:pStyle w:val="BodyText"/>
        <w:spacing w:before="79"/>
        <w:ind w:left="0" w:firstLine="0"/>
        <w:jc w:val="left"/>
      </w:pPr>
      <w:r>
        <w:t>The Old Aberdeen and Foresterhill sites will convene a Biological Safety Committee (BSC). These Committees shall meet, a minimum of three times a year</w:t>
      </w:r>
      <w:r w:rsidR="00730C12">
        <w:t>, dependent on the volume of work</w:t>
      </w:r>
      <w:r>
        <w:t>. The Committees shall:</w:t>
      </w:r>
    </w:p>
    <w:p w14:paraId="3B428D4E" w14:textId="5623D408" w:rsidR="00DA12C8" w:rsidRPr="00730C12" w:rsidRDefault="00DA12C8" w:rsidP="00730C12">
      <w:pPr>
        <w:pStyle w:val="ListParagraph"/>
        <w:numPr>
          <w:ilvl w:val="0"/>
          <w:numId w:val="11"/>
        </w:numPr>
        <w:jc w:val="left"/>
      </w:pPr>
      <w:r w:rsidRPr="00730C12">
        <w:t>Give advice on risk assessments conducted under the Genetically Modified Organisms (Contained Use) Regulations and for those activities working with HG2</w:t>
      </w:r>
      <w:r w:rsidR="00447EC6">
        <w:t xml:space="preserve"> or HG3</w:t>
      </w:r>
      <w:r w:rsidRPr="00730C12">
        <w:t xml:space="preserve"> wild type bioagents</w:t>
      </w:r>
    </w:p>
    <w:p w14:paraId="0333CF2B" w14:textId="22FBCF50" w:rsidR="00DA12C8" w:rsidRPr="00730C12" w:rsidRDefault="00DA12C8" w:rsidP="00730C12">
      <w:pPr>
        <w:pStyle w:val="ListParagraph"/>
        <w:numPr>
          <w:ilvl w:val="0"/>
          <w:numId w:val="11"/>
        </w:numPr>
        <w:jc w:val="left"/>
      </w:pPr>
      <w:r w:rsidRPr="00730C12">
        <w:t xml:space="preserve">Authorise work involving </w:t>
      </w:r>
      <w:r w:rsidR="00730C12" w:rsidRPr="00730C12">
        <w:t xml:space="preserve">HG2 </w:t>
      </w:r>
      <w:r w:rsidR="00447EC6">
        <w:t xml:space="preserve">or HG3 </w:t>
      </w:r>
      <w:r w:rsidR="00730C12" w:rsidRPr="00730C12">
        <w:t xml:space="preserve">wild type </w:t>
      </w:r>
      <w:r w:rsidRPr="00730C12">
        <w:t>bioagents and GMOs after consideration of:</w:t>
      </w:r>
    </w:p>
    <w:p w14:paraId="759F5253" w14:textId="77777777" w:rsidR="00DA12C8" w:rsidRPr="00730C12" w:rsidRDefault="00DA12C8" w:rsidP="00730C12">
      <w:pPr>
        <w:pStyle w:val="ListParagraph"/>
        <w:numPr>
          <w:ilvl w:val="1"/>
          <w:numId w:val="11"/>
        </w:numPr>
        <w:jc w:val="left"/>
      </w:pPr>
      <w:r w:rsidRPr="00730C12">
        <w:t>The risk assessments</w:t>
      </w:r>
    </w:p>
    <w:p w14:paraId="7C2632B6" w14:textId="77777777" w:rsidR="00DA12C8" w:rsidRPr="00730C12" w:rsidRDefault="00DA12C8" w:rsidP="00730C12">
      <w:pPr>
        <w:pStyle w:val="ListParagraph"/>
        <w:numPr>
          <w:ilvl w:val="1"/>
          <w:numId w:val="11"/>
        </w:numPr>
        <w:jc w:val="left"/>
      </w:pPr>
      <w:r w:rsidRPr="00730C12">
        <w:t>Laboratory facilities</w:t>
      </w:r>
    </w:p>
    <w:p w14:paraId="60746AEC" w14:textId="77777777" w:rsidR="00DA12C8" w:rsidRPr="00730C12" w:rsidRDefault="00DA12C8" w:rsidP="00730C12">
      <w:pPr>
        <w:pStyle w:val="ListParagraph"/>
        <w:numPr>
          <w:ilvl w:val="1"/>
          <w:numId w:val="11"/>
        </w:numPr>
        <w:jc w:val="left"/>
      </w:pPr>
      <w:r w:rsidRPr="00730C12">
        <w:t>Staff / student training / supervision</w:t>
      </w:r>
    </w:p>
    <w:p w14:paraId="36380F04" w14:textId="77777777" w:rsidR="00730C12" w:rsidRDefault="00730C12" w:rsidP="00730C12">
      <w:pPr>
        <w:pStyle w:val="ListParagraph"/>
        <w:widowControl w:val="0"/>
        <w:tabs>
          <w:tab w:val="left" w:pos="1223"/>
        </w:tabs>
        <w:autoSpaceDE w:val="0"/>
        <w:autoSpaceDN w:val="0"/>
        <w:spacing w:before="24" w:line="259" w:lineRule="auto"/>
        <w:ind w:left="2254" w:right="144" w:firstLine="0"/>
        <w:contextualSpacing w:val="0"/>
        <w:rPr>
          <w:szCs w:val="20"/>
        </w:rPr>
      </w:pPr>
    </w:p>
    <w:p w14:paraId="6913E2E8" w14:textId="548E8DBC" w:rsidR="00730C12" w:rsidRDefault="00730C12" w:rsidP="00730C12">
      <w:pPr>
        <w:widowControl w:val="0"/>
        <w:tabs>
          <w:tab w:val="left" w:pos="1223"/>
        </w:tabs>
        <w:autoSpaceDE w:val="0"/>
        <w:autoSpaceDN w:val="0"/>
        <w:spacing w:before="24" w:line="259" w:lineRule="auto"/>
        <w:ind w:left="0" w:right="144" w:firstLine="0"/>
        <w:rPr>
          <w:szCs w:val="20"/>
        </w:rPr>
      </w:pPr>
      <w:r>
        <w:rPr>
          <w:szCs w:val="20"/>
        </w:rPr>
        <w:t xml:space="preserve">The Biosafety Committee will </w:t>
      </w:r>
      <w:r w:rsidR="00D263A7">
        <w:rPr>
          <w:szCs w:val="20"/>
        </w:rPr>
        <w:t>also:</w:t>
      </w:r>
    </w:p>
    <w:p w14:paraId="00AAF8A3" w14:textId="77777777" w:rsidR="00730C12" w:rsidRPr="00730C12" w:rsidRDefault="00730C12" w:rsidP="00730C12">
      <w:pPr>
        <w:pStyle w:val="ListParagraph"/>
        <w:numPr>
          <w:ilvl w:val="0"/>
          <w:numId w:val="11"/>
        </w:numPr>
        <w:jc w:val="left"/>
      </w:pPr>
      <w:r w:rsidRPr="00730C12">
        <w:t>review arrangements for testing and maintaining control &amp; inactivation measures</w:t>
      </w:r>
    </w:p>
    <w:p w14:paraId="6B905EFF" w14:textId="3AF4DDCF" w:rsidR="00DA12C8" w:rsidRPr="00730C12" w:rsidRDefault="00DA12C8" w:rsidP="00730C12">
      <w:pPr>
        <w:pStyle w:val="ListParagraph"/>
        <w:numPr>
          <w:ilvl w:val="0"/>
          <w:numId w:val="11"/>
        </w:numPr>
        <w:jc w:val="left"/>
      </w:pPr>
      <w:r w:rsidRPr="00730C12">
        <w:t>Report to the University Health and Safety Committee on risks posed to people and the environment by biological hazards at the University</w:t>
      </w:r>
    </w:p>
    <w:p w14:paraId="1C9958A5" w14:textId="081AFE73" w:rsidR="00DA12C8" w:rsidRPr="00730C12" w:rsidRDefault="00730C12" w:rsidP="00730C12">
      <w:pPr>
        <w:pStyle w:val="ListParagraph"/>
        <w:numPr>
          <w:ilvl w:val="0"/>
          <w:numId w:val="11"/>
        </w:numPr>
        <w:jc w:val="left"/>
      </w:pPr>
      <w:r>
        <w:t>Receive and r</w:t>
      </w:r>
      <w:r w:rsidR="00DA12C8" w:rsidRPr="00730C12">
        <w:t>eview inspection/audit reports</w:t>
      </w:r>
    </w:p>
    <w:p w14:paraId="41EA7D18" w14:textId="475F4590" w:rsidR="00DA12C8" w:rsidRPr="00730C12" w:rsidRDefault="00DA12C8" w:rsidP="00730C12">
      <w:pPr>
        <w:pStyle w:val="ListParagraph"/>
        <w:numPr>
          <w:ilvl w:val="0"/>
          <w:numId w:val="11"/>
        </w:numPr>
        <w:jc w:val="left"/>
      </w:pPr>
      <w:r w:rsidRPr="00730C12">
        <w:t>Review accidents</w:t>
      </w:r>
      <w:r w:rsidR="00730C12">
        <w:t xml:space="preserve"> involving</w:t>
      </w:r>
      <w:r w:rsidRPr="00730C12">
        <w:t xml:space="preserve"> bioagents / GMOs</w:t>
      </w:r>
    </w:p>
    <w:p w14:paraId="047DE257" w14:textId="77777777" w:rsidR="00DA12C8" w:rsidRDefault="00DA12C8" w:rsidP="00DA12C8">
      <w:pPr>
        <w:widowControl w:val="0"/>
        <w:tabs>
          <w:tab w:val="left" w:pos="1223"/>
        </w:tabs>
        <w:autoSpaceDE w:val="0"/>
        <w:autoSpaceDN w:val="0"/>
        <w:spacing w:before="24" w:line="259" w:lineRule="auto"/>
        <w:ind w:right="144"/>
        <w:rPr>
          <w:szCs w:val="20"/>
        </w:rPr>
      </w:pPr>
    </w:p>
    <w:p w14:paraId="59E816AD" w14:textId="17060CD3" w:rsidR="009567BF" w:rsidRDefault="00730C12" w:rsidP="009567BF">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20" w:name="_Toc203115822"/>
      <w:r>
        <w:rPr>
          <w:rFonts w:asciiTheme="majorHAnsi" w:eastAsiaTheme="majorEastAsia" w:hAnsiTheme="majorHAnsi" w:cstheme="majorBidi"/>
          <w:color w:val="243F60" w:themeColor="accent1" w:themeShade="7F"/>
          <w:sz w:val="24"/>
          <w:szCs w:val="24"/>
        </w:rPr>
        <w:t>Storage</w:t>
      </w:r>
      <w:r w:rsidR="00447EC6">
        <w:rPr>
          <w:rFonts w:asciiTheme="majorHAnsi" w:eastAsiaTheme="majorEastAsia" w:hAnsiTheme="majorHAnsi" w:cstheme="majorBidi"/>
          <w:color w:val="243F60" w:themeColor="accent1" w:themeShade="7F"/>
          <w:sz w:val="24"/>
          <w:szCs w:val="24"/>
        </w:rPr>
        <w:t>, Transportation</w:t>
      </w:r>
      <w:r>
        <w:rPr>
          <w:rFonts w:asciiTheme="majorHAnsi" w:eastAsiaTheme="majorEastAsia" w:hAnsiTheme="majorHAnsi" w:cstheme="majorBidi"/>
          <w:color w:val="243F60" w:themeColor="accent1" w:themeShade="7F"/>
          <w:sz w:val="24"/>
          <w:szCs w:val="24"/>
        </w:rPr>
        <w:t xml:space="preserve"> &amp; Disposal of Biological Agents / GMO</w:t>
      </w:r>
      <w:bookmarkEnd w:id="20"/>
    </w:p>
    <w:p w14:paraId="159A5FA9" w14:textId="7312D620" w:rsidR="007F1AD1" w:rsidRDefault="007F1AD1" w:rsidP="00730C12">
      <w:pPr>
        <w:pStyle w:val="BodyText"/>
        <w:spacing w:before="79"/>
        <w:ind w:left="0" w:firstLine="0"/>
        <w:jc w:val="left"/>
      </w:pPr>
      <w:r>
        <w:t>All bioagents must be stored in a safe manner, relative to the HG to which it has been assigned.</w:t>
      </w:r>
      <w:r w:rsidR="00EB4F19">
        <w:t xml:space="preserve"> For example, HG3 bioagents and GMOs </w:t>
      </w:r>
      <w:r w:rsidR="00EB4F19" w:rsidRPr="00EB4F19">
        <w:t>must</w:t>
      </w:r>
      <w:r w:rsidR="00EB4F19">
        <w:t xml:space="preserve"> be stored in locked facilities in the CL3 facility. HG2 bioagents and GMOs</w:t>
      </w:r>
      <w:r w:rsidR="00956C86">
        <w:t xml:space="preserve"> should be stored in a secure manner and their location recorded.</w:t>
      </w:r>
    </w:p>
    <w:p w14:paraId="0C6EBF9D" w14:textId="78C4AA2F" w:rsidR="00447EC6" w:rsidRPr="00EB4F19" w:rsidRDefault="00447EC6" w:rsidP="00730C12">
      <w:pPr>
        <w:pStyle w:val="BodyText"/>
        <w:spacing w:before="79"/>
        <w:ind w:left="0" w:firstLine="0"/>
        <w:jc w:val="left"/>
      </w:pPr>
      <w:bookmarkStart w:id="21" w:name="_Hlk203036870"/>
      <w:r>
        <w:t>The transportation of biological materials is subject to stringent requirements based on national and international legislation. Only those who have received appropriate training are authorised to approve packages that contain biological samples for sending out with the University.</w:t>
      </w:r>
    </w:p>
    <w:bookmarkEnd w:id="21"/>
    <w:p w14:paraId="592A6B3F" w14:textId="264A695F" w:rsidR="00D263A7" w:rsidRDefault="00730C12" w:rsidP="00730C12">
      <w:pPr>
        <w:pStyle w:val="BodyText"/>
        <w:spacing w:before="79"/>
        <w:ind w:left="0" w:firstLine="0"/>
        <w:jc w:val="left"/>
      </w:pPr>
      <w:r>
        <w:t xml:space="preserve">Due to their inherent ability to cause infection and disease all bioagents and GMOs </w:t>
      </w:r>
      <w:r w:rsidR="00D263A7">
        <w:t xml:space="preserve">must be </w:t>
      </w:r>
      <w:r w:rsidR="007F1AD1">
        <w:t xml:space="preserve">inactivated </w:t>
      </w:r>
      <w:r w:rsidR="00D263A7">
        <w:t xml:space="preserve">of safely </w:t>
      </w:r>
      <w:r w:rsidR="006F379D">
        <w:t xml:space="preserve">by a </w:t>
      </w:r>
      <w:r w:rsidR="007F1AD1">
        <w:t xml:space="preserve">validated </w:t>
      </w:r>
      <w:r w:rsidR="006F379D">
        <w:t>method</w:t>
      </w:r>
      <w:r w:rsidR="007F1AD1">
        <w:t xml:space="preserve"> prior to being removed off-site for final disposal</w:t>
      </w:r>
      <w:r w:rsidR="00956C86">
        <w:t>. Any equipment / consumables must also be inactivated prior to being removed off-site for final disposal.</w:t>
      </w:r>
    </w:p>
    <w:p w14:paraId="1374D5AF" w14:textId="77777777" w:rsidR="00791C07" w:rsidRDefault="00791C07" w:rsidP="00730C12">
      <w:pPr>
        <w:pStyle w:val="BodyText"/>
        <w:spacing w:before="79"/>
        <w:ind w:left="0" w:firstLine="0"/>
        <w:jc w:val="left"/>
      </w:pPr>
    </w:p>
    <w:p w14:paraId="6863F105" w14:textId="19765638" w:rsidR="00956C86" w:rsidRPr="00956C86" w:rsidRDefault="00956C86" w:rsidP="00956C86">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22" w:name="_Toc203115823"/>
      <w:r w:rsidRPr="00956C86">
        <w:rPr>
          <w:rFonts w:asciiTheme="majorHAnsi" w:eastAsiaTheme="majorEastAsia" w:hAnsiTheme="majorHAnsi" w:cstheme="majorBidi"/>
          <w:color w:val="243F60" w:themeColor="accent1" w:themeShade="7F"/>
          <w:sz w:val="24"/>
          <w:szCs w:val="24"/>
        </w:rPr>
        <w:t>Schedule 5 Pathogens and Toxins</w:t>
      </w:r>
      <w:bookmarkEnd w:id="22"/>
    </w:p>
    <w:p w14:paraId="3B9EB42E" w14:textId="0622F986" w:rsidR="00956C86" w:rsidRDefault="00956C86" w:rsidP="00956C86">
      <w:pPr>
        <w:pStyle w:val="BodyText"/>
        <w:spacing w:before="79"/>
        <w:ind w:left="0" w:firstLine="0"/>
        <w:jc w:val="left"/>
      </w:pPr>
      <w:r>
        <w:t xml:space="preserve">There are </w:t>
      </w:r>
      <w:proofErr w:type="gramStart"/>
      <w:r>
        <w:t>a number of</w:t>
      </w:r>
      <w:proofErr w:type="gramEnd"/>
      <w:r>
        <w:t xml:space="preserve"> pathogens, toxins and genetic materials that have been classified by the Home Office as being of concern that require notification of use to the Home Office and enhanced security requirements</w:t>
      </w:r>
      <w:r w:rsidR="00B365CF">
        <w:t xml:space="preserve"> above and beyond those required by COSHH.</w:t>
      </w:r>
    </w:p>
    <w:p w14:paraId="3DC7FB46" w14:textId="19DD9C4A" w:rsidR="00B365CF" w:rsidRDefault="00B365CF" w:rsidP="00956C86">
      <w:pPr>
        <w:pStyle w:val="BodyText"/>
        <w:spacing w:before="79"/>
        <w:ind w:left="0" w:firstLine="0"/>
        <w:jc w:val="left"/>
      </w:pPr>
      <w:r>
        <w:t>The list of those toxins and pathogens can be found at the Home Office (</w:t>
      </w:r>
      <w:hyperlink r:id="rId8" w:history="1">
        <w:r w:rsidRPr="00BA50E4">
          <w:rPr>
            <w:rStyle w:val="Hyperlink"/>
          </w:rPr>
          <w:t>https://www.legislation.gov.uk/ukpga/2001/24/schedule/5</w:t>
        </w:r>
      </w:hyperlink>
      <w:r>
        <w:t>). Anyone wishing to use any of these pathogens or toxins must contact their local Biosafety Committee or the University Biosafety Adviser.</w:t>
      </w:r>
    </w:p>
    <w:p w14:paraId="3F22C788" w14:textId="1495EEC7" w:rsidR="00257F0D" w:rsidRDefault="00257F0D">
      <w:r>
        <w:br w:type="page"/>
      </w:r>
    </w:p>
    <w:p w14:paraId="5F176FD6" w14:textId="1BE163F1" w:rsidR="00B365CF" w:rsidRPr="00956C86" w:rsidRDefault="00B365CF" w:rsidP="00B365CF">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23" w:name="_Toc203115824"/>
      <w:r w:rsidRPr="00956C86">
        <w:rPr>
          <w:rFonts w:asciiTheme="majorHAnsi" w:eastAsiaTheme="majorEastAsia" w:hAnsiTheme="majorHAnsi" w:cstheme="majorBidi"/>
          <w:color w:val="243F60" w:themeColor="accent1" w:themeShade="7F"/>
          <w:sz w:val="24"/>
          <w:szCs w:val="24"/>
        </w:rPr>
        <w:lastRenderedPageBreak/>
        <w:t>S</w:t>
      </w:r>
      <w:r>
        <w:rPr>
          <w:rFonts w:asciiTheme="majorHAnsi" w:eastAsiaTheme="majorEastAsia" w:hAnsiTheme="majorHAnsi" w:cstheme="majorBidi"/>
          <w:color w:val="243F60" w:themeColor="accent1" w:themeShade="7F"/>
          <w:sz w:val="24"/>
          <w:szCs w:val="24"/>
        </w:rPr>
        <w:t>pecified Animal Pathogen Order</w:t>
      </w:r>
      <w:bookmarkEnd w:id="23"/>
    </w:p>
    <w:p w14:paraId="5C739B6A" w14:textId="099B9D84" w:rsidR="00956C86" w:rsidRDefault="002C7318" w:rsidP="00B365CF">
      <w:pPr>
        <w:pStyle w:val="BodyText"/>
        <w:spacing w:before="79"/>
        <w:ind w:left="0" w:firstLine="0"/>
        <w:jc w:val="left"/>
      </w:pPr>
      <w:r>
        <w:t xml:space="preserve">There are </w:t>
      </w:r>
      <w:proofErr w:type="gramStart"/>
      <w:r>
        <w:t>a number of</w:t>
      </w:r>
      <w:proofErr w:type="gramEnd"/>
      <w:r>
        <w:t xml:space="preserve"> pathogens and related materials (</w:t>
      </w:r>
      <w:r>
        <w:rPr>
          <w:i/>
          <w:iCs/>
        </w:rPr>
        <w:t>e.g.</w:t>
      </w:r>
      <w:r>
        <w:t xml:space="preserve"> viruses, bacteria and parasites) that are controlled under Specified Animal Pathogens Orders (SAPO). Specified animal pathogens and related materials that are controlled under SAPO include:</w:t>
      </w:r>
    </w:p>
    <w:p w14:paraId="2A66232C" w14:textId="70633FEB" w:rsidR="002C7318" w:rsidRDefault="002C7318" w:rsidP="002C7318">
      <w:pPr>
        <w:pStyle w:val="BodyText"/>
        <w:numPr>
          <w:ilvl w:val="0"/>
          <w:numId w:val="13"/>
        </w:numPr>
        <w:spacing w:before="79"/>
        <w:jc w:val="left"/>
      </w:pPr>
      <w:r>
        <w:t>Intact pathogens</w:t>
      </w:r>
    </w:p>
    <w:p w14:paraId="394B52CA" w14:textId="2EBA1CCF" w:rsidR="002C7318" w:rsidRDefault="002C7318" w:rsidP="002C7318">
      <w:pPr>
        <w:pStyle w:val="BodyText"/>
        <w:numPr>
          <w:ilvl w:val="0"/>
          <w:numId w:val="13"/>
        </w:numPr>
        <w:spacing w:before="79"/>
        <w:jc w:val="left"/>
      </w:pPr>
      <w:r>
        <w:t>Pathogens that have been attenuated or genetically modified by any means</w:t>
      </w:r>
    </w:p>
    <w:p w14:paraId="4EC15204" w14:textId="7187A1B5" w:rsidR="002C7318" w:rsidRDefault="002C7318" w:rsidP="002C7318">
      <w:pPr>
        <w:pStyle w:val="BodyText"/>
        <w:numPr>
          <w:ilvl w:val="0"/>
          <w:numId w:val="13"/>
        </w:numPr>
        <w:spacing w:before="79"/>
        <w:jc w:val="left"/>
      </w:pPr>
      <w:r>
        <w:t>Any nucleic acid derived from an animal pathogen listed in the Schedule which could produce that pathogen when introduced into a biological system in which the nucleic acid is capable of replicating</w:t>
      </w:r>
    </w:p>
    <w:p w14:paraId="7AADEC12" w14:textId="72224158" w:rsidR="002C7318" w:rsidRDefault="002C7318" w:rsidP="002C7318">
      <w:pPr>
        <w:pStyle w:val="BodyText"/>
        <w:spacing w:before="79"/>
        <w:ind w:left="0" w:firstLine="0"/>
        <w:jc w:val="left"/>
      </w:pPr>
      <w:r>
        <w:t xml:space="preserve">Within the context of SAPO, a “carrier” means any living creature, except man, which may carry or transmit a specified animal pathogen or the tissue, cell culture, body fluid, excreta, carcass or part of a carcass of such creature by or by means of which a specified animal pathogen </w:t>
      </w:r>
      <w:r w:rsidR="00F05D23">
        <w:t>may be transmitted.</w:t>
      </w:r>
    </w:p>
    <w:p w14:paraId="613D8838" w14:textId="77777777" w:rsidR="00F05D23" w:rsidRPr="00F05D23" w:rsidRDefault="00F05D23" w:rsidP="00F05D23">
      <w:pPr>
        <w:pStyle w:val="BodyText"/>
        <w:spacing w:before="79"/>
        <w:ind w:left="0" w:firstLine="0"/>
        <w:jc w:val="left"/>
      </w:pPr>
      <w:r w:rsidRPr="00F05D23">
        <w:t>Pathogens under SAPO are classified into one of four groups based on their risks to the economy, agriculture, food and the environment.</w:t>
      </w:r>
    </w:p>
    <w:p w14:paraId="109FC14F" w14:textId="77777777" w:rsidR="00F05D23" w:rsidRDefault="00F05D23" w:rsidP="00F05D23">
      <w:pPr>
        <w:pStyle w:val="BodyText"/>
        <w:numPr>
          <w:ilvl w:val="0"/>
          <w:numId w:val="15"/>
        </w:numPr>
        <w:spacing w:before="79"/>
        <w:jc w:val="left"/>
        <w:rPr>
          <w:rFonts w:ascii="Arial" w:hAnsi="Arial" w:cs="Arial"/>
          <w:spacing w:val="-3"/>
        </w:rPr>
      </w:pPr>
      <w:r w:rsidRPr="00F05D23">
        <w:t>Group 1: Disease-</w:t>
      </w:r>
      <w:r w:rsidRPr="00791C07">
        <w:rPr>
          <w:rFonts w:cstheme="minorHAnsi"/>
        </w:rPr>
        <w:t>producing organisms which are enzootic (native in animals in this</w:t>
      </w:r>
      <w:r w:rsidRPr="008F22CE">
        <w:rPr>
          <w:rFonts w:cstheme="minorHAnsi"/>
          <w:spacing w:val="-3"/>
        </w:rPr>
        <w:t xml:space="preserve"> country) and do not produce notifiable disease.</w:t>
      </w:r>
    </w:p>
    <w:p w14:paraId="5BC7BBEE" w14:textId="77777777" w:rsidR="00F05D23" w:rsidRPr="00F05D23" w:rsidRDefault="00F05D23" w:rsidP="00F05D23">
      <w:pPr>
        <w:pStyle w:val="BodyText"/>
        <w:numPr>
          <w:ilvl w:val="0"/>
          <w:numId w:val="15"/>
        </w:numPr>
        <w:spacing w:before="79"/>
        <w:jc w:val="left"/>
      </w:pPr>
      <w:r w:rsidRPr="00F05D23">
        <w:t xml:space="preserve">Group 2: Disease-producing organisms which are either exotic or produce notifiable </w:t>
      </w:r>
      <w:proofErr w:type="gramStart"/>
      <w:r w:rsidRPr="00F05D23">
        <w:t>disease, but</w:t>
      </w:r>
      <w:proofErr w:type="gramEnd"/>
      <w:r w:rsidRPr="00F05D23">
        <w:t xml:space="preserve"> have a low risk of spread from the laboratory.</w:t>
      </w:r>
    </w:p>
    <w:p w14:paraId="18817733" w14:textId="77777777" w:rsidR="00F05D23" w:rsidRPr="00F05D23" w:rsidRDefault="00F05D23" w:rsidP="00F05D23">
      <w:pPr>
        <w:pStyle w:val="BodyText"/>
        <w:numPr>
          <w:ilvl w:val="0"/>
          <w:numId w:val="15"/>
        </w:numPr>
        <w:spacing w:before="79"/>
        <w:jc w:val="left"/>
      </w:pPr>
      <w:r w:rsidRPr="00F05D23">
        <w:t>Group 3: Disease-producing organisms which are either exotic or produce notifiable disease and have a moderate risk of spread from the laboratory.</w:t>
      </w:r>
    </w:p>
    <w:p w14:paraId="39C69BEC" w14:textId="77777777" w:rsidR="00F05D23" w:rsidRPr="00F05D23" w:rsidRDefault="00F05D23" w:rsidP="00F05D23">
      <w:pPr>
        <w:pStyle w:val="BodyText"/>
        <w:numPr>
          <w:ilvl w:val="0"/>
          <w:numId w:val="15"/>
        </w:numPr>
        <w:spacing w:before="79"/>
        <w:jc w:val="left"/>
      </w:pPr>
      <w:r w:rsidRPr="00F05D23">
        <w:t>Group 4: Disease-producing organisms which are either exotic or produce notifiable disease and have a high risk of spread from the laboratory.</w:t>
      </w:r>
    </w:p>
    <w:p w14:paraId="3C5F6551" w14:textId="549DE078" w:rsidR="00F05D23" w:rsidRPr="00730C12" w:rsidRDefault="00F05D23" w:rsidP="00F05D23">
      <w:pPr>
        <w:pStyle w:val="BodyText"/>
        <w:spacing w:before="79"/>
        <w:ind w:left="0" w:firstLine="0"/>
        <w:jc w:val="left"/>
      </w:pPr>
      <w:r w:rsidRPr="00F05D23">
        <w:t xml:space="preserve">SAPO only applies to groups 2, 3 and 4 specified animal pathogens and these require a SAPO licence before they can be possessed or used. There is a defined list of SAPO pathogens which is published </w:t>
      </w:r>
      <w:r>
        <w:t>via legislation.gov.uk (</w:t>
      </w:r>
      <w:hyperlink r:id="rId9" w:history="1">
        <w:r w:rsidRPr="00BA50E4">
          <w:rPr>
            <w:rStyle w:val="Hyperlink"/>
          </w:rPr>
          <w:t>https://www.legislation.gov.uk/ssi/2009/45/schedule/1/made</w:t>
        </w:r>
      </w:hyperlink>
      <w:r>
        <w:t>). Again, anyone wishing to undertake work with those pathogens and related materials notifiable under SAPO must contact their local Biosafety Committee or the University Biosafety Adviser.</w:t>
      </w:r>
    </w:p>
    <w:p w14:paraId="72022994" w14:textId="77777777" w:rsidR="009567BF" w:rsidRPr="009567BF" w:rsidRDefault="009567BF" w:rsidP="009567BF">
      <w:pPr>
        <w:ind w:left="0" w:firstLine="0"/>
      </w:pPr>
    </w:p>
    <w:p w14:paraId="4AC86A3D" w14:textId="77777777" w:rsidR="00EB4F19" w:rsidRPr="009567BF" w:rsidRDefault="00EB4F19" w:rsidP="009567BF">
      <w:pPr>
        <w:ind w:left="0" w:firstLine="0"/>
      </w:pPr>
    </w:p>
    <w:p w14:paraId="5D12EC7A" w14:textId="05C29C14" w:rsidR="0095640D" w:rsidRDefault="0095640D" w:rsidP="00F05D23">
      <w:pPr>
        <w:ind w:left="0" w:firstLine="0"/>
        <w:rPr>
          <w:rFonts w:asciiTheme="majorHAnsi" w:eastAsiaTheme="majorEastAsia" w:hAnsiTheme="majorHAnsi" w:cstheme="majorBidi"/>
          <w:color w:val="243F60" w:themeColor="accent1" w:themeShade="7F"/>
          <w:sz w:val="24"/>
          <w:szCs w:val="24"/>
        </w:rPr>
      </w:pPr>
    </w:p>
    <w:p w14:paraId="69B2C803" w14:textId="77777777" w:rsidR="00257F0D" w:rsidRDefault="00257F0D">
      <w:pPr>
        <w:rPr>
          <w:rFonts w:eastAsia="Times New Roman" w:cstheme="minorHAnsi"/>
          <w:color w:val="2F5496"/>
          <w:sz w:val="32"/>
          <w:szCs w:val="32"/>
        </w:rPr>
      </w:pPr>
      <w:bookmarkStart w:id="24" w:name="_Hlk113360859"/>
      <w:r>
        <w:rPr>
          <w:rFonts w:eastAsia="Times New Roman" w:cstheme="minorHAnsi"/>
          <w:color w:val="2F5496"/>
          <w:sz w:val="32"/>
          <w:szCs w:val="32"/>
        </w:rPr>
        <w:br w:type="page"/>
      </w:r>
    </w:p>
    <w:p w14:paraId="57A61B4E" w14:textId="6EB32581" w:rsidR="00FA5882" w:rsidRDefault="00FA5882"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25" w:name="_Toc203115825"/>
      <w:r>
        <w:rPr>
          <w:rFonts w:eastAsia="Times New Roman" w:cstheme="minorHAnsi"/>
          <w:color w:val="2F5496"/>
          <w:sz w:val="32"/>
          <w:szCs w:val="32"/>
        </w:rPr>
        <w:lastRenderedPageBreak/>
        <w:t>References</w:t>
      </w:r>
      <w:bookmarkEnd w:id="25"/>
    </w:p>
    <w:bookmarkEnd w:id="24"/>
    <w:p w14:paraId="1A725C06" w14:textId="77777777" w:rsidR="00FA5882" w:rsidRDefault="00FA5882" w:rsidP="00FA5882">
      <w:pPr>
        <w:pStyle w:val="NoSpacing"/>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FA5882" w:rsidRPr="009F50EC" w14:paraId="497F092F" w14:textId="77777777" w:rsidTr="00257F0D">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3041201B" w14:textId="77777777" w:rsidR="00FA5882" w:rsidRPr="009F50EC" w:rsidRDefault="00FA5882">
            <w:pPr>
              <w:spacing w:before="100" w:beforeAutospacing="1" w:after="100" w:afterAutospacing="1"/>
              <w:ind w:left="120" w:firstLine="0"/>
              <w:jc w:val="left"/>
              <w:textAlignment w:val="baseline"/>
              <w:rPr>
                <w:rFonts w:ascii="Times New Roman" w:eastAsia="Times New Roman" w:hAnsi="Times New Roman" w:cs="Times New Roman"/>
                <w:sz w:val="24"/>
                <w:szCs w:val="24"/>
                <w:lang w:eastAsia="en-GB"/>
              </w:rPr>
            </w:pPr>
            <w:bookmarkStart w:id="26" w:name="_Hlk113360863"/>
            <w:r w:rsidRPr="009F50EC">
              <w:rPr>
                <w:rFonts w:ascii="Calibri" w:eastAsia="Times New Roman" w:hAnsi="Calibri" w:cs="Calibri"/>
                <w:lang w:eastAsia="en-GB"/>
              </w:rPr>
              <w:t>Document Number </w:t>
            </w:r>
          </w:p>
        </w:tc>
        <w:tc>
          <w:tcPr>
            <w:tcW w:w="632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4D79820D" w14:textId="77777777" w:rsidR="00FA5882" w:rsidRPr="009F50EC" w:rsidRDefault="00FA5882" w:rsidP="00FA5882">
            <w:pPr>
              <w:spacing w:before="100" w:beforeAutospacing="1" w:after="100" w:afterAutospacing="1"/>
              <w:ind w:left="13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Name </w:t>
            </w:r>
          </w:p>
        </w:tc>
      </w:tr>
      <w:tr w:rsidR="00FA5882" w:rsidRPr="009F50EC" w14:paraId="1EE7D383" w14:textId="77777777" w:rsidTr="00257F0D">
        <w:trPr>
          <w:trHeight w:val="345"/>
        </w:trPr>
        <w:tc>
          <w:tcPr>
            <w:tcW w:w="2685" w:type="dxa"/>
            <w:tcBorders>
              <w:top w:val="single" w:sz="6" w:space="0" w:color="auto"/>
              <w:left w:val="single" w:sz="6" w:space="0" w:color="auto"/>
              <w:bottom w:val="single" w:sz="6" w:space="0" w:color="auto"/>
              <w:right w:val="single" w:sz="6" w:space="0" w:color="auto"/>
            </w:tcBorders>
            <w:vAlign w:val="center"/>
            <w:hideMark/>
          </w:tcPr>
          <w:p w14:paraId="29902F76" w14:textId="13423652" w:rsidR="00FA5882" w:rsidRPr="00257F0D" w:rsidRDefault="00A97766" w:rsidP="00FA5882">
            <w:pPr>
              <w:spacing w:before="100" w:beforeAutospacing="1" w:after="100" w:afterAutospacing="1"/>
              <w:ind w:left="120" w:right="-162" w:firstLine="0"/>
              <w:jc w:val="left"/>
              <w:textAlignment w:val="baseline"/>
            </w:pPr>
            <w:hyperlink r:id="rId10" w:history="1">
              <w:r w:rsidRPr="00A97766">
                <w:rPr>
                  <w:rStyle w:val="Hyperlink"/>
                </w:rPr>
                <w:t>UK Legislation Website</w:t>
              </w:r>
            </w:hyperlink>
          </w:p>
        </w:tc>
        <w:tc>
          <w:tcPr>
            <w:tcW w:w="6325" w:type="dxa"/>
            <w:tcBorders>
              <w:top w:val="single" w:sz="6" w:space="0" w:color="auto"/>
              <w:left w:val="single" w:sz="6" w:space="0" w:color="auto"/>
              <w:bottom w:val="single" w:sz="6" w:space="0" w:color="auto"/>
              <w:right w:val="single" w:sz="6" w:space="0" w:color="auto"/>
            </w:tcBorders>
            <w:vAlign w:val="center"/>
            <w:hideMark/>
          </w:tcPr>
          <w:p w14:paraId="1B797E1D" w14:textId="0554B77B" w:rsidR="00FA5882" w:rsidRPr="00257F0D" w:rsidRDefault="00257F0D" w:rsidP="00FA5882">
            <w:pPr>
              <w:spacing w:before="100" w:beforeAutospacing="1" w:after="100" w:afterAutospacing="1"/>
              <w:ind w:left="120" w:right="-162" w:firstLine="0"/>
              <w:jc w:val="left"/>
              <w:textAlignment w:val="baseline"/>
            </w:pPr>
            <w:r>
              <w:t>Health and Safety at Work etc. Act</w:t>
            </w:r>
          </w:p>
        </w:tc>
      </w:tr>
      <w:tr w:rsidR="00257F0D" w:rsidRPr="009F50EC" w14:paraId="04AB990F" w14:textId="77777777" w:rsidTr="00257F0D">
        <w:trPr>
          <w:trHeight w:val="345"/>
        </w:trPr>
        <w:tc>
          <w:tcPr>
            <w:tcW w:w="2685" w:type="dxa"/>
            <w:tcBorders>
              <w:top w:val="single" w:sz="6" w:space="0" w:color="auto"/>
              <w:left w:val="single" w:sz="6" w:space="0" w:color="auto"/>
              <w:bottom w:val="single" w:sz="6" w:space="0" w:color="auto"/>
              <w:right w:val="single" w:sz="6" w:space="0" w:color="auto"/>
            </w:tcBorders>
            <w:vAlign w:val="center"/>
          </w:tcPr>
          <w:p w14:paraId="339854B4" w14:textId="07134D68" w:rsidR="00257F0D" w:rsidRPr="00257F0D" w:rsidRDefault="00A97766" w:rsidP="00FA5882">
            <w:pPr>
              <w:spacing w:before="100" w:beforeAutospacing="1" w:after="100" w:afterAutospacing="1"/>
              <w:ind w:left="120" w:right="-162" w:firstLine="0"/>
              <w:jc w:val="left"/>
              <w:textAlignment w:val="baseline"/>
            </w:pPr>
            <w:hyperlink r:id="rId11" w:history="1">
              <w:r w:rsidRPr="00A97766">
                <w:rPr>
                  <w:rStyle w:val="Hyperlink"/>
                </w:rPr>
                <w:t>UK Legislation Website</w:t>
              </w:r>
            </w:hyperlink>
          </w:p>
        </w:tc>
        <w:tc>
          <w:tcPr>
            <w:tcW w:w="6325" w:type="dxa"/>
            <w:tcBorders>
              <w:top w:val="single" w:sz="6" w:space="0" w:color="auto"/>
              <w:left w:val="single" w:sz="6" w:space="0" w:color="auto"/>
              <w:bottom w:val="single" w:sz="6" w:space="0" w:color="auto"/>
              <w:right w:val="single" w:sz="6" w:space="0" w:color="auto"/>
            </w:tcBorders>
            <w:vAlign w:val="center"/>
          </w:tcPr>
          <w:p w14:paraId="75F64B17" w14:textId="26B47A67" w:rsidR="00257F0D" w:rsidRPr="00257F0D" w:rsidRDefault="00257F0D" w:rsidP="00FA5882">
            <w:pPr>
              <w:spacing w:before="100" w:beforeAutospacing="1" w:after="100" w:afterAutospacing="1"/>
              <w:ind w:left="120" w:right="-162" w:firstLine="0"/>
              <w:jc w:val="left"/>
              <w:textAlignment w:val="baseline"/>
            </w:pPr>
            <w:r>
              <w:t>Management of Health and Safety at Work Regulations</w:t>
            </w:r>
          </w:p>
        </w:tc>
      </w:tr>
      <w:tr w:rsidR="00A97766" w:rsidRPr="009F50EC" w14:paraId="4FC458D0" w14:textId="77777777" w:rsidTr="00B542E0">
        <w:trPr>
          <w:trHeight w:val="345"/>
        </w:trPr>
        <w:tc>
          <w:tcPr>
            <w:tcW w:w="2685" w:type="dxa"/>
            <w:tcBorders>
              <w:top w:val="single" w:sz="6" w:space="0" w:color="auto"/>
              <w:left w:val="single" w:sz="6" w:space="0" w:color="auto"/>
              <w:bottom w:val="single" w:sz="6" w:space="0" w:color="auto"/>
              <w:right w:val="single" w:sz="6" w:space="0" w:color="auto"/>
            </w:tcBorders>
          </w:tcPr>
          <w:p w14:paraId="5C461AAC" w14:textId="459783D1" w:rsidR="00A97766" w:rsidRPr="00257F0D" w:rsidRDefault="00A97766" w:rsidP="00A97766">
            <w:pPr>
              <w:spacing w:before="100" w:beforeAutospacing="1" w:after="100" w:afterAutospacing="1"/>
              <w:ind w:left="120" w:right="-162" w:firstLine="0"/>
              <w:jc w:val="left"/>
              <w:textAlignment w:val="baseline"/>
            </w:pPr>
            <w:hyperlink r:id="rId12" w:history="1">
              <w:r w:rsidRPr="00A97766">
                <w:rPr>
                  <w:rStyle w:val="Hyperlink"/>
                </w:rPr>
                <w:t>UK Legislation Website</w:t>
              </w:r>
            </w:hyperlink>
          </w:p>
        </w:tc>
        <w:tc>
          <w:tcPr>
            <w:tcW w:w="6325" w:type="dxa"/>
            <w:tcBorders>
              <w:top w:val="single" w:sz="6" w:space="0" w:color="auto"/>
              <w:left w:val="single" w:sz="6" w:space="0" w:color="auto"/>
              <w:bottom w:val="single" w:sz="6" w:space="0" w:color="auto"/>
              <w:right w:val="single" w:sz="6" w:space="0" w:color="auto"/>
            </w:tcBorders>
            <w:vAlign w:val="center"/>
          </w:tcPr>
          <w:p w14:paraId="087A1D57" w14:textId="7A643B17" w:rsidR="00A97766" w:rsidRPr="00257F0D" w:rsidRDefault="00A97766" w:rsidP="00A97766">
            <w:pPr>
              <w:spacing w:before="100" w:beforeAutospacing="1" w:after="100" w:afterAutospacing="1"/>
              <w:ind w:left="120" w:right="-162" w:firstLine="0"/>
              <w:jc w:val="left"/>
              <w:textAlignment w:val="baseline"/>
            </w:pPr>
            <w:r>
              <w:t>Control of Substances Hazardous to Health Regulations</w:t>
            </w:r>
          </w:p>
        </w:tc>
      </w:tr>
      <w:tr w:rsidR="00A97766" w:rsidRPr="009F50EC" w14:paraId="52E371AE" w14:textId="77777777" w:rsidTr="00B542E0">
        <w:trPr>
          <w:trHeight w:val="345"/>
        </w:trPr>
        <w:tc>
          <w:tcPr>
            <w:tcW w:w="2685" w:type="dxa"/>
            <w:tcBorders>
              <w:top w:val="single" w:sz="6" w:space="0" w:color="auto"/>
              <w:left w:val="single" w:sz="6" w:space="0" w:color="auto"/>
              <w:bottom w:val="single" w:sz="6" w:space="0" w:color="auto"/>
              <w:right w:val="single" w:sz="6" w:space="0" w:color="auto"/>
            </w:tcBorders>
          </w:tcPr>
          <w:p w14:paraId="6171F118" w14:textId="72C49DC9" w:rsidR="00A97766" w:rsidRPr="00257F0D" w:rsidRDefault="00A97766" w:rsidP="00A97766">
            <w:pPr>
              <w:spacing w:before="100" w:beforeAutospacing="1" w:after="100" w:afterAutospacing="1"/>
              <w:ind w:left="120" w:right="-162" w:firstLine="0"/>
              <w:jc w:val="left"/>
              <w:textAlignment w:val="baseline"/>
            </w:pPr>
            <w:hyperlink r:id="rId13" w:history="1">
              <w:r w:rsidRPr="00A97766">
                <w:rPr>
                  <w:rStyle w:val="Hyperlink"/>
                </w:rPr>
                <w:t>UK Legislation Website</w:t>
              </w:r>
            </w:hyperlink>
          </w:p>
        </w:tc>
        <w:tc>
          <w:tcPr>
            <w:tcW w:w="6325" w:type="dxa"/>
            <w:tcBorders>
              <w:top w:val="single" w:sz="6" w:space="0" w:color="auto"/>
              <w:left w:val="single" w:sz="6" w:space="0" w:color="auto"/>
              <w:bottom w:val="single" w:sz="6" w:space="0" w:color="auto"/>
              <w:right w:val="single" w:sz="6" w:space="0" w:color="auto"/>
            </w:tcBorders>
            <w:vAlign w:val="center"/>
          </w:tcPr>
          <w:p w14:paraId="6B3B095F" w14:textId="424A2885" w:rsidR="00A97766" w:rsidRPr="00257F0D" w:rsidRDefault="00A97766" w:rsidP="00A97766">
            <w:pPr>
              <w:spacing w:before="100" w:beforeAutospacing="1" w:after="100" w:afterAutospacing="1"/>
              <w:ind w:left="120" w:right="-162" w:firstLine="0"/>
              <w:jc w:val="left"/>
              <w:textAlignment w:val="baseline"/>
            </w:pPr>
            <w:r>
              <w:t>Genetically Modified Organisms (Contained Use) Regulations</w:t>
            </w:r>
          </w:p>
        </w:tc>
      </w:tr>
      <w:tr w:rsidR="00A97766" w:rsidRPr="009F50EC" w14:paraId="0B35F1B8" w14:textId="77777777" w:rsidTr="00B542E0">
        <w:trPr>
          <w:trHeight w:val="360"/>
        </w:trPr>
        <w:tc>
          <w:tcPr>
            <w:tcW w:w="2685" w:type="dxa"/>
            <w:tcBorders>
              <w:top w:val="single" w:sz="6" w:space="0" w:color="auto"/>
              <w:left w:val="single" w:sz="6" w:space="0" w:color="auto"/>
              <w:bottom w:val="single" w:sz="6" w:space="0" w:color="auto"/>
              <w:right w:val="single" w:sz="6" w:space="0" w:color="auto"/>
            </w:tcBorders>
          </w:tcPr>
          <w:p w14:paraId="3EAA0C2D" w14:textId="4B0700EA" w:rsidR="00A97766" w:rsidRPr="00257F0D" w:rsidRDefault="00A97766" w:rsidP="00A97766">
            <w:pPr>
              <w:spacing w:before="100" w:beforeAutospacing="1" w:after="100" w:afterAutospacing="1"/>
              <w:ind w:left="120" w:right="-162" w:firstLine="0"/>
              <w:jc w:val="left"/>
              <w:textAlignment w:val="baseline"/>
            </w:pPr>
            <w:hyperlink r:id="rId14" w:history="1">
              <w:r w:rsidRPr="00A97766">
                <w:rPr>
                  <w:rStyle w:val="Hyperlink"/>
                </w:rPr>
                <w:t>UK Legislation Website</w:t>
              </w:r>
            </w:hyperlink>
          </w:p>
        </w:tc>
        <w:tc>
          <w:tcPr>
            <w:tcW w:w="6325" w:type="dxa"/>
            <w:tcBorders>
              <w:top w:val="single" w:sz="6" w:space="0" w:color="auto"/>
              <w:left w:val="single" w:sz="6" w:space="0" w:color="auto"/>
              <w:bottom w:val="single" w:sz="6" w:space="0" w:color="auto"/>
              <w:right w:val="single" w:sz="6" w:space="0" w:color="auto"/>
            </w:tcBorders>
            <w:vAlign w:val="center"/>
            <w:hideMark/>
          </w:tcPr>
          <w:p w14:paraId="1CA1EE0C" w14:textId="1A0E324F" w:rsidR="00A97766" w:rsidRPr="00257F0D" w:rsidRDefault="00A97766" w:rsidP="00A97766">
            <w:pPr>
              <w:spacing w:before="100" w:beforeAutospacing="1" w:after="100" w:afterAutospacing="1"/>
              <w:ind w:left="120" w:right="-162" w:firstLine="0"/>
              <w:jc w:val="left"/>
              <w:textAlignment w:val="baseline"/>
            </w:pPr>
            <w:r>
              <w:t>Anti-terrorism, Crime and Security Act</w:t>
            </w:r>
          </w:p>
        </w:tc>
      </w:tr>
      <w:tr w:rsidR="00257F0D" w:rsidRPr="009F50EC" w14:paraId="0FA8B658" w14:textId="77777777" w:rsidTr="00257F0D">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5A41AA5B" w14:textId="7008ED2D" w:rsidR="00257F0D" w:rsidRPr="009F50EC" w:rsidRDefault="00257F0D" w:rsidP="00FA5882">
            <w:pPr>
              <w:spacing w:before="100" w:beforeAutospacing="1" w:after="100" w:afterAutospacing="1"/>
              <w:ind w:left="120" w:right="-162" w:firstLine="0"/>
              <w:jc w:val="left"/>
              <w:textAlignment w:val="baseline"/>
              <w:rPr>
                <w:rFonts w:ascii="Calibri" w:eastAsia="Times New Roman" w:hAnsi="Calibri" w:cs="Calibri"/>
                <w:lang w:eastAsia="en-GB"/>
              </w:rPr>
            </w:pPr>
            <w:r>
              <w:rPr>
                <w:rFonts w:ascii="Calibri" w:eastAsia="Times New Roman" w:hAnsi="Calibri" w:cs="Calibri"/>
                <w:lang w:eastAsia="en-GB"/>
              </w:rPr>
              <w:t>TBC</w:t>
            </w:r>
          </w:p>
        </w:tc>
        <w:tc>
          <w:tcPr>
            <w:tcW w:w="6325" w:type="dxa"/>
            <w:tcBorders>
              <w:top w:val="single" w:sz="6" w:space="0" w:color="auto"/>
              <w:left w:val="single" w:sz="6" w:space="0" w:color="auto"/>
              <w:bottom w:val="single" w:sz="6" w:space="0" w:color="auto"/>
              <w:right w:val="single" w:sz="6" w:space="0" w:color="auto"/>
            </w:tcBorders>
            <w:vAlign w:val="center"/>
          </w:tcPr>
          <w:p w14:paraId="24313AC7" w14:textId="3B85A6BA" w:rsidR="00257F0D" w:rsidRPr="009F50EC" w:rsidRDefault="00257F0D" w:rsidP="00FA5882">
            <w:pPr>
              <w:spacing w:before="100" w:beforeAutospacing="1" w:after="100" w:afterAutospacing="1"/>
              <w:ind w:left="120" w:right="-162" w:firstLine="0"/>
              <w:jc w:val="left"/>
              <w:textAlignment w:val="baseline"/>
              <w:rPr>
                <w:rFonts w:ascii="Calibri" w:eastAsia="Times New Roman" w:hAnsi="Calibri" w:cs="Calibri"/>
                <w:lang w:eastAsia="en-GB"/>
              </w:rPr>
            </w:pPr>
            <w:r>
              <w:rPr>
                <w:rFonts w:ascii="Calibri" w:eastAsia="Times New Roman" w:hAnsi="Calibri" w:cs="Calibri"/>
                <w:lang w:eastAsia="en-GB"/>
              </w:rPr>
              <w:t>Biosafety Guidance Document</w:t>
            </w:r>
          </w:p>
        </w:tc>
      </w:tr>
      <w:bookmarkEnd w:id="26"/>
    </w:tbl>
    <w:p w14:paraId="46F7F8EA" w14:textId="77777777" w:rsidR="001E2A0B" w:rsidRDefault="001E2A0B" w:rsidP="00C006CC">
      <w:pPr>
        <w:autoSpaceDE w:val="0"/>
        <w:autoSpaceDN w:val="0"/>
        <w:adjustRightInd w:val="0"/>
        <w:spacing w:before="0"/>
        <w:ind w:left="0" w:firstLine="0"/>
        <w:jc w:val="left"/>
      </w:pPr>
    </w:p>
    <w:p w14:paraId="683449C8" w14:textId="77777777" w:rsidR="00AD70B0" w:rsidRDefault="00AD70B0" w:rsidP="00C006CC">
      <w:pPr>
        <w:autoSpaceDE w:val="0"/>
        <w:autoSpaceDN w:val="0"/>
        <w:adjustRightInd w:val="0"/>
        <w:spacing w:before="0"/>
        <w:ind w:left="0" w:firstLine="0"/>
        <w:jc w:val="left"/>
      </w:pPr>
    </w:p>
    <w:p w14:paraId="012480C1" w14:textId="77777777" w:rsidR="00AD70B0" w:rsidRDefault="00AD70B0" w:rsidP="00C006CC">
      <w:pPr>
        <w:autoSpaceDE w:val="0"/>
        <w:autoSpaceDN w:val="0"/>
        <w:adjustRightInd w:val="0"/>
        <w:spacing w:before="0"/>
        <w:ind w:left="0" w:firstLine="0"/>
        <w:jc w:val="left"/>
      </w:pPr>
    </w:p>
    <w:sectPr w:rsidR="00AD70B0" w:rsidSect="00AD70B0">
      <w:headerReference w:type="default" r:id="rId15"/>
      <w:headerReference w:type="first" r:id="rId16"/>
      <w:footerReference w:type="first" r:id="rId17"/>
      <w:pgSz w:w="11906" w:h="16838" w:code="9"/>
      <w:pgMar w:top="-2552" w:right="1440" w:bottom="1135" w:left="1440" w:header="709" w:footer="567"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6BD" w14:textId="77777777" w:rsidR="001E77C0" w:rsidRDefault="001E77C0" w:rsidP="00EB6EC4">
      <w:pPr>
        <w:spacing w:before="0"/>
      </w:pPr>
      <w:r>
        <w:separator/>
      </w:r>
    </w:p>
  </w:endnote>
  <w:endnote w:type="continuationSeparator" w:id="0">
    <w:p w14:paraId="497610FD" w14:textId="77777777" w:rsidR="001E77C0" w:rsidRDefault="001E77C0"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747AACE5"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09532C">
      <w:rPr>
        <w:rFonts w:ascii="Arial" w:hAnsi="Arial" w:cs="Arial"/>
        <w:sz w:val="20"/>
        <w:szCs w:val="22"/>
      </w:rPr>
      <w:t>11-06-25</w:t>
    </w:r>
    <w:r w:rsidRPr="00D128B9">
      <w:rPr>
        <w:rFonts w:ascii="Arial" w:hAnsi="Arial" w:cs="Arial"/>
        <w:sz w:val="20"/>
        <w:szCs w:val="22"/>
      </w:rPr>
      <w:t xml:space="preserve"> </w:t>
    </w:r>
  </w:p>
  <w:p w14:paraId="0BFE0ED2" w14:textId="01F39BD1" w:rsidR="00072EB8" w:rsidRPr="00D128B9" w:rsidRDefault="00330E25"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00072EB8" w:rsidRPr="00D128B9">
      <w:rPr>
        <w:rFonts w:ascii="Arial" w:hAnsi="Arial" w:cs="Arial"/>
        <w:sz w:val="20"/>
        <w:szCs w:val="22"/>
      </w:rPr>
      <w:t xml:space="preserve">: </w:t>
    </w:r>
    <w:r w:rsidR="0009532C">
      <w:rPr>
        <w:rFonts w:ascii="Arial" w:hAnsi="Arial" w:cs="Arial"/>
        <w:sz w:val="20"/>
        <w:szCs w:val="22"/>
      </w:rPr>
      <w:t>1.0</w:t>
    </w:r>
  </w:p>
  <w:p w14:paraId="2C8B3734" w14:textId="691D47ED" w:rsidR="00072EB8" w:rsidRPr="00D128B9" w:rsidRDefault="00072EB8" w:rsidP="00072EB8">
    <w:pPr>
      <w:pStyle w:val="BodyTextIndent"/>
      <w:tabs>
        <w:tab w:val="left" w:pos="360"/>
      </w:tabs>
      <w:ind w:firstLine="0"/>
      <w:jc w:val="right"/>
      <w:rPr>
        <w:rFonts w:ascii="Arial" w:hAnsi="Arial" w:cs="Arial"/>
        <w:sz w:val="20"/>
        <w:szCs w:val="22"/>
      </w:rPr>
    </w:pPr>
    <w:r w:rsidRPr="00D128B9">
      <w:rPr>
        <w:rFonts w:ascii="Arial" w:hAnsi="Arial" w:cs="Arial"/>
        <w:sz w:val="20"/>
        <w:szCs w:val="22"/>
      </w:rPr>
      <w:t xml:space="preserve">Date: </w:t>
    </w:r>
    <w:r w:rsidR="0009532C">
      <w:rPr>
        <w:rFonts w:ascii="Arial" w:hAnsi="Arial" w:cs="Arial"/>
        <w:sz w:val="20"/>
        <w:szCs w:val="22"/>
      </w:rPr>
      <w:t>June 2025</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2E58" w14:textId="77777777" w:rsidR="001E77C0" w:rsidRDefault="001E77C0" w:rsidP="00EB6EC4">
      <w:pPr>
        <w:spacing w:before="0"/>
      </w:pPr>
      <w:r>
        <w:separator/>
      </w:r>
    </w:p>
  </w:footnote>
  <w:footnote w:type="continuationSeparator" w:id="0">
    <w:p w14:paraId="678AE2D9" w14:textId="77777777" w:rsidR="001E77C0" w:rsidRDefault="001E77C0"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072EB8" w:rsidRPr="00072EB8" w14:paraId="7B1D5B30" w14:textId="77777777">
      <w:trPr>
        <w:trHeight w:val="285"/>
      </w:trPr>
      <w:tc>
        <w:tcPr>
          <w:tcW w:w="2836" w:type="dxa"/>
          <w:vMerge w:val="restart"/>
          <w:tcBorders>
            <w:top w:val="single" w:sz="6" w:space="0" w:color="auto"/>
            <w:left w:val="single" w:sz="6" w:space="0" w:color="auto"/>
            <w:bottom w:val="single" w:sz="6" w:space="0" w:color="auto"/>
            <w:right w:val="nil"/>
          </w:tcBorders>
          <w:vAlign w:val="center"/>
          <w:hideMark/>
        </w:tcPr>
        <w:p w14:paraId="606A7EB6" w14:textId="505AF07C" w:rsidR="00072EB8" w:rsidRPr="00072EB8" w:rsidRDefault="00F92288" w:rsidP="00072EB8">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4BC8B750" wp14:editId="3E5D9BE0">
                <wp:extent cx="1419225" cy="389428"/>
                <wp:effectExtent l="0" t="0" r="0" b="0"/>
                <wp:docPr id="1846640372" name="Picture 1846640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40372" name="Picture 1846640372">
                          <a:extLst>
                            <a:ext uri="{C183D7F6-B498-43B3-948B-1728B52AA6E4}">
                              <adec:decorative xmlns:adec="http://schemas.microsoft.com/office/drawing/2017/decorative" val="1"/>
                            </a:ext>
                          </a:extLst>
                        </pic:cNvPr>
                        <pic:cNvPicPr/>
                      </pic:nvPicPr>
                      <pic:blipFill>
                        <a:blip r:embed="rId1"/>
                        <a:stretch>
                          <a:fillRect/>
                        </a:stretch>
                      </pic:blipFill>
                      <pic:spPr>
                        <a:xfrm>
                          <a:off x="0" y="0"/>
                          <a:ext cx="1440616" cy="395298"/>
                        </a:xfrm>
                        <a:prstGeom prst="rect">
                          <a:avLst/>
                        </a:prstGeom>
                      </pic:spPr>
                    </pic:pic>
                  </a:graphicData>
                </a:graphic>
              </wp:inline>
            </w:drawing>
          </w:r>
          <w:r w:rsidR="00072EB8"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vAlign w:val="center"/>
          <w:hideMark/>
        </w:tcPr>
        <w:p w14:paraId="708BE9A0" w14:textId="22B8F5E9" w:rsidR="00072EB8" w:rsidRPr="00072EB8" w:rsidRDefault="0009532C" w:rsidP="00072EB8">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Biosafety Policy</w:t>
          </w:r>
        </w:p>
      </w:tc>
      <w:tc>
        <w:tcPr>
          <w:tcW w:w="1164" w:type="dxa"/>
          <w:tcBorders>
            <w:top w:val="single" w:sz="6" w:space="0" w:color="auto"/>
            <w:left w:val="single" w:sz="6" w:space="0" w:color="auto"/>
            <w:bottom w:val="single" w:sz="6" w:space="0" w:color="auto"/>
            <w:right w:val="nil"/>
          </w:tcBorders>
          <w:vAlign w:val="center"/>
          <w:hideMark/>
        </w:tcPr>
        <w:p w14:paraId="428E9357"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B73FF4" w14:textId="1DA914E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sidR="006841F3">
            <w:rPr>
              <w:rFonts w:ascii="Calibri" w:eastAsia="Times New Roman" w:hAnsi="Calibri" w:cs="Calibri"/>
              <w:sz w:val="14"/>
              <w:szCs w:val="14"/>
              <w:lang w:eastAsia="en-GB"/>
            </w:rPr>
            <w:t>PO-0</w:t>
          </w:r>
          <w:r w:rsidR="0009532C">
            <w:rPr>
              <w:rFonts w:ascii="Calibri" w:eastAsia="Times New Roman" w:hAnsi="Calibri" w:cs="Calibri"/>
              <w:sz w:val="14"/>
              <w:szCs w:val="14"/>
              <w:lang w:eastAsia="en-GB"/>
            </w:rPr>
            <w:t>31</w:t>
          </w:r>
        </w:p>
      </w:tc>
    </w:tr>
    <w:tr w:rsidR="00072EB8" w:rsidRPr="00072EB8" w14:paraId="12A4D6C6" w14:textId="77777777">
      <w:trPr>
        <w:trHeight w:val="285"/>
      </w:trPr>
      <w:tc>
        <w:tcPr>
          <w:tcW w:w="2836" w:type="dxa"/>
          <w:vMerge/>
          <w:tcBorders>
            <w:top w:val="single" w:sz="6" w:space="0" w:color="auto"/>
            <w:left w:val="single" w:sz="6" w:space="0" w:color="auto"/>
            <w:bottom w:val="single" w:sz="6" w:space="0" w:color="auto"/>
            <w:right w:val="nil"/>
          </w:tcBorders>
          <w:vAlign w:val="center"/>
          <w:hideMark/>
        </w:tcPr>
        <w:p w14:paraId="304041D7"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2C2AA342"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AC5DFC2"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vAlign w:val="center"/>
          <w:hideMark/>
        </w:tcPr>
        <w:p w14:paraId="14260BF1" w14:textId="49752FAF" w:rsidR="00072EB8" w:rsidRPr="00072EB8" w:rsidRDefault="0009532C"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11</w:t>
          </w:r>
          <w:r w:rsidR="00DA6BBB">
            <w:rPr>
              <w:rFonts w:ascii="Calibri" w:eastAsia="Times New Roman" w:hAnsi="Calibri" w:cs="Calibri"/>
              <w:sz w:val="14"/>
              <w:szCs w:val="14"/>
              <w:lang w:eastAsia="en-GB"/>
            </w:rPr>
            <w:t>.</w:t>
          </w:r>
          <w:r w:rsidR="00072EB8" w:rsidRPr="00072EB8">
            <w:rPr>
              <w:rFonts w:ascii="Calibri" w:eastAsia="Times New Roman" w:hAnsi="Calibri" w:cs="Calibri"/>
              <w:sz w:val="14"/>
              <w:szCs w:val="14"/>
              <w:lang w:eastAsia="en-GB"/>
            </w:rPr>
            <w:t>0</w:t>
          </w:r>
          <w:r>
            <w:rPr>
              <w:rFonts w:ascii="Calibri" w:eastAsia="Times New Roman" w:hAnsi="Calibri" w:cs="Calibri"/>
              <w:sz w:val="14"/>
              <w:szCs w:val="14"/>
              <w:lang w:eastAsia="en-GB"/>
            </w:rPr>
            <w:t>6</w:t>
          </w:r>
          <w:r w:rsidR="00DA6BBB">
            <w:rPr>
              <w:rFonts w:ascii="Calibri" w:eastAsia="Times New Roman" w:hAnsi="Calibri" w:cs="Calibri"/>
              <w:sz w:val="14"/>
              <w:szCs w:val="14"/>
              <w:lang w:eastAsia="en-GB"/>
            </w:rPr>
            <w:t>.</w:t>
          </w:r>
          <w:r w:rsidR="006841F3">
            <w:rPr>
              <w:rFonts w:ascii="Calibri" w:eastAsia="Times New Roman" w:hAnsi="Calibri" w:cs="Calibri"/>
              <w:sz w:val="14"/>
              <w:szCs w:val="14"/>
              <w:lang w:eastAsia="en-GB"/>
            </w:rPr>
            <w:t>2</w:t>
          </w:r>
          <w:r>
            <w:rPr>
              <w:rFonts w:ascii="Calibri" w:eastAsia="Times New Roman" w:hAnsi="Calibri" w:cs="Calibri"/>
              <w:sz w:val="14"/>
              <w:szCs w:val="14"/>
              <w:lang w:eastAsia="en-GB"/>
            </w:rPr>
            <w:t>5</w:t>
          </w:r>
        </w:p>
      </w:tc>
    </w:tr>
    <w:tr w:rsidR="00072EB8" w:rsidRPr="00072EB8" w14:paraId="486B3511" w14:textId="77777777">
      <w:trPr>
        <w:trHeight w:val="285"/>
      </w:trPr>
      <w:tc>
        <w:tcPr>
          <w:tcW w:w="2836" w:type="dxa"/>
          <w:vMerge/>
          <w:tcBorders>
            <w:top w:val="single" w:sz="6" w:space="0" w:color="auto"/>
            <w:left w:val="single" w:sz="6" w:space="0" w:color="auto"/>
            <w:bottom w:val="single" w:sz="6" w:space="0" w:color="auto"/>
            <w:right w:val="nil"/>
          </w:tcBorders>
          <w:vAlign w:val="center"/>
          <w:hideMark/>
        </w:tcPr>
        <w:p w14:paraId="58D02293"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CB4788"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6883F5FC"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vAlign w:val="center"/>
          <w:hideMark/>
        </w:tcPr>
        <w:p w14:paraId="2980ACA0" w14:textId="0491D447" w:rsidR="00072EB8" w:rsidRPr="001E2A0B" w:rsidRDefault="001E2A0B" w:rsidP="00072EB8">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072EB8" w:rsidRPr="00072EB8" w14:paraId="40E88D43" w14:textId="77777777">
      <w:trPr>
        <w:trHeight w:val="390"/>
      </w:trPr>
      <w:tc>
        <w:tcPr>
          <w:tcW w:w="2836" w:type="dxa"/>
          <w:vMerge/>
          <w:tcBorders>
            <w:top w:val="single" w:sz="6" w:space="0" w:color="auto"/>
            <w:left w:val="single" w:sz="6" w:space="0" w:color="auto"/>
            <w:bottom w:val="single" w:sz="6" w:space="0" w:color="auto"/>
            <w:right w:val="nil"/>
          </w:tcBorders>
          <w:vAlign w:val="center"/>
          <w:hideMark/>
        </w:tcPr>
        <w:p w14:paraId="53DF96D4"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AA320F"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34F4AA1"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vAlign w:val="center"/>
          <w:hideMark/>
        </w:tcPr>
        <w:p w14:paraId="43EEF2E1" w14:textId="693458F3" w:rsidR="00072EB8" w:rsidRPr="00072EB8" w:rsidRDefault="0009532C"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Rev 2</w:t>
          </w:r>
          <w:r w:rsidR="00072EB8" w:rsidRPr="00072EB8">
            <w:rPr>
              <w:rFonts w:ascii="Calibri" w:eastAsia="Times New Roman" w:hAnsi="Calibri" w:cs="Calibri"/>
              <w:sz w:val="14"/>
              <w:szCs w:val="14"/>
              <w:lang w:eastAsia="en-GB"/>
            </w:rPr>
            <w:t> </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74A" w14:textId="3FC3A5AC" w:rsidR="00F92288" w:rsidRDefault="00F92288">
    <w:pPr>
      <w:pStyle w:val="Header"/>
    </w:pPr>
    <w:r>
      <w:rPr>
        <w:noProof/>
      </w:rPr>
      <w:drawing>
        <wp:anchor distT="0" distB="0" distL="114300" distR="114300" simplePos="0" relativeHeight="251658240" behindDoc="0" locked="0" layoutInCell="1" allowOverlap="1" wp14:anchorId="4FB77C45" wp14:editId="2831AC47">
          <wp:simplePos x="0" y="0"/>
          <wp:positionH relativeFrom="column">
            <wp:posOffset>-247015</wp:posOffset>
          </wp:positionH>
          <wp:positionV relativeFrom="paragraph">
            <wp:posOffset>407035</wp:posOffset>
          </wp:positionV>
          <wp:extent cx="2256330" cy="619125"/>
          <wp:effectExtent l="0" t="0" r="0" b="0"/>
          <wp:wrapNone/>
          <wp:docPr id="1795143055" name="Picture 1795143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43055" name="Picture 179514305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633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D18"/>
    <w:multiLevelType w:val="hybridMultilevel"/>
    <w:tmpl w:val="85243F00"/>
    <w:lvl w:ilvl="0" w:tplc="3FF2B540">
      <w:start w:val="7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E780A"/>
    <w:multiLevelType w:val="hybridMultilevel"/>
    <w:tmpl w:val="B22CB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3270F"/>
    <w:multiLevelType w:val="hybridMultilevel"/>
    <w:tmpl w:val="59C2CEE0"/>
    <w:lvl w:ilvl="0" w:tplc="F094F1E6">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A215F"/>
    <w:multiLevelType w:val="hybridMultilevel"/>
    <w:tmpl w:val="C5F6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00E9A"/>
    <w:multiLevelType w:val="hybridMultilevel"/>
    <w:tmpl w:val="480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70E23"/>
    <w:multiLevelType w:val="hybridMultilevel"/>
    <w:tmpl w:val="F0B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C51A8"/>
    <w:multiLevelType w:val="hybridMultilevel"/>
    <w:tmpl w:val="A946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4F5C"/>
    <w:multiLevelType w:val="hybridMultilevel"/>
    <w:tmpl w:val="93C6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575FC"/>
    <w:multiLevelType w:val="hybridMultilevel"/>
    <w:tmpl w:val="2314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85B69"/>
    <w:multiLevelType w:val="hybridMultilevel"/>
    <w:tmpl w:val="18B687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5848D2"/>
    <w:multiLevelType w:val="multilevel"/>
    <w:tmpl w:val="A65827AC"/>
    <w:lvl w:ilvl="0">
      <w:start w:val="1"/>
      <w:numFmt w:val="decimal"/>
      <w:lvlText w:val="%1."/>
      <w:lvlJc w:val="left"/>
      <w:pPr>
        <w:ind w:left="683" w:hanging="54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863"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211"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254" w:hanging="360"/>
      </w:pPr>
      <w:rPr>
        <w:rFonts w:hint="default"/>
        <w:lang w:val="en-US" w:eastAsia="en-US" w:bidi="ar-SA"/>
      </w:rPr>
    </w:lvl>
    <w:lvl w:ilvl="4">
      <w:numFmt w:val="bullet"/>
      <w:lvlText w:val="•"/>
      <w:lvlJc w:val="left"/>
      <w:pPr>
        <w:ind w:left="3289" w:hanging="360"/>
      </w:pPr>
      <w:rPr>
        <w:rFonts w:hint="default"/>
        <w:lang w:val="en-US" w:eastAsia="en-US" w:bidi="ar-SA"/>
      </w:rPr>
    </w:lvl>
    <w:lvl w:ilvl="5">
      <w:numFmt w:val="bullet"/>
      <w:lvlText w:val="•"/>
      <w:lvlJc w:val="left"/>
      <w:pPr>
        <w:ind w:left="4324" w:hanging="360"/>
      </w:pPr>
      <w:rPr>
        <w:rFonts w:hint="default"/>
        <w:lang w:val="en-US" w:eastAsia="en-US" w:bidi="ar-SA"/>
      </w:rPr>
    </w:lvl>
    <w:lvl w:ilvl="6">
      <w:numFmt w:val="bullet"/>
      <w:lvlText w:val="•"/>
      <w:lvlJc w:val="left"/>
      <w:pPr>
        <w:ind w:left="5359" w:hanging="360"/>
      </w:pPr>
      <w:rPr>
        <w:rFonts w:hint="default"/>
        <w:lang w:val="en-US" w:eastAsia="en-US" w:bidi="ar-SA"/>
      </w:rPr>
    </w:lvl>
    <w:lvl w:ilvl="7">
      <w:numFmt w:val="bullet"/>
      <w:lvlText w:val="•"/>
      <w:lvlJc w:val="left"/>
      <w:pPr>
        <w:ind w:left="6394" w:hanging="360"/>
      </w:pPr>
      <w:rPr>
        <w:rFonts w:hint="default"/>
        <w:lang w:val="en-US" w:eastAsia="en-US" w:bidi="ar-SA"/>
      </w:rPr>
    </w:lvl>
    <w:lvl w:ilvl="8">
      <w:numFmt w:val="bullet"/>
      <w:lvlText w:val="•"/>
      <w:lvlJc w:val="left"/>
      <w:pPr>
        <w:ind w:left="7428" w:hanging="360"/>
      </w:pPr>
      <w:rPr>
        <w:rFonts w:hint="default"/>
        <w:lang w:val="en-US" w:eastAsia="en-US" w:bidi="ar-SA"/>
      </w:rPr>
    </w:lvl>
  </w:abstractNum>
  <w:abstractNum w:abstractNumId="11" w15:restartNumberingAfterBreak="0">
    <w:nsid w:val="6A7A2A52"/>
    <w:multiLevelType w:val="hybridMultilevel"/>
    <w:tmpl w:val="8108828E"/>
    <w:lvl w:ilvl="0" w:tplc="1A28D184">
      <w:numFmt w:val="bullet"/>
      <w:lvlText w:val=""/>
      <w:lvlJc w:val="left"/>
      <w:pPr>
        <w:ind w:left="863" w:hanging="360"/>
      </w:pPr>
      <w:rPr>
        <w:rFonts w:ascii="Symbol" w:eastAsia="Symbol" w:hAnsi="Symbol" w:cs="Symbol" w:hint="default"/>
        <w:b w:val="0"/>
        <w:bCs w:val="0"/>
        <w:i w:val="0"/>
        <w:iCs w:val="0"/>
        <w:spacing w:val="0"/>
        <w:w w:val="100"/>
        <w:sz w:val="24"/>
        <w:szCs w:val="24"/>
        <w:lang w:val="en-US" w:eastAsia="en-US" w:bidi="ar-SA"/>
      </w:rPr>
    </w:lvl>
    <w:lvl w:ilvl="1" w:tplc="342E1A04">
      <w:numFmt w:val="bullet"/>
      <w:lvlText w:val="o"/>
      <w:lvlJc w:val="left"/>
      <w:pPr>
        <w:ind w:left="1583" w:hanging="360"/>
      </w:pPr>
      <w:rPr>
        <w:rFonts w:ascii="Courier New" w:eastAsia="Courier New" w:hAnsi="Courier New" w:cs="Courier New" w:hint="default"/>
        <w:b w:val="0"/>
        <w:bCs w:val="0"/>
        <w:i w:val="0"/>
        <w:iCs w:val="0"/>
        <w:spacing w:val="0"/>
        <w:w w:val="100"/>
        <w:sz w:val="24"/>
        <w:szCs w:val="24"/>
        <w:lang w:val="en-US" w:eastAsia="en-US" w:bidi="ar-SA"/>
      </w:rPr>
    </w:lvl>
    <w:lvl w:ilvl="2" w:tplc="4FBAEF48">
      <w:numFmt w:val="bullet"/>
      <w:lvlText w:val="•"/>
      <w:lvlJc w:val="left"/>
      <w:pPr>
        <w:ind w:left="2459" w:hanging="360"/>
      </w:pPr>
      <w:rPr>
        <w:rFonts w:hint="default"/>
        <w:lang w:val="en-US" w:eastAsia="en-US" w:bidi="ar-SA"/>
      </w:rPr>
    </w:lvl>
    <w:lvl w:ilvl="3" w:tplc="22F21368">
      <w:numFmt w:val="bullet"/>
      <w:lvlText w:val="•"/>
      <w:lvlJc w:val="left"/>
      <w:pPr>
        <w:ind w:left="3339" w:hanging="360"/>
      </w:pPr>
      <w:rPr>
        <w:rFonts w:hint="default"/>
        <w:lang w:val="en-US" w:eastAsia="en-US" w:bidi="ar-SA"/>
      </w:rPr>
    </w:lvl>
    <w:lvl w:ilvl="4" w:tplc="02469BA0">
      <w:numFmt w:val="bullet"/>
      <w:lvlText w:val="•"/>
      <w:lvlJc w:val="left"/>
      <w:pPr>
        <w:ind w:left="4219" w:hanging="360"/>
      </w:pPr>
      <w:rPr>
        <w:rFonts w:hint="default"/>
        <w:lang w:val="en-US" w:eastAsia="en-US" w:bidi="ar-SA"/>
      </w:rPr>
    </w:lvl>
    <w:lvl w:ilvl="5" w:tplc="D668FF32">
      <w:numFmt w:val="bullet"/>
      <w:lvlText w:val="•"/>
      <w:lvlJc w:val="left"/>
      <w:pPr>
        <w:ind w:left="5099" w:hanging="360"/>
      </w:pPr>
      <w:rPr>
        <w:rFonts w:hint="default"/>
        <w:lang w:val="en-US" w:eastAsia="en-US" w:bidi="ar-SA"/>
      </w:rPr>
    </w:lvl>
    <w:lvl w:ilvl="6" w:tplc="CB3EA5E6">
      <w:numFmt w:val="bullet"/>
      <w:lvlText w:val="•"/>
      <w:lvlJc w:val="left"/>
      <w:pPr>
        <w:ind w:left="5979" w:hanging="360"/>
      </w:pPr>
      <w:rPr>
        <w:rFonts w:hint="default"/>
        <w:lang w:val="en-US" w:eastAsia="en-US" w:bidi="ar-SA"/>
      </w:rPr>
    </w:lvl>
    <w:lvl w:ilvl="7" w:tplc="E49CE07C">
      <w:numFmt w:val="bullet"/>
      <w:lvlText w:val="•"/>
      <w:lvlJc w:val="left"/>
      <w:pPr>
        <w:ind w:left="6858" w:hanging="360"/>
      </w:pPr>
      <w:rPr>
        <w:rFonts w:hint="default"/>
        <w:lang w:val="en-US" w:eastAsia="en-US" w:bidi="ar-SA"/>
      </w:rPr>
    </w:lvl>
    <w:lvl w:ilvl="8" w:tplc="A05A050E">
      <w:numFmt w:val="bullet"/>
      <w:lvlText w:val="•"/>
      <w:lvlJc w:val="left"/>
      <w:pPr>
        <w:ind w:left="7738" w:hanging="360"/>
      </w:pPr>
      <w:rPr>
        <w:rFonts w:hint="default"/>
        <w:lang w:val="en-US" w:eastAsia="en-US" w:bidi="ar-SA"/>
      </w:rPr>
    </w:lvl>
  </w:abstractNum>
  <w:abstractNum w:abstractNumId="12" w15:restartNumberingAfterBreak="0">
    <w:nsid w:val="6D3C6765"/>
    <w:multiLevelType w:val="hybridMultilevel"/>
    <w:tmpl w:val="A2D6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D24B1"/>
    <w:multiLevelType w:val="hybridMultilevel"/>
    <w:tmpl w:val="A350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14"/>
  </w:num>
  <w:num w:numId="2" w16cid:durableId="813176198">
    <w:abstractNumId w:val="10"/>
  </w:num>
  <w:num w:numId="3" w16cid:durableId="1586838166">
    <w:abstractNumId w:val="11"/>
  </w:num>
  <w:num w:numId="4" w16cid:durableId="848911135">
    <w:abstractNumId w:val="1"/>
  </w:num>
  <w:num w:numId="5" w16cid:durableId="14425491">
    <w:abstractNumId w:val="9"/>
  </w:num>
  <w:num w:numId="6" w16cid:durableId="1340621461">
    <w:abstractNumId w:val="2"/>
  </w:num>
  <w:num w:numId="7" w16cid:durableId="27223890">
    <w:abstractNumId w:val="0"/>
  </w:num>
  <w:num w:numId="8" w16cid:durableId="1443190947">
    <w:abstractNumId w:val="8"/>
  </w:num>
  <w:num w:numId="9" w16cid:durableId="327682531">
    <w:abstractNumId w:val="13"/>
  </w:num>
  <w:num w:numId="10" w16cid:durableId="944072161">
    <w:abstractNumId w:val="7"/>
  </w:num>
  <w:num w:numId="11" w16cid:durableId="802575673">
    <w:abstractNumId w:val="6"/>
  </w:num>
  <w:num w:numId="12" w16cid:durableId="219901125">
    <w:abstractNumId w:val="3"/>
  </w:num>
  <w:num w:numId="13" w16cid:durableId="1931155951">
    <w:abstractNumId w:val="5"/>
  </w:num>
  <w:num w:numId="14" w16cid:durableId="886113494">
    <w:abstractNumId w:val="4"/>
  </w:num>
  <w:num w:numId="15" w16cid:durableId="174490835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16A8C"/>
    <w:rsid w:val="000248C0"/>
    <w:rsid w:val="000305D8"/>
    <w:rsid w:val="00035DA3"/>
    <w:rsid w:val="00041AFB"/>
    <w:rsid w:val="00043624"/>
    <w:rsid w:val="00053027"/>
    <w:rsid w:val="00057CF1"/>
    <w:rsid w:val="00064FDF"/>
    <w:rsid w:val="000705A9"/>
    <w:rsid w:val="00072EB8"/>
    <w:rsid w:val="00083630"/>
    <w:rsid w:val="0009532C"/>
    <w:rsid w:val="000A04BE"/>
    <w:rsid w:val="000A4A9E"/>
    <w:rsid w:val="000A6C05"/>
    <w:rsid w:val="000C6E9E"/>
    <w:rsid w:val="000D0A3B"/>
    <w:rsid w:val="000D68C9"/>
    <w:rsid w:val="000D746A"/>
    <w:rsid w:val="000D77E3"/>
    <w:rsid w:val="000E705C"/>
    <w:rsid w:val="000F0036"/>
    <w:rsid w:val="000F6165"/>
    <w:rsid w:val="00100D6D"/>
    <w:rsid w:val="0010529E"/>
    <w:rsid w:val="001068C5"/>
    <w:rsid w:val="00110225"/>
    <w:rsid w:val="00111191"/>
    <w:rsid w:val="0011347B"/>
    <w:rsid w:val="0012451C"/>
    <w:rsid w:val="00127264"/>
    <w:rsid w:val="00132B04"/>
    <w:rsid w:val="00135354"/>
    <w:rsid w:val="00136114"/>
    <w:rsid w:val="00140571"/>
    <w:rsid w:val="001427B0"/>
    <w:rsid w:val="00142FCF"/>
    <w:rsid w:val="00147703"/>
    <w:rsid w:val="00153B8F"/>
    <w:rsid w:val="00154CF9"/>
    <w:rsid w:val="00165AB4"/>
    <w:rsid w:val="00172866"/>
    <w:rsid w:val="00175217"/>
    <w:rsid w:val="001776B4"/>
    <w:rsid w:val="00180526"/>
    <w:rsid w:val="00194B48"/>
    <w:rsid w:val="00195D78"/>
    <w:rsid w:val="001B18A1"/>
    <w:rsid w:val="001B6BE0"/>
    <w:rsid w:val="001B76E7"/>
    <w:rsid w:val="001D621D"/>
    <w:rsid w:val="001E2A0B"/>
    <w:rsid w:val="001E77C0"/>
    <w:rsid w:val="00203C4D"/>
    <w:rsid w:val="00204FDB"/>
    <w:rsid w:val="00221050"/>
    <w:rsid w:val="00233F1B"/>
    <w:rsid w:val="00243399"/>
    <w:rsid w:val="00244CDF"/>
    <w:rsid w:val="002539BB"/>
    <w:rsid w:val="00254D93"/>
    <w:rsid w:val="00257F0D"/>
    <w:rsid w:val="0026596C"/>
    <w:rsid w:val="002707AA"/>
    <w:rsid w:val="002717E8"/>
    <w:rsid w:val="00271D6E"/>
    <w:rsid w:val="0028428E"/>
    <w:rsid w:val="00284388"/>
    <w:rsid w:val="00285928"/>
    <w:rsid w:val="00291ABB"/>
    <w:rsid w:val="00293AF1"/>
    <w:rsid w:val="002A6B8C"/>
    <w:rsid w:val="002B34CE"/>
    <w:rsid w:val="002B366F"/>
    <w:rsid w:val="002C7318"/>
    <w:rsid w:val="002D2F04"/>
    <w:rsid w:val="002D7B01"/>
    <w:rsid w:val="002E609C"/>
    <w:rsid w:val="002F157D"/>
    <w:rsid w:val="002F2BC0"/>
    <w:rsid w:val="00300284"/>
    <w:rsid w:val="003028EB"/>
    <w:rsid w:val="00307DD2"/>
    <w:rsid w:val="00310078"/>
    <w:rsid w:val="00310E87"/>
    <w:rsid w:val="00314EAC"/>
    <w:rsid w:val="00320834"/>
    <w:rsid w:val="00330E25"/>
    <w:rsid w:val="003343D0"/>
    <w:rsid w:val="0033525F"/>
    <w:rsid w:val="0033735B"/>
    <w:rsid w:val="0034118B"/>
    <w:rsid w:val="003420BE"/>
    <w:rsid w:val="00343AA9"/>
    <w:rsid w:val="003645D9"/>
    <w:rsid w:val="0036619F"/>
    <w:rsid w:val="003701D3"/>
    <w:rsid w:val="00371485"/>
    <w:rsid w:val="0038476B"/>
    <w:rsid w:val="00384EF1"/>
    <w:rsid w:val="003948F4"/>
    <w:rsid w:val="003A4C10"/>
    <w:rsid w:val="003C546B"/>
    <w:rsid w:val="003C6DB7"/>
    <w:rsid w:val="003D5621"/>
    <w:rsid w:val="003E65F9"/>
    <w:rsid w:val="003E7B87"/>
    <w:rsid w:val="003E7F88"/>
    <w:rsid w:val="003F0920"/>
    <w:rsid w:val="00401F1B"/>
    <w:rsid w:val="00417899"/>
    <w:rsid w:val="004244C7"/>
    <w:rsid w:val="0042698B"/>
    <w:rsid w:val="00427161"/>
    <w:rsid w:val="004305C0"/>
    <w:rsid w:val="00444497"/>
    <w:rsid w:val="00446359"/>
    <w:rsid w:val="00446C94"/>
    <w:rsid w:val="00447EC6"/>
    <w:rsid w:val="00454168"/>
    <w:rsid w:val="00461A17"/>
    <w:rsid w:val="00464962"/>
    <w:rsid w:val="004655F2"/>
    <w:rsid w:val="00465756"/>
    <w:rsid w:val="00470555"/>
    <w:rsid w:val="00474DEA"/>
    <w:rsid w:val="00475174"/>
    <w:rsid w:val="004875F8"/>
    <w:rsid w:val="004A230E"/>
    <w:rsid w:val="004A363D"/>
    <w:rsid w:val="004A756A"/>
    <w:rsid w:val="004B058C"/>
    <w:rsid w:val="004B1C86"/>
    <w:rsid w:val="004B6E2C"/>
    <w:rsid w:val="004C4051"/>
    <w:rsid w:val="004C7092"/>
    <w:rsid w:val="004D2BBF"/>
    <w:rsid w:val="004D5FCF"/>
    <w:rsid w:val="004F1A61"/>
    <w:rsid w:val="00505BC4"/>
    <w:rsid w:val="00505F85"/>
    <w:rsid w:val="00513735"/>
    <w:rsid w:val="00532D7F"/>
    <w:rsid w:val="00532E89"/>
    <w:rsid w:val="00536AD8"/>
    <w:rsid w:val="00542ABC"/>
    <w:rsid w:val="00543387"/>
    <w:rsid w:val="00554BD8"/>
    <w:rsid w:val="00555AEF"/>
    <w:rsid w:val="005560AE"/>
    <w:rsid w:val="00563C54"/>
    <w:rsid w:val="005648EE"/>
    <w:rsid w:val="00571E46"/>
    <w:rsid w:val="00574761"/>
    <w:rsid w:val="00576D26"/>
    <w:rsid w:val="0058605C"/>
    <w:rsid w:val="00586D95"/>
    <w:rsid w:val="005A0258"/>
    <w:rsid w:val="005A2C14"/>
    <w:rsid w:val="005A6B13"/>
    <w:rsid w:val="005B24AD"/>
    <w:rsid w:val="005B3FA0"/>
    <w:rsid w:val="005B5DB1"/>
    <w:rsid w:val="005C03DE"/>
    <w:rsid w:val="005C5944"/>
    <w:rsid w:val="005C76A4"/>
    <w:rsid w:val="005D0A35"/>
    <w:rsid w:val="005D0C57"/>
    <w:rsid w:val="005D256D"/>
    <w:rsid w:val="005E7C46"/>
    <w:rsid w:val="005F14BF"/>
    <w:rsid w:val="005F1E1A"/>
    <w:rsid w:val="005F4537"/>
    <w:rsid w:val="005F5554"/>
    <w:rsid w:val="00601003"/>
    <w:rsid w:val="006022E8"/>
    <w:rsid w:val="00610FFF"/>
    <w:rsid w:val="00615654"/>
    <w:rsid w:val="00616EB2"/>
    <w:rsid w:val="00617953"/>
    <w:rsid w:val="0062630E"/>
    <w:rsid w:val="00627D30"/>
    <w:rsid w:val="006300D8"/>
    <w:rsid w:val="00630364"/>
    <w:rsid w:val="00630991"/>
    <w:rsid w:val="00636D83"/>
    <w:rsid w:val="00636EF9"/>
    <w:rsid w:val="006478DD"/>
    <w:rsid w:val="00652579"/>
    <w:rsid w:val="00666130"/>
    <w:rsid w:val="00666448"/>
    <w:rsid w:val="0068083F"/>
    <w:rsid w:val="006841F3"/>
    <w:rsid w:val="006A140E"/>
    <w:rsid w:val="006A2308"/>
    <w:rsid w:val="006A6EA6"/>
    <w:rsid w:val="006B0C93"/>
    <w:rsid w:val="006B68E8"/>
    <w:rsid w:val="006B7EC9"/>
    <w:rsid w:val="006C07B7"/>
    <w:rsid w:val="006F1439"/>
    <w:rsid w:val="006F379D"/>
    <w:rsid w:val="006F516F"/>
    <w:rsid w:val="006F58DF"/>
    <w:rsid w:val="006F7CA6"/>
    <w:rsid w:val="00702BAA"/>
    <w:rsid w:val="007038B0"/>
    <w:rsid w:val="007038E0"/>
    <w:rsid w:val="00704FFE"/>
    <w:rsid w:val="00711D16"/>
    <w:rsid w:val="00711F6F"/>
    <w:rsid w:val="0071207F"/>
    <w:rsid w:val="00721EDB"/>
    <w:rsid w:val="00723501"/>
    <w:rsid w:val="00725EB1"/>
    <w:rsid w:val="0072791B"/>
    <w:rsid w:val="00727C29"/>
    <w:rsid w:val="00730C12"/>
    <w:rsid w:val="00744F06"/>
    <w:rsid w:val="007575B5"/>
    <w:rsid w:val="0076053E"/>
    <w:rsid w:val="00765BBF"/>
    <w:rsid w:val="00776FF5"/>
    <w:rsid w:val="007820C3"/>
    <w:rsid w:val="00785289"/>
    <w:rsid w:val="00791C07"/>
    <w:rsid w:val="00794CBA"/>
    <w:rsid w:val="007C5084"/>
    <w:rsid w:val="007C63B9"/>
    <w:rsid w:val="007D5513"/>
    <w:rsid w:val="007D5C15"/>
    <w:rsid w:val="007E6DE4"/>
    <w:rsid w:val="007E72E0"/>
    <w:rsid w:val="007F1AD1"/>
    <w:rsid w:val="007F5157"/>
    <w:rsid w:val="00805065"/>
    <w:rsid w:val="00812025"/>
    <w:rsid w:val="00813D98"/>
    <w:rsid w:val="0081400E"/>
    <w:rsid w:val="00820D33"/>
    <w:rsid w:val="00822B31"/>
    <w:rsid w:val="008374BF"/>
    <w:rsid w:val="008430CD"/>
    <w:rsid w:val="00847CB6"/>
    <w:rsid w:val="00860F8F"/>
    <w:rsid w:val="008610CC"/>
    <w:rsid w:val="00864E17"/>
    <w:rsid w:val="00871B94"/>
    <w:rsid w:val="00872BF7"/>
    <w:rsid w:val="00886751"/>
    <w:rsid w:val="008A2E55"/>
    <w:rsid w:val="008B079C"/>
    <w:rsid w:val="008B27C9"/>
    <w:rsid w:val="008B3D09"/>
    <w:rsid w:val="008B7DB5"/>
    <w:rsid w:val="008C3703"/>
    <w:rsid w:val="008D1A6B"/>
    <w:rsid w:val="008D6456"/>
    <w:rsid w:val="008E007A"/>
    <w:rsid w:val="008E147C"/>
    <w:rsid w:val="008E22FC"/>
    <w:rsid w:val="008E369F"/>
    <w:rsid w:val="008E6D3D"/>
    <w:rsid w:val="008F22CE"/>
    <w:rsid w:val="008F74B0"/>
    <w:rsid w:val="00915354"/>
    <w:rsid w:val="00922C2E"/>
    <w:rsid w:val="009240CA"/>
    <w:rsid w:val="00924920"/>
    <w:rsid w:val="009249C9"/>
    <w:rsid w:val="00933084"/>
    <w:rsid w:val="009348BE"/>
    <w:rsid w:val="009363BC"/>
    <w:rsid w:val="00936E8E"/>
    <w:rsid w:val="00940577"/>
    <w:rsid w:val="0095114A"/>
    <w:rsid w:val="0095640D"/>
    <w:rsid w:val="009567BF"/>
    <w:rsid w:val="00956C86"/>
    <w:rsid w:val="0096567A"/>
    <w:rsid w:val="00976534"/>
    <w:rsid w:val="0098053E"/>
    <w:rsid w:val="009808A0"/>
    <w:rsid w:val="00980D0E"/>
    <w:rsid w:val="00984D19"/>
    <w:rsid w:val="00987A33"/>
    <w:rsid w:val="00993616"/>
    <w:rsid w:val="00995FFD"/>
    <w:rsid w:val="009A6FC4"/>
    <w:rsid w:val="009A72CA"/>
    <w:rsid w:val="009B7634"/>
    <w:rsid w:val="009C2163"/>
    <w:rsid w:val="009C5D58"/>
    <w:rsid w:val="009C70E6"/>
    <w:rsid w:val="009D0538"/>
    <w:rsid w:val="009D20AD"/>
    <w:rsid w:val="009D42B0"/>
    <w:rsid w:val="009D7872"/>
    <w:rsid w:val="009D7A8C"/>
    <w:rsid w:val="009F3376"/>
    <w:rsid w:val="009F50EC"/>
    <w:rsid w:val="009F7898"/>
    <w:rsid w:val="009F7EBF"/>
    <w:rsid w:val="00A0147F"/>
    <w:rsid w:val="00A05FCA"/>
    <w:rsid w:val="00A17F25"/>
    <w:rsid w:val="00A21905"/>
    <w:rsid w:val="00A21DCA"/>
    <w:rsid w:val="00A26B1E"/>
    <w:rsid w:val="00A27AF3"/>
    <w:rsid w:val="00A358AF"/>
    <w:rsid w:val="00A37EF0"/>
    <w:rsid w:val="00A405A8"/>
    <w:rsid w:val="00A465E3"/>
    <w:rsid w:val="00A51701"/>
    <w:rsid w:val="00A739A8"/>
    <w:rsid w:val="00A7434D"/>
    <w:rsid w:val="00A7558C"/>
    <w:rsid w:val="00A80A3B"/>
    <w:rsid w:val="00A97766"/>
    <w:rsid w:val="00AA1255"/>
    <w:rsid w:val="00AA1E89"/>
    <w:rsid w:val="00AA268E"/>
    <w:rsid w:val="00AA2C99"/>
    <w:rsid w:val="00AA59F2"/>
    <w:rsid w:val="00AB060D"/>
    <w:rsid w:val="00AC0D8E"/>
    <w:rsid w:val="00AC2D20"/>
    <w:rsid w:val="00AD058A"/>
    <w:rsid w:val="00AD5286"/>
    <w:rsid w:val="00AD70B0"/>
    <w:rsid w:val="00AD77B2"/>
    <w:rsid w:val="00AE29AF"/>
    <w:rsid w:val="00AE4B2B"/>
    <w:rsid w:val="00AE5FEB"/>
    <w:rsid w:val="00AF2894"/>
    <w:rsid w:val="00B0046A"/>
    <w:rsid w:val="00B0122F"/>
    <w:rsid w:val="00B1078B"/>
    <w:rsid w:val="00B16211"/>
    <w:rsid w:val="00B20FA0"/>
    <w:rsid w:val="00B220CF"/>
    <w:rsid w:val="00B24695"/>
    <w:rsid w:val="00B27AFC"/>
    <w:rsid w:val="00B3295E"/>
    <w:rsid w:val="00B365CF"/>
    <w:rsid w:val="00B40C8B"/>
    <w:rsid w:val="00B40D68"/>
    <w:rsid w:val="00B46B55"/>
    <w:rsid w:val="00B6123E"/>
    <w:rsid w:val="00B75F57"/>
    <w:rsid w:val="00B7628B"/>
    <w:rsid w:val="00B8576A"/>
    <w:rsid w:val="00BA1347"/>
    <w:rsid w:val="00BA42AA"/>
    <w:rsid w:val="00BA5B90"/>
    <w:rsid w:val="00BA65DF"/>
    <w:rsid w:val="00BB239E"/>
    <w:rsid w:val="00BC2633"/>
    <w:rsid w:val="00BD508B"/>
    <w:rsid w:val="00BD6267"/>
    <w:rsid w:val="00BE3B5C"/>
    <w:rsid w:val="00BF317A"/>
    <w:rsid w:val="00C006CC"/>
    <w:rsid w:val="00C112A4"/>
    <w:rsid w:val="00C25FB4"/>
    <w:rsid w:val="00C27DE8"/>
    <w:rsid w:val="00C33C4C"/>
    <w:rsid w:val="00C3491E"/>
    <w:rsid w:val="00C352B3"/>
    <w:rsid w:val="00C3627A"/>
    <w:rsid w:val="00C36EA3"/>
    <w:rsid w:val="00C45B3F"/>
    <w:rsid w:val="00C461C1"/>
    <w:rsid w:val="00C53DD7"/>
    <w:rsid w:val="00C6355A"/>
    <w:rsid w:val="00C66C97"/>
    <w:rsid w:val="00C70C47"/>
    <w:rsid w:val="00C721C0"/>
    <w:rsid w:val="00C73D6A"/>
    <w:rsid w:val="00C82F0C"/>
    <w:rsid w:val="00C87B85"/>
    <w:rsid w:val="00C9440B"/>
    <w:rsid w:val="00CB2776"/>
    <w:rsid w:val="00CB5625"/>
    <w:rsid w:val="00CB7C07"/>
    <w:rsid w:val="00CD5985"/>
    <w:rsid w:val="00CE321F"/>
    <w:rsid w:val="00CE361E"/>
    <w:rsid w:val="00CE3C50"/>
    <w:rsid w:val="00CE6463"/>
    <w:rsid w:val="00CF503A"/>
    <w:rsid w:val="00D003FC"/>
    <w:rsid w:val="00D01B7B"/>
    <w:rsid w:val="00D11478"/>
    <w:rsid w:val="00D263A7"/>
    <w:rsid w:val="00D331E7"/>
    <w:rsid w:val="00D369B3"/>
    <w:rsid w:val="00D61203"/>
    <w:rsid w:val="00D63ED4"/>
    <w:rsid w:val="00D8002D"/>
    <w:rsid w:val="00D87351"/>
    <w:rsid w:val="00D94415"/>
    <w:rsid w:val="00D94C9B"/>
    <w:rsid w:val="00DA12C8"/>
    <w:rsid w:val="00DA1ADC"/>
    <w:rsid w:val="00DA30D2"/>
    <w:rsid w:val="00DA6BBB"/>
    <w:rsid w:val="00DB3068"/>
    <w:rsid w:val="00DE01CE"/>
    <w:rsid w:val="00DF3F09"/>
    <w:rsid w:val="00E10385"/>
    <w:rsid w:val="00E114FB"/>
    <w:rsid w:val="00E1254D"/>
    <w:rsid w:val="00E12550"/>
    <w:rsid w:val="00E12947"/>
    <w:rsid w:val="00E14ECE"/>
    <w:rsid w:val="00E22193"/>
    <w:rsid w:val="00E26500"/>
    <w:rsid w:val="00E31FF9"/>
    <w:rsid w:val="00E4008D"/>
    <w:rsid w:val="00E44006"/>
    <w:rsid w:val="00E56CB6"/>
    <w:rsid w:val="00E717AC"/>
    <w:rsid w:val="00E72831"/>
    <w:rsid w:val="00E86FF1"/>
    <w:rsid w:val="00E9284D"/>
    <w:rsid w:val="00E948B9"/>
    <w:rsid w:val="00EA6856"/>
    <w:rsid w:val="00EB4F19"/>
    <w:rsid w:val="00EB5571"/>
    <w:rsid w:val="00EB6EC4"/>
    <w:rsid w:val="00EC0BA3"/>
    <w:rsid w:val="00EC4372"/>
    <w:rsid w:val="00EC4376"/>
    <w:rsid w:val="00EC448B"/>
    <w:rsid w:val="00EC6E58"/>
    <w:rsid w:val="00EC7F70"/>
    <w:rsid w:val="00ED562D"/>
    <w:rsid w:val="00ED68A6"/>
    <w:rsid w:val="00EE323D"/>
    <w:rsid w:val="00EE5D53"/>
    <w:rsid w:val="00EE7A8C"/>
    <w:rsid w:val="00F05D23"/>
    <w:rsid w:val="00F06F8F"/>
    <w:rsid w:val="00F11A8B"/>
    <w:rsid w:val="00F1293F"/>
    <w:rsid w:val="00F14797"/>
    <w:rsid w:val="00F23BB1"/>
    <w:rsid w:val="00F251C2"/>
    <w:rsid w:val="00F26FA7"/>
    <w:rsid w:val="00F34566"/>
    <w:rsid w:val="00F47D95"/>
    <w:rsid w:val="00F61AFA"/>
    <w:rsid w:val="00F70DEA"/>
    <w:rsid w:val="00F9160F"/>
    <w:rsid w:val="00F92288"/>
    <w:rsid w:val="00F961D6"/>
    <w:rsid w:val="00F962C1"/>
    <w:rsid w:val="00FA0B02"/>
    <w:rsid w:val="00FA4A8A"/>
    <w:rsid w:val="00FA5882"/>
    <w:rsid w:val="00FA6662"/>
    <w:rsid w:val="00FB073A"/>
    <w:rsid w:val="00FC333F"/>
    <w:rsid w:val="00FD4D21"/>
    <w:rsid w:val="00FD5C8A"/>
    <w:rsid w:val="00FE77B2"/>
    <w:rsid w:val="00FF5C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7AABAB3A-0C94-4241-A027-FD954631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3D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character" w:customStyle="1" w:styleId="Heading4Char">
    <w:name w:val="Heading 4 Char"/>
    <w:basedOn w:val="DefaultParagraphFont"/>
    <w:link w:val="Heading4"/>
    <w:uiPriority w:val="9"/>
    <w:semiHidden/>
    <w:rsid w:val="00C73D6A"/>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04FFE"/>
    <w:pPr>
      <w:spacing w:after="120"/>
    </w:pPr>
  </w:style>
  <w:style w:type="character" w:customStyle="1" w:styleId="BodyTextChar">
    <w:name w:val="Body Text Char"/>
    <w:basedOn w:val="DefaultParagraphFont"/>
    <w:link w:val="BodyText"/>
    <w:uiPriority w:val="99"/>
    <w:semiHidden/>
    <w:rsid w:val="0070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403526243">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292514220">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1/24/schedule/5" TargetMode="External"/><Relationship Id="rId13" Type="http://schemas.openxmlformats.org/officeDocument/2006/relationships/hyperlink" Target="https://www.legislation.gov.uk/uksi/2014/1663/cont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02/2677/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9/3242/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1974/37/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ssi/2009/45/schedule/1/made" TargetMode="External"/><Relationship Id="rId14" Type="http://schemas.openxmlformats.org/officeDocument/2006/relationships/hyperlink" Target="https://www.legislation.gov.uk/ukpga/2001/24/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dc:description/>
  <cp:lastModifiedBy>Johnston, Joe</cp:lastModifiedBy>
  <cp:revision>9</cp:revision>
  <cp:lastPrinted>2025-06-04T07:28:00Z</cp:lastPrinted>
  <dcterms:created xsi:type="dcterms:W3CDTF">2025-06-13T07:26:00Z</dcterms:created>
  <dcterms:modified xsi:type="dcterms:W3CDTF">2026-01-20T11:33:00Z</dcterms:modified>
</cp:coreProperties>
</file>