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BEAFF" w14:textId="76C0FBBB" w:rsidR="007D40A0" w:rsidRDefault="007D40A0" w:rsidP="007D40A0">
      <w:pPr>
        <w:ind w:left="0"/>
      </w:pPr>
      <w:r w:rsidRPr="003D7F99">
        <w:rPr>
          <w:b/>
          <w:bCs/>
        </w:rPr>
        <w:t>Postgraduate Research Committee</w:t>
      </w:r>
      <w:r>
        <w:t xml:space="preserve"> | </w:t>
      </w:r>
      <w:r w:rsidRPr="003D7F99">
        <w:rPr>
          <w:b/>
          <w:bCs/>
        </w:rPr>
        <w:t>11 March 2026</w:t>
      </w:r>
      <w:r>
        <w:t xml:space="preserve"> | </w:t>
      </w:r>
      <w:r w:rsidRPr="003D7F99">
        <w:rPr>
          <w:b/>
          <w:bCs/>
        </w:rPr>
        <w:t>10:05 – 11:55</w:t>
      </w:r>
      <w:r>
        <w:t xml:space="preserve"> </w:t>
      </w:r>
      <w:r w:rsidR="003D7F99">
        <w:t xml:space="preserve">| </w:t>
      </w:r>
      <w:r w:rsidR="003D7F99" w:rsidRPr="003D7F99">
        <w:rPr>
          <w:b/>
          <w:bCs/>
        </w:rPr>
        <w:t>IDR Hub</w:t>
      </w:r>
    </w:p>
    <w:p w14:paraId="59C2AD96" w14:textId="77777777" w:rsidR="00D14122" w:rsidRDefault="00D14122" w:rsidP="007D40A0">
      <w:pPr>
        <w:ind w:left="0"/>
      </w:pPr>
    </w:p>
    <w:p w14:paraId="4A73D835" w14:textId="1770B311" w:rsidR="007D40A0" w:rsidRDefault="007D40A0" w:rsidP="007D40A0">
      <w:pPr>
        <w:ind w:left="0"/>
      </w:pPr>
      <w:r w:rsidRPr="003D7F99">
        <w:rPr>
          <w:b/>
          <w:bCs/>
        </w:rPr>
        <w:t>Chair</w:t>
      </w:r>
      <w:r>
        <w:t xml:space="preserve">: Stuart Piertney | </w:t>
      </w:r>
      <w:r w:rsidRPr="003D7F99">
        <w:rPr>
          <w:b/>
          <w:bCs/>
        </w:rPr>
        <w:t>Clerk</w:t>
      </w:r>
      <w:r>
        <w:t>: Georgi Chichkov</w:t>
      </w:r>
    </w:p>
    <w:p w14:paraId="5F731AE2" w14:textId="77777777" w:rsidR="007D40A0" w:rsidRDefault="007D40A0" w:rsidP="007D40A0">
      <w:pPr>
        <w:ind w:left="0"/>
      </w:pPr>
    </w:p>
    <w:p w14:paraId="410958FE" w14:textId="53C8A535" w:rsidR="007D40A0" w:rsidRDefault="007D40A0" w:rsidP="007D40A0">
      <w:pPr>
        <w:ind w:left="0"/>
      </w:pPr>
      <w:r w:rsidRPr="003D7F99">
        <w:rPr>
          <w:b/>
          <w:bCs/>
        </w:rPr>
        <w:t>Apologies</w:t>
      </w:r>
      <w:r>
        <w:t xml:space="preserve">: </w:t>
      </w:r>
      <w:r w:rsidR="00C01AB5" w:rsidRPr="00C01AB5">
        <w:t>Charlotta Hillerdal</w:t>
      </w:r>
      <w:r w:rsidR="00D63259">
        <w:t xml:space="preserve">, </w:t>
      </w:r>
      <w:r w:rsidR="00D63259" w:rsidRPr="00D63259">
        <w:t>Jie Wu</w:t>
      </w:r>
      <w:r w:rsidR="00D63259">
        <w:t xml:space="preserve">, </w:t>
      </w:r>
      <w:r w:rsidR="00E6685B" w:rsidRPr="00E6685B">
        <w:t>Laurent Trembleau</w:t>
      </w:r>
      <w:r w:rsidR="00E6685B">
        <w:t xml:space="preserve">, </w:t>
      </w:r>
      <w:r w:rsidR="006E5609" w:rsidRPr="006E5609">
        <w:t>Lucy Leiper</w:t>
      </w:r>
      <w:r w:rsidR="006E5609">
        <w:t xml:space="preserve">, </w:t>
      </w:r>
      <w:r w:rsidR="00D927DE" w:rsidRPr="00D927DE">
        <w:t>Robert Findlay</w:t>
      </w:r>
    </w:p>
    <w:p w14:paraId="0BA7E714" w14:textId="77777777" w:rsidR="00D927DE" w:rsidRDefault="00D927DE" w:rsidP="007D40A0">
      <w:pPr>
        <w:ind w:left="0"/>
      </w:pPr>
    </w:p>
    <w:p w14:paraId="42599717" w14:textId="4FAE8FC1" w:rsidR="00EB7E41" w:rsidRDefault="0000433B" w:rsidP="00EB7E41">
      <w:pPr>
        <w:ind w:left="0"/>
      </w:pPr>
      <w:r w:rsidRPr="003D7F99">
        <w:rPr>
          <w:b/>
          <w:bCs/>
        </w:rPr>
        <w:t>Present</w:t>
      </w:r>
      <w:r w:rsidR="00D927DE">
        <w:t xml:space="preserve">: </w:t>
      </w:r>
      <w:r w:rsidR="00B46305">
        <w:t>Rhiannon Thompson, Ann-Marie Johns</w:t>
      </w:r>
      <w:r w:rsidR="0031797F">
        <w:t xml:space="preserve">ton, Emily Metcalf Corrison, Sean Graham, </w:t>
      </w:r>
      <w:r w:rsidR="0096659A">
        <w:t xml:space="preserve">Despoina Kaloriti (Registry Officer), </w:t>
      </w:r>
      <w:r w:rsidR="004960D7">
        <w:t xml:space="preserve">Lesley Macrae (Library), </w:t>
      </w:r>
      <w:r w:rsidR="005966FE">
        <w:t>Jean-Christophe Comte (</w:t>
      </w:r>
      <w:proofErr w:type="spellStart"/>
      <w:r w:rsidR="005966FE">
        <w:t>GeoSci</w:t>
      </w:r>
      <w:proofErr w:type="spellEnd"/>
      <w:r w:rsidR="005966FE">
        <w:t xml:space="preserve">), </w:t>
      </w:r>
      <w:r w:rsidR="00EB7E41">
        <w:t>Isabella Kasselstrand (will attend from 11am), Paul Hallett, Ben Marsden, Archie Graham, Johannes Heim, Peter Cserne, Sam Miller, Patric Bach, Jason Bohan, Steve Tucker, Simon Bains, Rhona Gibson, Mel McCann</w:t>
      </w:r>
      <w:r w:rsidR="003D7F99">
        <w:t xml:space="preserve">, </w:t>
      </w:r>
      <w:r w:rsidR="00EB7E41">
        <w:t>Brian Hussey</w:t>
      </w:r>
    </w:p>
    <w:p w14:paraId="2ACBCD72" w14:textId="02061D9C" w:rsidR="005966FE" w:rsidRDefault="005966FE" w:rsidP="005966FE">
      <w:pPr>
        <w:ind w:left="0"/>
      </w:pPr>
    </w:p>
    <w:p w14:paraId="5387BBFB" w14:textId="365B904A" w:rsidR="003D7F99" w:rsidRDefault="003D7F99" w:rsidP="004960D7">
      <w:pPr>
        <w:ind w:left="0"/>
      </w:pPr>
      <w:r w:rsidRPr="00C97A62">
        <w:rPr>
          <w:b/>
          <w:bCs/>
        </w:rPr>
        <w:t>Agenda</w:t>
      </w:r>
      <w:r>
        <w:t xml:space="preserve">: </w:t>
      </w:r>
    </w:p>
    <w:p w14:paraId="2310F0C2" w14:textId="67A493CE" w:rsidR="0096659A" w:rsidRDefault="0096659A" w:rsidP="0096659A">
      <w:pPr>
        <w:ind w:left="0"/>
      </w:pPr>
    </w:p>
    <w:p w14:paraId="0D347FF4" w14:textId="690C6B59" w:rsidR="000B467C" w:rsidRPr="00D64696" w:rsidRDefault="00C97A62" w:rsidP="000B467C">
      <w:pPr>
        <w:pStyle w:val="ListParagraph"/>
        <w:numPr>
          <w:ilvl w:val="0"/>
          <w:numId w:val="4"/>
        </w:numPr>
        <w:rPr>
          <w:b/>
          <w:bCs/>
        </w:rPr>
      </w:pPr>
      <w:r w:rsidRPr="00D64696">
        <w:rPr>
          <w:b/>
          <w:bCs/>
        </w:rPr>
        <w:t>Welcome and Apologies</w:t>
      </w:r>
      <w:r w:rsidR="00AB2843" w:rsidRPr="00D64696">
        <w:rPr>
          <w:b/>
          <w:bCs/>
        </w:rPr>
        <w:t xml:space="preserve"> (SP)</w:t>
      </w:r>
    </w:p>
    <w:p w14:paraId="0277FFA6" w14:textId="0558CB25" w:rsidR="00C97A62" w:rsidRDefault="000B467C" w:rsidP="000B467C">
      <w:pPr>
        <w:pStyle w:val="ListParagraph"/>
        <w:numPr>
          <w:ilvl w:val="1"/>
          <w:numId w:val="4"/>
        </w:numPr>
      </w:pPr>
      <w:r w:rsidRPr="000B467C">
        <w:t>SP welcomed attendees</w:t>
      </w:r>
      <w:r>
        <w:t xml:space="preserve"> and listed apologies</w:t>
      </w:r>
      <w:r w:rsidR="00D37ACA">
        <w:t>.</w:t>
      </w:r>
    </w:p>
    <w:p w14:paraId="5B0298E5" w14:textId="5FE95553" w:rsidR="00D37ACA" w:rsidRDefault="00D37ACA" w:rsidP="000B467C">
      <w:pPr>
        <w:pStyle w:val="ListParagraph"/>
        <w:numPr>
          <w:ilvl w:val="1"/>
          <w:numId w:val="4"/>
        </w:numPr>
      </w:pPr>
      <w:r w:rsidRPr="00D37ACA">
        <w:t xml:space="preserve">Special congratulations were </w:t>
      </w:r>
      <w:r w:rsidR="002F1155">
        <w:t>extended</w:t>
      </w:r>
      <w:r w:rsidRPr="00D37ACA">
        <w:t xml:space="preserve"> to Lucy on her appointment as Director of Research &amp; Innovation Environment (R&amp;IE). </w:t>
      </w:r>
      <w:r w:rsidR="00EC1051">
        <w:t>The group</w:t>
      </w:r>
      <w:r>
        <w:t xml:space="preserve"> </w:t>
      </w:r>
      <w:r w:rsidRPr="00D37ACA">
        <w:t>expressed gratitude for her significant contributions</w:t>
      </w:r>
      <w:r>
        <w:t xml:space="preserve"> to </w:t>
      </w:r>
      <w:r w:rsidR="00627B17">
        <w:t xml:space="preserve">PGR provision and the PGR </w:t>
      </w:r>
      <w:r w:rsidR="00EC1051">
        <w:t>the committee</w:t>
      </w:r>
      <w:r w:rsidRPr="00D37ACA">
        <w:t xml:space="preserve"> over the years.</w:t>
      </w:r>
    </w:p>
    <w:p w14:paraId="3BB50E15" w14:textId="07200B2C" w:rsidR="00EC1051" w:rsidRDefault="00EC1051" w:rsidP="000B467C">
      <w:pPr>
        <w:pStyle w:val="ListParagraph"/>
        <w:numPr>
          <w:ilvl w:val="1"/>
          <w:numId w:val="4"/>
        </w:numPr>
      </w:pPr>
      <w:r>
        <w:t>RT wi</w:t>
      </w:r>
      <w:r w:rsidR="005C0F56">
        <w:t xml:space="preserve">ll act as PGR College Manage in the Interim. </w:t>
      </w:r>
      <w:r w:rsidR="005D7D28" w:rsidRPr="005D7D28">
        <w:t xml:space="preserve">SP highlighted uncertainty regarding </w:t>
      </w:r>
      <w:r w:rsidR="00D2450B" w:rsidRPr="005D7D28">
        <w:t>whether additional</w:t>
      </w:r>
      <w:r w:rsidR="00D2450B">
        <w:t xml:space="preserve"> PGR</w:t>
      </w:r>
      <w:r w:rsidR="00D2450B" w:rsidRPr="005D7D28">
        <w:t xml:space="preserve"> team members will be appointed</w:t>
      </w:r>
      <w:r w:rsidR="00D2450B">
        <w:t xml:space="preserve">, </w:t>
      </w:r>
      <w:r w:rsidR="00D612E6">
        <w:t xml:space="preserve">which may be clarified upon the appointment of a </w:t>
      </w:r>
      <w:proofErr w:type="gramStart"/>
      <w:r w:rsidR="00D612E6">
        <w:t xml:space="preserve">new  </w:t>
      </w:r>
      <w:r w:rsidR="005D7D28" w:rsidRPr="005D7D28">
        <w:t>Vice</w:t>
      </w:r>
      <w:proofErr w:type="gramEnd"/>
      <w:r w:rsidR="005D7D28" w:rsidRPr="005D7D28">
        <w:rPr>
          <w:rFonts w:ascii="Cambria Math" w:hAnsi="Cambria Math" w:cs="Cambria Math"/>
        </w:rPr>
        <w:t>‑</w:t>
      </w:r>
      <w:r w:rsidR="005D7D28" w:rsidRPr="005D7D28">
        <w:t>Principal for Research</w:t>
      </w:r>
      <w:r w:rsidR="00D612E6">
        <w:t>.</w:t>
      </w:r>
    </w:p>
    <w:p w14:paraId="1D98D7E7" w14:textId="77777777" w:rsidR="000B467C" w:rsidRDefault="000B467C" w:rsidP="00C97A62">
      <w:pPr>
        <w:ind w:left="0"/>
      </w:pPr>
    </w:p>
    <w:p w14:paraId="6CA711BB" w14:textId="34501969" w:rsidR="00BF7C58" w:rsidRPr="00D64696" w:rsidRDefault="00C97A62" w:rsidP="000C6B08">
      <w:pPr>
        <w:pStyle w:val="ListParagraph"/>
        <w:numPr>
          <w:ilvl w:val="0"/>
          <w:numId w:val="4"/>
        </w:numPr>
        <w:rPr>
          <w:b/>
          <w:bCs/>
        </w:rPr>
      </w:pPr>
      <w:r w:rsidRPr="00D64696">
        <w:rPr>
          <w:b/>
          <w:bCs/>
        </w:rPr>
        <w:t xml:space="preserve">Minutes from Previous </w:t>
      </w:r>
      <w:r w:rsidR="00BF7C58" w:rsidRPr="00D64696">
        <w:rPr>
          <w:b/>
          <w:bCs/>
        </w:rPr>
        <w:t>Meeting</w:t>
      </w:r>
      <w:r w:rsidR="00AB2843" w:rsidRPr="00D64696">
        <w:rPr>
          <w:b/>
          <w:bCs/>
        </w:rPr>
        <w:t xml:space="preserve"> (SP)</w:t>
      </w:r>
    </w:p>
    <w:p w14:paraId="509733C8" w14:textId="23402934" w:rsidR="00C97A62" w:rsidRDefault="00BF7C58" w:rsidP="00BF7C58">
      <w:pPr>
        <w:pStyle w:val="ListParagraph"/>
        <w:numPr>
          <w:ilvl w:val="1"/>
          <w:numId w:val="4"/>
        </w:numPr>
      </w:pPr>
      <w:r w:rsidRPr="00BF7C58">
        <w:t>Minutes from the previous meeting were approved without amendment.</w:t>
      </w:r>
      <w:r>
        <w:t xml:space="preserve"> ACTION: GC to upload minutes to </w:t>
      </w:r>
      <w:proofErr w:type="spellStart"/>
      <w:r>
        <w:t>StaffNet</w:t>
      </w:r>
      <w:proofErr w:type="spellEnd"/>
      <w:r w:rsidR="00C97A62">
        <w:tab/>
      </w:r>
      <w:r w:rsidR="00C97A62">
        <w:tab/>
      </w:r>
      <w:r w:rsidR="00C97A62" w:rsidRPr="000C6B08">
        <w:rPr>
          <w:rFonts w:ascii="Arial" w:hAnsi="Arial" w:cs="Arial"/>
        </w:rPr>
        <w:t> </w:t>
      </w:r>
      <w:r w:rsidR="00C97A62">
        <w:t xml:space="preserve"> </w:t>
      </w:r>
    </w:p>
    <w:p w14:paraId="53AA6D81" w14:textId="77777777" w:rsidR="00C97A62" w:rsidRDefault="00C97A62" w:rsidP="00C97A62">
      <w:pPr>
        <w:ind w:left="0"/>
      </w:pPr>
    </w:p>
    <w:p w14:paraId="4833A0F3" w14:textId="72BB0D38" w:rsidR="003E57F4" w:rsidRPr="00D64696" w:rsidRDefault="00C97A62" w:rsidP="00ED0E4E">
      <w:pPr>
        <w:pStyle w:val="ListParagraph"/>
        <w:numPr>
          <w:ilvl w:val="0"/>
          <w:numId w:val="4"/>
        </w:numPr>
        <w:rPr>
          <w:b/>
          <w:bCs/>
        </w:rPr>
      </w:pPr>
      <w:r w:rsidRPr="00D64696">
        <w:rPr>
          <w:b/>
          <w:bCs/>
        </w:rPr>
        <w:t>Action Log (SP</w:t>
      </w:r>
      <w:r w:rsidR="00AB2843" w:rsidRPr="00D64696">
        <w:rPr>
          <w:b/>
          <w:bCs/>
        </w:rPr>
        <w:t>)</w:t>
      </w:r>
    </w:p>
    <w:p w14:paraId="124B7DB2" w14:textId="2F718AC8" w:rsidR="00C97A62" w:rsidRDefault="00ED0E4E" w:rsidP="00450350">
      <w:pPr>
        <w:pStyle w:val="ListParagraph"/>
        <w:numPr>
          <w:ilvl w:val="1"/>
          <w:numId w:val="4"/>
        </w:numPr>
      </w:pPr>
      <w:r>
        <w:t xml:space="preserve">Most actions have been completed. Several items remain ongoing. Action 6.2 will be discussed </w:t>
      </w:r>
      <w:r w:rsidR="00987EDC">
        <w:t>at a future meeting</w:t>
      </w:r>
      <w:r>
        <w:t>.</w:t>
      </w:r>
      <w:r w:rsidR="00DA0E6C">
        <w:t xml:space="preserve"> Action 7.6 will be covered during agenda point 8.0</w:t>
      </w:r>
      <w:r w:rsidR="00450350">
        <w:t xml:space="preserve"> </w:t>
      </w:r>
      <w:r>
        <w:t>All other actions are up to date.</w:t>
      </w:r>
    </w:p>
    <w:tbl>
      <w:tblPr>
        <w:tblStyle w:val="TableGrid"/>
        <w:tblpPr w:leftFromText="180" w:rightFromText="180" w:vertAnchor="text" w:tblpY="1"/>
        <w:tblOverlap w:val="never"/>
        <w:tblW w:w="9209" w:type="dxa"/>
        <w:tblLook w:val="04A0" w:firstRow="1" w:lastRow="0" w:firstColumn="1" w:lastColumn="0" w:noHBand="0" w:noVBand="1"/>
      </w:tblPr>
      <w:tblGrid>
        <w:gridCol w:w="1149"/>
        <w:gridCol w:w="1152"/>
        <w:gridCol w:w="2389"/>
        <w:gridCol w:w="1463"/>
        <w:gridCol w:w="3056"/>
      </w:tblGrid>
      <w:tr w:rsidR="005779AD" w:rsidRPr="000C5453" w14:paraId="48A358D6" w14:textId="77777777" w:rsidTr="003B0445">
        <w:tc>
          <w:tcPr>
            <w:tcW w:w="2321" w:type="dxa"/>
            <w:gridSpan w:val="2"/>
          </w:tcPr>
          <w:p w14:paraId="45C1B10F" w14:textId="77777777" w:rsidR="005779AD" w:rsidRPr="000C5453" w:rsidRDefault="005779AD" w:rsidP="003B0445">
            <w:pPr>
              <w:jc w:val="right"/>
              <w:rPr>
                <w:b/>
                <w:bCs/>
              </w:rPr>
            </w:pPr>
            <w:r>
              <w:rPr>
                <w:b/>
                <w:bCs/>
              </w:rPr>
              <w:t>Minute Point</w:t>
            </w:r>
          </w:p>
        </w:tc>
        <w:tc>
          <w:tcPr>
            <w:tcW w:w="2404" w:type="dxa"/>
          </w:tcPr>
          <w:p w14:paraId="32B253B5" w14:textId="77777777" w:rsidR="005779AD" w:rsidRPr="000C5453" w:rsidRDefault="005779AD" w:rsidP="003B0445">
            <w:pPr>
              <w:rPr>
                <w:b/>
                <w:bCs/>
              </w:rPr>
            </w:pPr>
            <w:r w:rsidRPr="000C5453">
              <w:rPr>
                <w:b/>
                <w:bCs/>
              </w:rPr>
              <w:t>Identified Action</w:t>
            </w:r>
          </w:p>
        </w:tc>
        <w:tc>
          <w:tcPr>
            <w:tcW w:w="1402" w:type="dxa"/>
          </w:tcPr>
          <w:p w14:paraId="7E4216A0" w14:textId="77777777" w:rsidR="005779AD" w:rsidRPr="000C5453" w:rsidRDefault="005779AD" w:rsidP="003B0445">
            <w:pPr>
              <w:rPr>
                <w:b/>
                <w:bCs/>
              </w:rPr>
            </w:pPr>
            <w:r w:rsidRPr="000C5453">
              <w:rPr>
                <w:b/>
                <w:bCs/>
              </w:rPr>
              <w:t>Individual(s) Responsible</w:t>
            </w:r>
          </w:p>
        </w:tc>
        <w:tc>
          <w:tcPr>
            <w:tcW w:w="3082" w:type="dxa"/>
          </w:tcPr>
          <w:p w14:paraId="486AEA17" w14:textId="77777777" w:rsidR="005779AD" w:rsidRPr="000C5453" w:rsidRDefault="005779AD" w:rsidP="003B0445">
            <w:pPr>
              <w:rPr>
                <w:b/>
                <w:bCs/>
              </w:rPr>
            </w:pPr>
            <w:r w:rsidRPr="000C5453">
              <w:rPr>
                <w:b/>
                <w:bCs/>
              </w:rPr>
              <w:t>Action Status/Update</w:t>
            </w:r>
          </w:p>
        </w:tc>
      </w:tr>
      <w:tr w:rsidR="005779AD" w:rsidRPr="00055C32" w14:paraId="0D5A94B7" w14:textId="77777777" w:rsidTr="003B0445">
        <w:tc>
          <w:tcPr>
            <w:tcW w:w="1160" w:type="dxa"/>
            <w:vMerge w:val="restart"/>
            <w:textDirection w:val="btLr"/>
          </w:tcPr>
          <w:p w14:paraId="3D93D379" w14:textId="77777777" w:rsidR="005779AD" w:rsidRPr="00055C32" w:rsidRDefault="005779AD" w:rsidP="003B0445">
            <w:pPr>
              <w:jc w:val="center"/>
            </w:pPr>
            <w:r>
              <w:rPr>
                <w:b/>
                <w:bCs/>
              </w:rPr>
              <w:t>11 March 2026</w:t>
            </w:r>
          </w:p>
        </w:tc>
        <w:tc>
          <w:tcPr>
            <w:tcW w:w="1161" w:type="dxa"/>
          </w:tcPr>
          <w:p w14:paraId="6B24989A" w14:textId="77777777" w:rsidR="005779AD" w:rsidRPr="00055C32" w:rsidRDefault="005779AD" w:rsidP="003B0445">
            <w:r>
              <w:t>2.1</w:t>
            </w:r>
          </w:p>
        </w:tc>
        <w:tc>
          <w:tcPr>
            <w:tcW w:w="2404" w:type="dxa"/>
          </w:tcPr>
          <w:p w14:paraId="75FF4F5E" w14:textId="77777777" w:rsidR="005779AD" w:rsidRPr="00055C32" w:rsidRDefault="005779AD" w:rsidP="003B0445">
            <w:r w:rsidRPr="00055C32">
              <w:t xml:space="preserve">Upload approved minutes to </w:t>
            </w:r>
            <w:proofErr w:type="spellStart"/>
            <w:r w:rsidRPr="00055C32">
              <w:t>StaffNet</w:t>
            </w:r>
            <w:proofErr w:type="spellEnd"/>
          </w:p>
        </w:tc>
        <w:tc>
          <w:tcPr>
            <w:tcW w:w="1402" w:type="dxa"/>
          </w:tcPr>
          <w:p w14:paraId="5E94BA10" w14:textId="77777777" w:rsidR="005779AD" w:rsidRPr="00055C32" w:rsidRDefault="005779AD" w:rsidP="003B0445">
            <w:r w:rsidRPr="00055C32">
              <w:t>GC</w:t>
            </w:r>
          </w:p>
        </w:tc>
        <w:tc>
          <w:tcPr>
            <w:tcW w:w="3082" w:type="dxa"/>
          </w:tcPr>
          <w:p w14:paraId="0AB2EDD4" w14:textId="77777777" w:rsidR="005779AD" w:rsidRPr="00055C32" w:rsidRDefault="005779AD" w:rsidP="003B0445">
            <w:r w:rsidRPr="00055C32">
              <w:t>Complete</w:t>
            </w:r>
          </w:p>
        </w:tc>
      </w:tr>
      <w:tr w:rsidR="005779AD" w:rsidRPr="004B2EFF" w14:paraId="3AD3E431" w14:textId="77777777" w:rsidTr="003B0445">
        <w:tc>
          <w:tcPr>
            <w:tcW w:w="1160" w:type="dxa"/>
            <w:vMerge/>
          </w:tcPr>
          <w:p w14:paraId="6707FAE2" w14:textId="77777777" w:rsidR="005779AD" w:rsidRDefault="005779AD" w:rsidP="003B0445">
            <w:pPr>
              <w:rPr>
                <w:b/>
                <w:bCs/>
              </w:rPr>
            </w:pPr>
          </w:p>
        </w:tc>
        <w:tc>
          <w:tcPr>
            <w:tcW w:w="1161" w:type="dxa"/>
          </w:tcPr>
          <w:p w14:paraId="3830981A" w14:textId="77777777" w:rsidR="005779AD" w:rsidRPr="00342FBC" w:rsidRDefault="005779AD" w:rsidP="003B0445">
            <w:r w:rsidRPr="00342FBC">
              <w:t>5.3.2</w:t>
            </w:r>
          </w:p>
        </w:tc>
        <w:tc>
          <w:tcPr>
            <w:tcW w:w="2404" w:type="dxa"/>
          </w:tcPr>
          <w:p w14:paraId="3B47FBC8" w14:textId="77777777" w:rsidR="005779AD" w:rsidRPr="007537DB" w:rsidRDefault="005779AD" w:rsidP="003B0445">
            <w:r>
              <w:t>R</w:t>
            </w:r>
            <w:r w:rsidRPr="007537DB">
              <w:t xml:space="preserve">eview the wording of </w:t>
            </w:r>
            <w:r>
              <w:t xml:space="preserve">Research Degree Guidelines </w:t>
            </w:r>
            <w:r w:rsidRPr="007537DB">
              <w:t>and send feedback to PGRC</w:t>
            </w:r>
          </w:p>
        </w:tc>
        <w:tc>
          <w:tcPr>
            <w:tcW w:w="1402" w:type="dxa"/>
          </w:tcPr>
          <w:p w14:paraId="5392F56E" w14:textId="77777777" w:rsidR="005779AD" w:rsidRPr="004B2EFF" w:rsidRDefault="005779AD" w:rsidP="003B0445">
            <w:r w:rsidRPr="004B2EFF">
              <w:t>PGOs</w:t>
            </w:r>
          </w:p>
        </w:tc>
        <w:tc>
          <w:tcPr>
            <w:tcW w:w="3082" w:type="dxa"/>
          </w:tcPr>
          <w:p w14:paraId="47DE6BA1" w14:textId="77777777" w:rsidR="005779AD" w:rsidRPr="004B2EFF" w:rsidRDefault="005779AD" w:rsidP="003B0445">
            <w:r w:rsidRPr="00055C32">
              <w:t>Complete</w:t>
            </w:r>
          </w:p>
        </w:tc>
      </w:tr>
      <w:tr w:rsidR="005779AD" w:rsidRPr="004B2EFF" w14:paraId="211AB7FE" w14:textId="77777777" w:rsidTr="003B0445">
        <w:tc>
          <w:tcPr>
            <w:tcW w:w="1160" w:type="dxa"/>
            <w:vMerge/>
          </w:tcPr>
          <w:p w14:paraId="6DE60A6F" w14:textId="77777777" w:rsidR="005779AD" w:rsidRPr="004B2EFF" w:rsidRDefault="005779AD" w:rsidP="003B0445"/>
        </w:tc>
        <w:tc>
          <w:tcPr>
            <w:tcW w:w="1161" w:type="dxa"/>
          </w:tcPr>
          <w:p w14:paraId="2D2B2DF9" w14:textId="77777777" w:rsidR="005779AD" w:rsidRPr="004B2EFF" w:rsidRDefault="005779AD" w:rsidP="003B0445">
            <w:r>
              <w:t>5.3.2 (1)</w:t>
            </w:r>
          </w:p>
        </w:tc>
        <w:tc>
          <w:tcPr>
            <w:tcW w:w="2404" w:type="dxa"/>
          </w:tcPr>
          <w:p w14:paraId="6C8F87CA" w14:textId="77777777" w:rsidR="005779AD" w:rsidRPr="004B2EFF" w:rsidRDefault="005779AD" w:rsidP="003B0445">
            <w:r>
              <w:t>Use feedback to update Guidelines + Forms</w:t>
            </w:r>
          </w:p>
        </w:tc>
        <w:tc>
          <w:tcPr>
            <w:tcW w:w="1402" w:type="dxa"/>
          </w:tcPr>
          <w:p w14:paraId="59594485" w14:textId="77777777" w:rsidR="005779AD" w:rsidRPr="004B2EFF" w:rsidRDefault="005779AD" w:rsidP="003B0445">
            <w:r>
              <w:t>DK/Registry</w:t>
            </w:r>
          </w:p>
        </w:tc>
        <w:tc>
          <w:tcPr>
            <w:tcW w:w="3082" w:type="dxa"/>
          </w:tcPr>
          <w:p w14:paraId="50A69122" w14:textId="77777777" w:rsidR="005779AD" w:rsidRPr="004B2EFF" w:rsidRDefault="005779AD" w:rsidP="003B0445">
            <w:r w:rsidRPr="00055C32">
              <w:t>Complete</w:t>
            </w:r>
          </w:p>
        </w:tc>
      </w:tr>
      <w:tr w:rsidR="005779AD" w:rsidRPr="004B2EFF" w14:paraId="6D0DD727" w14:textId="77777777" w:rsidTr="003B0445">
        <w:tc>
          <w:tcPr>
            <w:tcW w:w="1160" w:type="dxa"/>
            <w:vMerge/>
          </w:tcPr>
          <w:p w14:paraId="191161AB" w14:textId="77777777" w:rsidR="005779AD" w:rsidRPr="004B2EFF" w:rsidRDefault="005779AD" w:rsidP="003B0445"/>
        </w:tc>
        <w:tc>
          <w:tcPr>
            <w:tcW w:w="1161" w:type="dxa"/>
          </w:tcPr>
          <w:p w14:paraId="4ADCA128" w14:textId="77777777" w:rsidR="005779AD" w:rsidRPr="004B2EFF" w:rsidRDefault="005779AD" w:rsidP="003B0445">
            <w:r>
              <w:t>5.3.3</w:t>
            </w:r>
          </w:p>
        </w:tc>
        <w:tc>
          <w:tcPr>
            <w:tcW w:w="2404" w:type="dxa"/>
          </w:tcPr>
          <w:p w14:paraId="0D1F52AD" w14:textId="77777777" w:rsidR="005779AD" w:rsidRPr="004B2EFF" w:rsidRDefault="005779AD" w:rsidP="003B0445">
            <w:r>
              <w:t>Clarify that Schools are responsible for Inclusive Adjustments administration</w:t>
            </w:r>
          </w:p>
        </w:tc>
        <w:tc>
          <w:tcPr>
            <w:tcW w:w="1402" w:type="dxa"/>
          </w:tcPr>
          <w:p w14:paraId="05B373D8" w14:textId="77777777" w:rsidR="005779AD" w:rsidRPr="004B2EFF" w:rsidRDefault="005779AD" w:rsidP="003B0445">
            <w:r>
              <w:t>RT</w:t>
            </w:r>
          </w:p>
        </w:tc>
        <w:tc>
          <w:tcPr>
            <w:tcW w:w="3082" w:type="dxa"/>
          </w:tcPr>
          <w:p w14:paraId="506FD366" w14:textId="77777777" w:rsidR="005779AD" w:rsidRPr="004B2EFF" w:rsidRDefault="005779AD" w:rsidP="003B0445">
            <w:r w:rsidRPr="00055C32">
              <w:t>Complete</w:t>
            </w:r>
          </w:p>
        </w:tc>
      </w:tr>
      <w:tr w:rsidR="005779AD" w:rsidRPr="004B2EFF" w14:paraId="62B55619" w14:textId="77777777" w:rsidTr="003B0445">
        <w:tc>
          <w:tcPr>
            <w:tcW w:w="1160" w:type="dxa"/>
            <w:vMerge/>
          </w:tcPr>
          <w:p w14:paraId="4703F0F9" w14:textId="77777777" w:rsidR="005779AD" w:rsidRPr="004B2EFF" w:rsidRDefault="005779AD" w:rsidP="003B0445"/>
        </w:tc>
        <w:tc>
          <w:tcPr>
            <w:tcW w:w="1161" w:type="dxa"/>
          </w:tcPr>
          <w:p w14:paraId="7D405965" w14:textId="77777777" w:rsidR="005779AD" w:rsidRPr="004B2EFF" w:rsidRDefault="005779AD" w:rsidP="003B0445">
            <w:r>
              <w:t>7.2</w:t>
            </w:r>
          </w:p>
        </w:tc>
        <w:tc>
          <w:tcPr>
            <w:tcW w:w="2404" w:type="dxa"/>
          </w:tcPr>
          <w:p w14:paraId="28B268D6" w14:textId="77777777" w:rsidR="005779AD" w:rsidRPr="004B2EFF" w:rsidRDefault="005779AD" w:rsidP="003B0445">
            <w:r>
              <w:t>Identify a suitable time for central PGR event</w:t>
            </w:r>
          </w:p>
        </w:tc>
        <w:tc>
          <w:tcPr>
            <w:tcW w:w="1402" w:type="dxa"/>
          </w:tcPr>
          <w:p w14:paraId="5F6C9802" w14:textId="77777777" w:rsidR="005779AD" w:rsidRPr="004B2EFF" w:rsidRDefault="005779AD" w:rsidP="003B0445">
            <w:r>
              <w:t>GC</w:t>
            </w:r>
          </w:p>
        </w:tc>
        <w:tc>
          <w:tcPr>
            <w:tcW w:w="3082" w:type="dxa"/>
          </w:tcPr>
          <w:p w14:paraId="64105C64" w14:textId="77777777" w:rsidR="005779AD" w:rsidRPr="004B2EFF" w:rsidRDefault="005779AD" w:rsidP="003B0445">
            <w:r>
              <w:t>Ongoing</w:t>
            </w:r>
          </w:p>
        </w:tc>
      </w:tr>
      <w:tr w:rsidR="005779AD" w:rsidRPr="004B2EFF" w14:paraId="79BCEB4F" w14:textId="77777777" w:rsidTr="003B0445">
        <w:tc>
          <w:tcPr>
            <w:tcW w:w="1160" w:type="dxa"/>
            <w:vMerge/>
          </w:tcPr>
          <w:p w14:paraId="61B4DAE4" w14:textId="77777777" w:rsidR="005779AD" w:rsidRPr="004B2EFF" w:rsidRDefault="005779AD" w:rsidP="003B0445"/>
        </w:tc>
        <w:tc>
          <w:tcPr>
            <w:tcW w:w="1161" w:type="dxa"/>
          </w:tcPr>
          <w:p w14:paraId="723E468D" w14:textId="77777777" w:rsidR="005779AD" w:rsidRPr="004B2EFF" w:rsidRDefault="005779AD" w:rsidP="003B0445">
            <w:r>
              <w:t>8.5.</w:t>
            </w:r>
          </w:p>
        </w:tc>
        <w:tc>
          <w:tcPr>
            <w:tcW w:w="2404" w:type="dxa"/>
          </w:tcPr>
          <w:p w14:paraId="5A257460" w14:textId="77777777" w:rsidR="005779AD" w:rsidRPr="004B2EFF" w:rsidRDefault="005779AD" w:rsidP="003B0445">
            <w:r>
              <w:t>Resent link to testimonial collection form to schools</w:t>
            </w:r>
          </w:p>
        </w:tc>
        <w:tc>
          <w:tcPr>
            <w:tcW w:w="1402" w:type="dxa"/>
          </w:tcPr>
          <w:p w14:paraId="69EE691B" w14:textId="77777777" w:rsidR="005779AD" w:rsidRPr="004B2EFF" w:rsidRDefault="005779AD" w:rsidP="003B0445">
            <w:r>
              <w:t>BH</w:t>
            </w:r>
          </w:p>
        </w:tc>
        <w:tc>
          <w:tcPr>
            <w:tcW w:w="3082" w:type="dxa"/>
          </w:tcPr>
          <w:p w14:paraId="7A430FAA" w14:textId="77777777" w:rsidR="005779AD" w:rsidRPr="004B2EFF" w:rsidRDefault="005779AD" w:rsidP="003B0445">
            <w:r w:rsidRPr="00055C32">
              <w:t>Complete</w:t>
            </w:r>
          </w:p>
        </w:tc>
      </w:tr>
      <w:tr w:rsidR="005779AD" w:rsidRPr="004B2EFF" w14:paraId="6EDAA325" w14:textId="77777777" w:rsidTr="003B0445">
        <w:tc>
          <w:tcPr>
            <w:tcW w:w="1160" w:type="dxa"/>
            <w:vMerge/>
          </w:tcPr>
          <w:p w14:paraId="5F9C2DF5" w14:textId="77777777" w:rsidR="005779AD" w:rsidRPr="004B2EFF" w:rsidRDefault="005779AD" w:rsidP="003B0445"/>
        </w:tc>
        <w:tc>
          <w:tcPr>
            <w:tcW w:w="1161" w:type="dxa"/>
          </w:tcPr>
          <w:p w14:paraId="059BFE61" w14:textId="77777777" w:rsidR="005779AD" w:rsidRPr="004B2EFF" w:rsidRDefault="005779AD" w:rsidP="003B0445">
            <w:r>
              <w:t>10.2</w:t>
            </w:r>
          </w:p>
        </w:tc>
        <w:tc>
          <w:tcPr>
            <w:tcW w:w="2404" w:type="dxa"/>
          </w:tcPr>
          <w:p w14:paraId="4C7A71B4" w14:textId="77777777" w:rsidR="005779AD" w:rsidRPr="004B2EFF" w:rsidRDefault="005779AD" w:rsidP="003B0445">
            <w:r>
              <w:t>Provide</w:t>
            </w:r>
            <w:r w:rsidRPr="00D32ECF">
              <w:t xml:space="preserve"> feedback on PGR section of CoP to PGRC before 20th March 2026</w:t>
            </w:r>
          </w:p>
        </w:tc>
        <w:tc>
          <w:tcPr>
            <w:tcW w:w="1402" w:type="dxa"/>
          </w:tcPr>
          <w:p w14:paraId="1068F583" w14:textId="77777777" w:rsidR="005779AD" w:rsidRPr="004B2EFF" w:rsidRDefault="005779AD" w:rsidP="003B0445">
            <w:r>
              <w:t>PGO</w:t>
            </w:r>
          </w:p>
        </w:tc>
        <w:tc>
          <w:tcPr>
            <w:tcW w:w="3082" w:type="dxa"/>
          </w:tcPr>
          <w:p w14:paraId="259F6461" w14:textId="77777777" w:rsidR="005779AD" w:rsidRPr="004B2EFF" w:rsidRDefault="005779AD" w:rsidP="003B0445">
            <w:r>
              <w:t>Complete</w:t>
            </w:r>
          </w:p>
        </w:tc>
      </w:tr>
      <w:tr w:rsidR="005779AD" w:rsidRPr="004B2EFF" w14:paraId="5DC3801D" w14:textId="77777777" w:rsidTr="003B0445">
        <w:tc>
          <w:tcPr>
            <w:tcW w:w="1160" w:type="dxa"/>
            <w:vMerge/>
          </w:tcPr>
          <w:p w14:paraId="54B1AE56" w14:textId="77777777" w:rsidR="005779AD" w:rsidRPr="004B2EFF" w:rsidRDefault="005779AD" w:rsidP="003B0445"/>
        </w:tc>
        <w:tc>
          <w:tcPr>
            <w:tcW w:w="1161" w:type="dxa"/>
          </w:tcPr>
          <w:p w14:paraId="3F7A08A9" w14:textId="77777777" w:rsidR="005779AD" w:rsidRPr="004B2EFF" w:rsidRDefault="005779AD" w:rsidP="003B0445">
            <w:r>
              <w:t>13.1</w:t>
            </w:r>
          </w:p>
        </w:tc>
        <w:tc>
          <w:tcPr>
            <w:tcW w:w="2404" w:type="dxa"/>
          </w:tcPr>
          <w:p w14:paraId="47AB190E" w14:textId="77777777" w:rsidR="005779AD" w:rsidRPr="004B2EFF" w:rsidRDefault="005779AD" w:rsidP="003B0445">
            <w:r>
              <w:t>Update Registry forms mentioning PGRS instead of PGRC</w:t>
            </w:r>
          </w:p>
        </w:tc>
        <w:tc>
          <w:tcPr>
            <w:tcW w:w="1402" w:type="dxa"/>
          </w:tcPr>
          <w:p w14:paraId="09ED09E0" w14:textId="77777777" w:rsidR="005779AD" w:rsidRPr="004B2EFF" w:rsidRDefault="005779AD" w:rsidP="003B0445">
            <w:r>
              <w:t>Registry</w:t>
            </w:r>
          </w:p>
        </w:tc>
        <w:tc>
          <w:tcPr>
            <w:tcW w:w="3082" w:type="dxa"/>
          </w:tcPr>
          <w:p w14:paraId="65A09D68" w14:textId="77777777" w:rsidR="005779AD" w:rsidRPr="004B2EFF" w:rsidRDefault="005779AD" w:rsidP="003B0445">
            <w:r w:rsidRPr="00055C32">
              <w:t>Complete</w:t>
            </w:r>
          </w:p>
        </w:tc>
      </w:tr>
    </w:tbl>
    <w:p w14:paraId="6EFB9CF7" w14:textId="77777777" w:rsidR="005779AD" w:rsidRDefault="005779AD" w:rsidP="005779AD">
      <w:pPr>
        <w:pStyle w:val="ListParagraph"/>
        <w:ind w:left="792"/>
      </w:pPr>
    </w:p>
    <w:p w14:paraId="24EB5832" w14:textId="77777777" w:rsidR="005779AD" w:rsidRDefault="005779AD" w:rsidP="005779AD">
      <w:pPr>
        <w:pStyle w:val="ListParagraph"/>
        <w:ind w:left="792"/>
      </w:pPr>
    </w:p>
    <w:p w14:paraId="565040F0" w14:textId="77777777" w:rsidR="005779AD" w:rsidRDefault="005779AD" w:rsidP="005779AD">
      <w:pPr>
        <w:pStyle w:val="ListParagraph"/>
        <w:ind w:left="792"/>
      </w:pPr>
    </w:p>
    <w:p w14:paraId="008D7A26" w14:textId="77777777" w:rsidR="005779AD" w:rsidRDefault="005779AD" w:rsidP="005779AD">
      <w:pPr>
        <w:pStyle w:val="ListParagraph"/>
        <w:ind w:left="792"/>
      </w:pPr>
    </w:p>
    <w:p w14:paraId="49D32720" w14:textId="242B4577" w:rsidR="00347E5A" w:rsidRPr="00D64696" w:rsidRDefault="00E80FD6" w:rsidP="00450350">
      <w:pPr>
        <w:pStyle w:val="ListParagraph"/>
        <w:numPr>
          <w:ilvl w:val="0"/>
          <w:numId w:val="4"/>
        </w:numPr>
        <w:rPr>
          <w:b/>
          <w:bCs/>
        </w:rPr>
      </w:pPr>
      <w:r w:rsidRPr="00D64696">
        <w:rPr>
          <w:b/>
          <w:bCs/>
        </w:rPr>
        <w:t xml:space="preserve">Tertiary Quality Enhancement Review (TQER) </w:t>
      </w:r>
      <w:r w:rsidR="00450350" w:rsidRPr="00D64696">
        <w:rPr>
          <w:b/>
          <w:bCs/>
        </w:rPr>
        <w:t>Update</w:t>
      </w:r>
      <w:r w:rsidR="00AB2843" w:rsidRPr="00D64696">
        <w:rPr>
          <w:b/>
          <w:bCs/>
        </w:rPr>
        <w:t xml:space="preserve"> (ST)</w:t>
      </w:r>
    </w:p>
    <w:p w14:paraId="5E09BA1C" w14:textId="303C5316" w:rsidR="00ED0E4E" w:rsidRDefault="00E80FD6" w:rsidP="001E45AA">
      <w:pPr>
        <w:pStyle w:val="ListParagraph"/>
        <w:numPr>
          <w:ilvl w:val="1"/>
          <w:numId w:val="4"/>
        </w:numPr>
      </w:pPr>
      <w:r w:rsidRPr="009C7CFA">
        <w:rPr>
          <w:b/>
          <w:bCs/>
        </w:rPr>
        <w:t>Background</w:t>
      </w:r>
      <w:r w:rsidR="00AB2843">
        <w:t xml:space="preserve"> - </w:t>
      </w:r>
      <w:r w:rsidR="00347E5A">
        <w:t xml:space="preserve">The </w:t>
      </w:r>
      <w:r w:rsidR="00D66EAE">
        <w:t xml:space="preserve">Scottish </w:t>
      </w:r>
      <w:r w:rsidR="00347E5A">
        <w:t>sector has moved to a unified quality assurance framework requiring all colleges and universities to report against the same standards.</w:t>
      </w:r>
      <w:r w:rsidR="00D66EAE">
        <w:t xml:space="preserve"> </w:t>
      </w:r>
      <w:r w:rsidR="00347E5A">
        <w:t>Institutions undergo external review every six years.</w:t>
      </w:r>
      <w:r>
        <w:t xml:space="preserve"> </w:t>
      </w:r>
      <w:r w:rsidR="001E45AA" w:rsidRPr="001E45AA">
        <w:t>The review assesse</w:t>
      </w:r>
      <w:r w:rsidR="001E45AA">
        <w:t>s</w:t>
      </w:r>
      <w:r w:rsidR="001E45AA" w:rsidRPr="001E45AA">
        <w:t xml:space="preserve"> academic standards, policies, and procedures across the institution.</w:t>
      </w:r>
      <w:r w:rsidR="001E45AA">
        <w:t xml:space="preserve"> </w:t>
      </w:r>
      <w:r w:rsidR="00347E5A">
        <w:t>The University’s review took place over the past year, with</w:t>
      </w:r>
      <w:r w:rsidR="001E45AA">
        <w:t xml:space="preserve"> s</w:t>
      </w:r>
      <w:r w:rsidR="00347E5A">
        <w:t>ubmission of extensive documentation in October</w:t>
      </w:r>
      <w:r w:rsidR="001E45AA">
        <w:t xml:space="preserve"> followed by a</w:t>
      </w:r>
      <w:r w:rsidR="00347E5A">
        <w:t>n initial visit in December</w:t>
      </w:r>
      <w:r w:rsidR="001E45AA">
        <w:t xml:space="preserve"> and a final</w:t>
      </w:r>
      <w:r w:rsidR="00347E5A">
        <w:t xml:space="preserve"> four</w:t>
      </w:r>
      <w:r w:rsidR="00347E5A" w:rsidRPr="001E45AA">
        <w:rPr>
          <w:rFonts w:ascii="Cambria Math" w:hAnsi="Cambria Math" w:cs="Cambria Math"/>
        </w:rPr>
        <w:t>‑</w:t>
      </w:r>
      <w:r w:rsidR="00347E5A">
        <w:t>day review visit in February</w:t>
      </w:r>
      <w:r w:rsidR="001E45AA">
        <w:t xml:space="preserve">. </w:t>
      </w:r>
      <w:r w:rsidR="00404B1E" w:rsidRPr="00404B1E">
        <w:t>The panel met many staff and students</w:t>
      </w:r>
      <w:r w:rsidR="00404B1E">
        <w:t xml:space="preserve"> at all levels</w:t>
      </w:r>
      <w:r w:rsidR="00404B1E" w:rsidRPr="00404B1E">
        <w:t xml:space="preserve"> during the process. A full, detailed report will be received Thursday</w:t>
      </w:r>
      <w:r w:rsidR="00404B1E">
        <w:t xml:space="preserve"> </w:t>
      </w:r>
      <w:r w:rsidR="0043687E">
        <w:t>19 March 2026</w:t>
      </w:r>
      <w:r w:rsidR="00404B1E" w:rsidRPr="00404B1E">
        <w:t>.</w:t>
      </w:r>
    </w:p>
    <w:p w14:paraId="21E1C226" w14:textId="50767C8F" w:rsidR="001F0AD9" w:rsidRDefault="0043687E" w:rsidP="009C7CFA">
      <w:pPr>
        <w:pStyle w:val="ListParagraph"/>
        <w:numPr>
          <w:ilvl w:val="1"/>
          <w:numId w:val="4"/>
        </w:numPr>
      </w:pPr>
      <w:r w:rsidRPr="009C7CFA">
        <w:rPr>
          <w:b/>
          <w:bCs/>
        </w:rPr>
        <w:t>Indicative Outcomes</w:t>
      </w:r>
      <w:r>
        <w:t xml:space="preserve"> - </w:t>
      </w:r>
      <w:r w:rsidR="001F0AD9">
        <w:t xml:space="preserve">ST thanked all contributors, with </w:t>
      </w:r>
      <w:proofErr w:type="gramStart"/>
      <w:r w:rsidR="001F0AD9">
        <w:t>particular recognition</w:t>
      </w:r>
      <w:proofErr w:type="gramEnd"/>
      <w:r w:rsidR="001F0AD9">
        <w:t xml:space="preserve"> for </w:t>
      </w:r>
      <w:r w:rsidR="001F0AD9" w:rsidRPr="003F3B77">
        <w:rPr>
          <w:b/>
          <w:bCs/>
        </w:rPr>
        <w:t xml:space="preserve">Emma </w:t>
      </w:r>
      <w:r w:rsidR="00C47A09">
        <w:rPr>
          <w:b/>
          <w:bCs/>
        </w:rPr>
        <w:t xml:space="preserve">Tough </w:t>
      </w:r>
      <w:r w:rsidR="001F0AD9" w:rsidRPr="003F3B77">
        <w:rPr>
          <w:b/>
          <w:bCs/>
        </w:rPr>
        <w:t>(Academic Services)</w:t>
      </w:r>
      <w:r w:rsidR="001F0AD9">
        <w:t xml:space="preserve"> for her substantial work.</w:t>
      </w:r>
      <w:r w:rsidR="003F3B77">
        <w:t xml:space="preserve"> </w:t>
      </w:r>
      <w:r w:rsidR="001F0AD9">
        <w:t>The University has been found effective in managing academic standards.</w:t>
      </w:r>
      <w:r w:rsidR="003F3B77">
        <w:t xml:space="preserve"> </w:t>
      </w:r>
      <w:r w:rsidR="001F0AD9">
        <w:t>The panel identified eight areas of good practice — the highest number ever recorded in such a report.</w:t>
      </w:r>
      <w:r w:rsidR="003F3B77">
        <w:t xml:space="preserve"> </w:t>
      </w:r>
      <w:r w:rsidR="001F0AD9">
        <w:t>These areas span multiple domains rather than being concentrated in one area.</w:t>
      </w:r>
      <w:r w:rsidR="009C7CFA">
        <w:t xml:space="preserve"> </w:t>
      </w:r>
      <w:r w:rsidR="001F0AD9">
        <w:t xml:space="preserve">Four recommendations were made; the University is already addressing these, and </w:t>
      </w:r>
      <w:proofErr w:type="gramStart"/>
      <w:r w:rsidR="001F0AD9">
        <w:t>none present</w:t>
      </w:r>
      <w:proofErr w:type="gramEnd"/>
      <w:r w:rsidR="001F0AD9">
        <w:t xml:space="preserve"> significant challenges</w:t>
      </w:r>
    </w:p>
    <w:p w14:paraId="5E169ACF" w14:textId="57B77B11" w:rsidR="006638F3" w:rsidRDefault="006F41EE" w:rsidP="00EA70AA">
      <w:pPr>
        <w:pStyle w:val="ListParagraph"/>
        <w:numPr>
          <w:ilvl w:val="1"/>
          <w:numId w:val="4"/>
        </w:numPr>
      </w:pPr>
      <w:r w:rsidRPr="0089776D">
        <w:rPr>
          <w:b/>
          <w:bCs/>
        </w:rPr>
        <w:t>Discussion</w:t>
      </w:r>
      <w:r w:rsidR="00E42557">
        <w:t xml:space="preserve"> </w:t>
      </w:r>
    </w:p>
    <w:p w14:paraId="09E8D255" w14:textId="3A39FFC9" w:rsidR="00EA70AA" w:rsidRDefault="008B7B3E" w:rsidP="006638F3">
      <w:pPr>
        <w:pStyle w:val="ListParagraph"/>
        <w:numPr>
          <w:ilvl w:val="2"/>
          <w:numId w:val="4"/>
        </w:numPr>
      </w:pPr>
      <w:r w:rsidRPr="008B7B3E">
        <w:t>SP asked whether there will be PGR</w:t>
      </w:r>
      <w:r w:rsidRPr="008B7B3E">
        <w:rPr>
          <w:rFonts w:ascii="Cambria Math" w:hAnsi="Cambria Math" w:cs="Cambria Math"/>
        </w:rPr>
        <w:t>‑</w:t>
      </w:r>
      <w:r w:rsidRPr="008B7B3E">
        <w:t>specific feedback, given the PGR</w:t>
      </w:r>
      <w:r w:rsidRPr="008B7B3E">
        <w:rPr>
          <w:rFonts w:ascii="Cambria Math" w:hAnsi="Cambria Math" w:cs="Cambria Math"/>
        </w:rPr>
        <w:t>‑</w:t>
      </w:r>
      <w:r w:rsidRPr="008B7B3E">
        <w:t>facing sessions involving students, supervisors, and colleagues.</w:t>
      </w:r>
      <w:r>
        <w:t xml:space="preserve"> </w:t>
      </w:r>
      <w:r w:rsidR="006638F3" w:rsidRPr="006638F3">
        <w:t>ST noted that reports vary depending on the panel, but given the depth of questioning, he expects substantial detail and hopes for PGR</w:t>
      </w:r>
      <w:r w:rsidR="006638F3" w:rsidRPr="006638F3">
        <w:rPr>
          <w:rFonts w:ascii="Cambria Math" w:hAnsi="Cambria Math" w:cs="Cambria Math"/>
        </w:rPr>
        <w:t>‑</w:t>
      </w:r>
      <w:r w:rsidR="006638F3" w:rsidRPr="006638F3">
        <w:t>specific commentary.</w:t>
      </w:r>
      <w:r w:rsidR="006638F3">
        <w:t xml:space="preserve"> </w:t>
      </w:r>
    </w:p>
    <w:p w14:paraId="0AD4B062" w14:textId="0211310C" w:rsidR="00423451" w:rsidRDefault="006638F3" w:rsidP="00CB3291">
      <w:pPr>
        <w:pStyle w:val="ListParagraph"/>
        <w:numPr>
          <w:ilvl w:val="2"/>
          <w:numId w:val="4"/>
        </w:numPr>
      </w:pPr>
      <w:r w:rsidRPr="006638F3">
        <w:t>PH asked whether the report will be public</w:t>
      </w:r>
      <w:r w:rsidR="00C82A83">
        <w:t xml:space="preserve"> and if it is could it</w:t>
      </w:r>
      <w:r w:rsidR="00C82A83" w:rsidRPr="00C82A83">
        <w:t xml:space="preserve"> be used positively for external promotion</w:t>
      </w:r>
      <w:r w:rsidR="00213ED5">
        <w:t xml:space="preserve">. ST confirms that it will be and </w:t>
      </w:r>
      <w:r w:rsidR="0089776D">
        <w:t xml:space="preserve">it can be used for marketing purposes. </w:t>
      </w:r>
    </w:p>
    <w:p w14:paraId="49DFB13B" w14:textId="77777777" w:rsidR="006B2E84" w:rsidRDefault="001B24CB" w:rsidP="006B2E84">
      <w:pPr>
        <w:pStyle w:val="ListParagraph"/>
        <w:numPr>
          <w:ilvl w:val="2"/>
          <w:numId w:val="4"/>
        </w:numPr>
      </w:pPr>
      <w:r w:rsidRPr="001B24CB">
        <w:t>SP thanked ST and his team for their hard work throughout the review process.</w:t>
      </w:r>
    </w:p>
    <w:p w14:paraId="35D390E9" w14:textId="5AA36828" w:rsidR="00C97A62" w:rsidRPr="00525752" w:rsidRDefault="00CA1624" w:rsidP="006B2E84">
      <w:pPr>
        <w:pStyle w:val="ListParagraph"/>
        <w:numPr>
          <w:ilvl w:val="0"/>
          <w:numId w:val="4"/>
        </w:numPr>
        <w:rPr>
          <w:b/>
          <w:bCs/>
        </w:rPr>
      </w:pPr>
      <w:r w:rsidRPr="00525752">
        <w:rPr>
          <w:b/>
          <w:bCs/>
        </w:rPr>
        <w:t>E-Theses: Examination to Submission Policy and Guidance</w:t>
      </w:r>
    </w:p>
    <w:p w14:paraId="1AF046A7" w14:textId="595C3726" w:rsidR="00123377" w:rsidRDefault="003E1EF2" w:rsidP="00123377">
      <w:pPr>
        <w:pStyle w:val="ListParagraph"/>
        <w:numPr>
          <w:ilvl w:val="1"/>
          <w:numId w:val="4"/>
        </w:numPr>
      </w:pPr>
      <w:r w:rsidRPr="00525752">
        <w:rPr>
          <w:b/>
          <w:bCs/>
        </w:rPr>
        <w:t>E</w:t>
      </w:r>
      <w:r w:rsidRPr="00525752">
        <w:rPr>
          <w:rFonts w:ascii="Cambria Math" w:hAnsi="Cambria Math" w:cs="Cambria Math"/>
          <w:b/>
          <w:bCs/>
        </w:rPr>
        <w:t>‑</w:t>
      </w:r>
      <w:r w:rsidRPr="00525752">
        <w:rPr>
          <w:b/>
          <w:bCs/>
        </w:rPr>
        <w:t>Thesis Submission Process and System Demonstration</w:t>
      </w:r>
      <w:r w:rsidRPr="003E1EF2">
        <w:t xml:space="preserve"> (Library)</w:t>
      </w:r>
      <w:r w:rsidR="000E32C7">
        <w:t xml:space="preserve"> - </w:t>
      </w:r>
      <w:r w:rsidR="000E32C7" w:rsidRPr="000E32C7">
        <w:t>SB provided an overview of the work undertaken to transition the University to digital</w:t>
      </w:r>
      <w:r w:rsidR="000E32C7" w:rsidRPr="000E32C7">
        <w:rPr>
          <w:rFonts w:ascii="Cambria Math" w:hAnsi="Cambria Math" w:cs="Cambria Math"/>
        </w:rPr>
        <w:t>‑</w:t>
      </w:r>
      <w:r w:rsidR="000E32C7" w:rsidRPr="000E32C7">
        <w:t>only thesis submission.</w:t>
      </w:r>
      <w:r w:rsidR="00625439">
        <w:t xml:space="preserve"> </w:t>
      </w:r>
      <w:r w:rsidR="00625439" w:rsidRPr="00625439">
        <w:t xml:space="preserve">Historically, the University required physical copies, </w:t>
      </w:r>
      <w:r w:rsidR="00F4625E">
        <w:t xml:space="preserve">which changed in 2020 due to the Covid-19 </w:t>
      </w:r>
      <w:proofErr w:type="gramStart"/>
      <w:r w:rsidR="00F4625E">
        <w:t>pandemic  with</w:t>
      </w:r>
      <w:proofErr w:type="gramEnd"/>
      <w:r w:rsidR="00F4625E">
        <w:t xml:space="preserve"> a</w:t>
      </w:r>
      <w:r w:rsidR="00625439" w:rsidRPr="00625439">
        <w:t xml:space="preserve"> decision needed on whether digital</w:t>
      </w:r>
      <w:r w:rsidR="00625439" w:rsidRPr="00625439">
        <w:rPr>
          <w:rFonts w:ascii="Cambria Math" w:hAnsi="Cambria Math" w:cs="Cambria Math"/>
        </w:rPr>
        <w:t>‑</w:t>
      </w:r>
      <w:r w:rsidR="00625439" w:rsidRPr="00625439">
        <w:t>only submission could be adopted safely</w:t>
      </w:r>
      <w:r w:rsidR="00C72C7D">
        <w:t xml:space="preserve"> for complete future transition</w:t>
      </w:r>
      <w:r w:rsidR="00625439" w:rsidRPr="00625439">
        <w:t>. Assurance was required regarding long</w:t>
      </w:r>
      <w:r w:rsidR="00625439" w:rsidRPr="00625439">
        <w:rPr>
          <w:rFonts w:ascii="Cambria Math" w:hAnsi="Cambria Math" w:cs="Cambria Math"/>
        </w:rPr>
        <w:t>‑</w:t>
      </w:r>
      <w:r w:rsidR="00625439" w:rsidRPr="00625439">
        <w:t>term digital storage and preservation.</w:t>
      </w:r>
      <w:r w:rsidR="00C72C7D">
        <w:t xml:space="preserve"> </w:t>
      </w:r>
      <w:r w:rsidR="00C72C7D" w:rsidRPr="00C72C7D">
        <w:t>As of several weeks ago, the University has moved into service with a new digital preservation provider.</w:t>
      </w:r>
      <w:r w:rsidR="00832BBB">
        <w:t xml:space="preserve"> </w:t>
      </w:r>
      <w:r w:rsidR="00832BBB" w:rsidRPr="00832BBB">
        <w:t>The infrastructure aligns with sector best practice and international standards.</w:t>
      </w:r>
      <w:r w:rsidR="00832BBB">
        <w:t xml:space="preserve"> </w:t>
      </w:r>
      <w:r w:rsidR="00832BBB" w:rsidRPr="00832BBB">
        <w:t>Further development work will explore how the system can support wider University needs in future.</w:t>
      </w:r>
      <w:r w:rsidR="00832BBB">
        <w:t xml:space="preserve"> </w:t>
      </w:r>
      <w:r w:rsidR="00832BBB" w:rsidRPr="00832BBB">
        <w:t>- SB confirmed the University is now at a stage where it can confidently move to e</w:t>
      </w:r>
      <w:r w:rsidR="00832BBB" w:rsidRPr="00832BBB">
        <w:rPr>
          <w:rFonts w:ascii="Cambria Math" w:hAnsi="Cambria Math" w:cs="Cambria Math"/>
        </w:rPr>
        <w:t>‑</w:t>
      </w:r>
      <w:r w:rsidR="00832BBB" w:rsidRPr="00832BBB">
        <w:t>thesis only, and recommended the committee support this position</w:t>
      </w:r>
      <w:r w:rsidR="00832BBB">
        <w:t>.</w:t>
      </w:r>
      <w:r w:rsidR="0085394D">
        <w:t xml:space="preserve"> </w:t>
      </w:r>
      <w:r w:rsidR="0085394D" w:rsidRPr="0085394D">
        <w:t>As part of the project, all thesis</w:t>
      </w:r>
      <w:r w:rsidR="0085394D" w:rsidRPr="0085394D">
        <w:rPr>
          <w:rFonts w:ascii="Cambria Math" w:hAnsi="Cambria Math" w:cs="Cambria Math"/>
        </w:rPr>
        <w:t>‑</w:t>
      </w:r>
      <w:r w:rsidR="0085394D" w:rsidRPr="0085394D">
        <w:t>related guidance for students and supervisors was reviewed collaboratively across professional services.</w:t>
      </w:r>
    </w:p>
    <w:p w14:paraId="1371AACD" w14:textId="5D98A448" w:rsidR="004D11F6" w:rsidRDefault="0043232B" w:rsidP="00FF4A75">
      <w:pPr>
        <w:pStyle w:val="ListParagraph"/>
        <w:numPr>
          <w:ilvl w:val="2"/>
          <w:numId w:val="4"/>
        </w:numPr>
      </w:pPr>
      <w:r w:rsidRPr="0043232B">
        <w:t>A PowerPoint demonstration (attached to the minutes) outlined the new submission process.</w:t>
      </w:r>
      <w:r>
        <w:t xml:space="preserve"> </w:t>
      </w:r>
      <w:r w:rsidR="000F21DC" w:rsidRPr="000F21DC">
        <w:t>A web deposit form has been created with radio</w:t>
      </w:r>
      <w:r w:rsidR="000F21DC" w:rsidRPr="00FF4A75">
        <w:rPr>
          <w:rFonts w:ascii="Cambria Math" w:hAnsi="Cambria Math" w:cs="Cambria Math"/>
        </w:rPr>
        <w:t>‑</w:t>
      </w:r>
      <w:r w:rsidR="000F21DC" w:rsidRPr="000F21DC">
        <w:t>button options to simplify user navigation and ensure clarity on required steps. The form populates the Library Management System automatically, streamlining workflows</w:t>
      </w:r>
      <w:r w:rsidR="004D11F6">
        <w:t>.</w:t>
      </w:r>
      <w:r w:rsidR="00FF4A75">
        <w:t xml:space="preserve"> </w:t>
      </w:r>
      <w:r w:rsidR="004D11F6" w:rsidRPr="004D11F6">
        <w:t xml:space="preserve">Submitted theses feed into the Library’s digital preservation system, which </w:t>
      </w:r>
      <w:r w:rsidR="00FF4A75" w:rsidRPr="004D11F6">
        <w:t>provides</w:t>
      </w:r>
      <w:r w:rsidR="004D11F6">
        <w:t xml:space="preserve"> virus scanning, scheduled integrity checks, alerts when file formats become outdated. </w:t>
      </w:r>
    </w:p>
    <w:p w14:paraId="7F2A2055" w14:textId="04C99A90" w:rsidR="00FF4A75" w:rsidRDefault="00FF4A75" w:rsidP="00FF4A75">
      <w:pPr>
        <w:pStyle w:val="ListParagraph"/>
        <w:numPr>
          <w:ilvl w:val="2"/>
          <w:numId w:val="4"/>
        </w:numPr>
      </w:pPr>
      <w:r>
        <w:t xml:space="preserve">EMC </w:t>
      </w:r>
      <w:r w:rsidR="0006786E">
        <w:t>enquired about system-level safeguards quoting the British Library</w:t>
      </w:r>
      <w:r w:rsidR="009F10DB">
        <w:t xml:space="preserve"> attack from several years ago. </w:t>
      </w:r>
      <w:r w:rsidR="00B04E1B">
        <w:t>L</w:t>
      </w:r>
      <w:r w:rsidR="00216BA7">
        <w:t xml:space="preserve">M confirmed system now have strengthened protection following the increase in recent </w:t>
      </w:r>
      <w:r w:rsidR="004854D7">
        <w:t>cyber-attacks</w:t>
      </w:r>
      <w:r w:rsidR="007B5604">
        <w:t>. SB noted that the digitalised collections of the British Library were preserved in the servers</w:t>
      </w:r>
      <w:r w:rsidR="004854D7">
        <w:t xml:space="preserve">, demonstrating the resilience of such systems. </w:t>
      </w:r>
    </w:p>
    <w:p w14:paraId="5C578826" w14:textId="77777777" w:rsidR="00256223" w:rsidRDefault="00483188" w:rsidP="00256223">
      <w:pPr>
        <w:pStyle w:val="ListParagraph"/>
        <w:numPr>
          <w:ilvl w:val="2"/>
          <w:numId w:val="4"/>
        </w:numPr>
      </w:pPr>
      <w:r>
        <w:t>PH</w:t>
      </w:r>
      <w:r w:rsidR="00210AB9">
        <w:t xml:space="preserve"> </w:t>
      </w:r>
      <w:r w:rsidR="00210AB9" w:rsidRPr="00210AB9">
        <w:t xml:space="preserve">asked about </w:t>
      </w:r>
      <w:r w:rsidR="00210AB9">
        <w:t xml:space="preserve">the systems capabilities to handle thesis documents with </w:t>
      </w:r>
      <w:r w:rsidR="00210AB9" w:rsidRPr="00210AB9">
        <w:t>embedd</w:t>
      </w:r>
      <w:r w:rsidR="00210AB9">
        <w:t xml:space="preserve">ed </w:t>
      </w:r>
      <w:r w:rsidR="00210AB9" w:rsidRPr="00210AB9">
        <w:t>videos or multimedia</w:t>
      </w:r>
      <w:r w:rsidR="00210AB9">
        <w:t xml:space="preserve">. LM confirmed the system will be able to adapt to handle format changes. </w:t>
      </w:r>
    </w:p>
    <w:p w14:paraId="50A7C032" w14:textId="551289FF" w:rsidR="00B60D12" w:rsidRDefault="00210AB9" w:rsidP="00256223">
      <w:pPr>
        <w:pStyle w:val="ListParagraph"/>
        <w:numPr>
          <w:ilvl w:val="2"/>
          <w:numId w:val="4"/>
        </w:numPr>
      </w:pPr>
      <w:r>
        <w:t xml:space="preserve">BM questioned if the system </w:t>
      </w:r>
      <w:r w:rsidR="00C35524">
        <w:t>would</w:t>
      </w:r>
      <w:r>
        <w:t xml:space="preserve"> </w:t>
      </w:r>
      <w:r w:rsidR="00D83EF6">
        <w:t xml:space="preserve">change the discoverability of the </w:t>
      </w:r>
      <w:proofErr w:type="gramStart"/>
      <w:r w:rsidR="00D83EF6">
        <w:t>thesis’</w:t>
      </w:r>
      <w:proofErr w:type="gramEnd"/>
      <w:r w:rsidR="00D83EF6">
        <w:t xml:space="preserve"> already submitted. </w:t>
      </w:r>
      <w:r w:rsidR="00256223" w:rsidRPr="00256223">
        <w:t>SB confirmed discoverability remains the same for users; theses will continue to be accessible via the Library Management System.</w:t>
      </w:r>
      <w:r w:rsidR="00256223">
        <w:t xml:space="preserve"> </w:t>
      </w:r>
      <w:r w:rsidR="00256223" w:rsidRPr="00256223">
        <w:t>Older theses (pre</w:t>
      </w:r>
      <w:r w:rsidR="00256223" w:rsidRPr="00256223">
        <w:rPr>
          <w:rFonts w:ascii="Cambria Math" w:hAnsi="Cambria Math" w:cs="Cambria Math"/>
        </w:rPr>
        <w:t>‑</w:t>
      </w:r>
      <w:r w:rsidR="00256223" w:rsidRPr="00256223">
        <w:t xml:space="preserve">pandemic) remain </w:t>
      </w:r>
      <w:proofErr w:type="spellStart"/>
      <w:r w:rsidR="00256223" w:rsidRPr="00256223">
        <w:t>undigitised</w:t>
      </w:r>
      <w:proofErr w:type="spellEnd"/>
      <w:r w:rsidR="00256223" w:rsidRPr="00256223">
        <w:t xml:space="preserve"> unless previously converted</w:t>
      </w:r>
      <w:r w:rsidR="00256223">
        <w:t xml:space="preserve"> for individual reasons</w:t>
      </w:r>
      <w:r w:rsidR="00256223" w:rsidRPr="00256223">
        <w:t>.</w:t>
      </w:r>
    </w:p>
    <w:p w14:paraId="703C0A0C" w14:textId="1159BD36" w:rsidR="00525752" w:rsidRDefault="00525752" w:rsidP="00525752">
      <w:pPr>
        <w:pStyle w:val="ListParagraph"/>
        <w:numPr>
          <w:ilvl w:val="1"/>
          <w:numId w:val="4"/>
        </w:numPr>
      </w:pPr>
      <w:r w:rsidRPr="00525752">
        <w:lastRenderedPageBreak/>
        <w:t>Changes to AQH Webpages (Registry)</w:t>
      </w:r>
      <w:r w:rsidR="00176FB5">
        <w:t xml:space="preserve"> - </w:t>
      </w:r>
      <w:r w:rsidR="00176FB5" w:rsidRPr="00176FB5">
        <w:t>From February onwards, PGR students will be able to submit their thesis and accompanying paperwork directly to Turnitin.</w:t>
      </w:r>
      <w:r w:rsidR="00176FB5">
        <w:t xml:space="preserve"> </w:t>
      </w:r>
      <w:r w:rsidR="00176FB5" w:rsidRPr="00176FB5">
        <w:t>This benefits students and supervisors by enabling direct access to similarity reports.</w:t>
      </w:r>
      <w:r w:rsidR="00176FB5">
        <w:t xml:space="preserve"> </w:t>
      </w:r>
      <w:r w:rsidR="00176FB5" w:rsidRPr="00176FB5">
        <w:t xml:space="preserve"> Guidance has been updated accordingly.</w:t>
      </w:r>
      <w:r w:rsidR="00176FB5">
        <w:t xml:space="preserve"> </w:t>
      </w:r>
      <w:r w:rsidR="00176FB5" w:rsidRPr="00176FB5">
        <w:t>During the update process, Registry identified multiple overlapping documents; these will be consolidated.</w:t>
      </w:r>
      <w:r w:rsidR="00DD299B">
        <w:t xml:space="preserve"> </w:t>
      </w:r>
      <w:r w:rsidR="00DD299B" w:rsidRPr="00DD299B">
        <w:t>The aim is to create one central location for all thesis</w:t>
      </w:r>
      <w:r w:rsidR="00DD299B" w:rsidRPr="00DD299B">
        <w:rPr>
          <w:rFonts w:ascii="Cambria Math" w:hAnsi="Cambria Math" w:cs="Cambria Math"/>
        </w:rPr>
        <w:t>‑</w:t>
      </w:r>
      <w:r w:rsidR="00DD299B" w:rsidRPr="00DD299B">
        <w:t>related guidance, including Library requirements.</w:t>
      </w:r>
    </w:p>
    <w:p w14:paraId="52CF7107" w14:textId="070FCB2C" w:rsidR="00DD299B" w:rsidRDefault="00123A89" w:rsidP="00DD299B">
      <w:pPr>
        <w:pStyle w:val="ListParagraph"/>
        <w:numPr>
          <w:ilvl w:val="2"/>
          <w:numId w:val="4"/>
        </w:numPr>
      </w:pPr>
      <w:r>
        <w:t>Turnitin</w:t>
      </w:r>
      <w:r w:rsidR="00DD299B">
        <w:t xml:space="preserve"> Guidance now clarifies</w:t>
      </w:r>
      <w:r>
        <w:t xml:space="preserve"> that PGRs should upload only the final draft, the system provides a similarity checks not a plagiarism detection. Supervisors will remain responsible for interpreting similarity reports. </w:t>
      </w:r>
      <w:r w:rsidR="00DD299B">
        <w:t xml:space="preserve"> </w:t>
      </w:r>
      <w:r w:rsidR="00577CB1">
        <w:t>It was clarified that Turnitin Draft is different from the</w:t>
      </w:r>
      <w:r w:rsidR="009C2BC1">
        <w:t xml:space="preserve"> official submission version, </w:t>
      </w:r>
      <w:proofErr w:type="gramStart"/>
      <w:r w:rsidR="009C2BC1">
        <w:t>its</w:t>
      </w:r>
      <w:proofErr w:type="gramEnd"/>
      <w:r w:rsidR="009C2BC1">
        <w:t xml:space="preserve"> accessible via MS Word, and does not store any of the text supplied in it. </w:t>
      </w:r>
    </w:p>
    <w:p w14:paraId="7900559C" w14:textId="3AB161EB" w:rsidR="009C2BC1" w:rsidRDefault="00D844A0" w:rsidP="009C2BC1">
      <w:pPr>
        <w:pStyle w:val="ListParagraph"/>
        <w:numPr>
          <w:ilvl w:val="1"/>
          <w:numId w:val="4"/>
        </w:numPr>
      </w:pPr>
      <w:r w:rsidRPr="00D844A0">
        <w:t>Changes to Research Degree Guidance (PGRC)</w:t>
      </w:r>
      <w:r w:rsidR="002B66A5">
        <w:t xml:space="preserve"> -</w:t>
      </w:r>
      <w:r w:rsidR="002B66A5" w:rsidRPr="002B66A5">
        <w:t xml:space="preserve"> Updates have been made to the </w:t>
      </w:r>
      <w:r w:rsidR="002B66A5" w:rsidRPr="002B66A5">
        <w:rPr>
          <w:b/>
          <w:bCs/>
        </w:rPr>
        <w:t>Examining</w:t>
      </w:r>
      <w:r w:rsidR="002B66A5" w:rsidRPr="002B66A5">
        <w:t xml:space="preserve"> </w:t>
      </w:r>
      <w:r w:rsidR="002B66A5" w:rsidRPr="002B66A5">
        <w:rPr>
          <w:b/>
          <w:bCs/>
        </w:rPr>
        <w:t>Research Degrees Guidance</w:t>
      </w:r>
      <w:r w:rsidR="002B66A5" w:rsidRPr="002B66A5">
        <w:t xml:space="preserve"> and </w:t>
      </w:r>
      <w:r w:rsidR="002B66A5" w:rsidRPr="002B66A5">
        <w:rPr>
          <w:b/>
          <w:bCs/>
        </w:rPr>
        <w:t>Chapter 10 of the Code of Practice</w:t>
      </w:r>
      <w:r w:rsidR="002B66A5" w:rsidRPr="002B66A5">
        <w:t>, removing duplication</w:t>
      </w:r>
      <w:r w:rsidR="004E698E">
        <w:t>s of information</w:t>
      </w:r>
      <w:r w:rsidR="002B66A5" w:rsidRPr="002B66A5">
        <w:t>.</w:t>
      </w:r>
      <w:r w:rsidR="004E698E">
        <w:t xml:space="preserve"> </w:t>
      </w:r>
      <w:r w:rsidR="004E698E" w:rsidRPr="004E698E">
        <w:t>Additional clarity has been added regarding:</w:t>
      </w:r>
      <w:r w:rsidR="004E698E">
        <w:t xml:space="preserve"> the examining environment and examiners expectations, feedback requirements, p</w:t>
      </w:r>
      <w:r w:rsidR="002D4021">
        <w:t xml:space="preserve">re- and post-viva support for students, and roles of supervisors and students. </w:t>
      </w:r>
    </w:p>
    <w:p w14:paraId="52E7B7F6" w14:textId="60AB938D" w:rsidR="00CA1624" w:rsidRDefault="003A53DD" w:rsidP="00DB3A51">
      <w:pPr>
        <w:pStyle w:val="ListParagraph"/>
        <w:numPr>
          <w:ilvl w:val="2"/>
          <w:numId w:val="4"/>
        </w:numPr>
      </w:pPr>
      <w:r>
        <w:t xml:space="preserve">The committee queried the language around responsibility for recording and administering viva adjustments. </w:t>
      </w:r>
      <w:r w:rsidR="00DB3A51">
        <w:t xml:space="preserve">It was clarified that </w:t>
      </w:r>
      <w:r w:rsidR="00DB3A51" w:rsidRPr="00DB3A51">
        <w:t>this is a School</w:t>
      </w:r>
      <w:r w:rsidR="00DB3A51" w:rsidRPr="00DB3A51">
        <w:rPr>
          <w:rFonts w:ascii="Cambria Math" w:hAnsi="Cambria Math" w:cs="Cambria Math"/>
        </w:rPr>
        <w:t>‑</w:t>
      </w:r>
      <w:r w:rsidR="00DB3A51" w:rsidRPr="00DB3A51">
        <w:t>level process, but guidance will clarify that students and supervisors must discuss and communicate adjustments as a minimum</w:t>
      </w:r>
      <w:r w:rsidR="009B05C9">
        <w:t xml:space="preserve">. </w:t>
      </w:r>
    </w:p>
    <w:p w14:paraId="418D89FC" w14:textId="3D9652C9" w:rsidR="009B05C9" w:rsidRDefault="009B05C9" w:rsidP="00DB3A51">
      <w:pPr>
        <w:pStyle w:val="ListParagraph"/>
        <w:numPr>
          <w:ilvl w:val="2"/>
          <w:numId w:val="4"/>
        </w:numPr>
      </w:pPr>
      <w:r>
        <w:t>BM raised concerns about the use of language around recommendations vs requirements for corrections</w:t>
      </w:r>
      <w:r w:rsidR="0024186D">
        <w:t>,</w:t>
      </w:r>
      <w:r w:rsidR="00BF26D1">
        <w:t xml:space="preserve"> stating that s</w:t>
      </w:r>
      <w:r w:rsidR="00BF26D1" w:rsidRPr="00BF26D1">
        <w:t>tudents often find this confusing, particularly regarding when recommendations become formal requirements after Senate approval.</w:t>
      </w:r>
      <w:r w:rsidR="00FF10EE">
        <w:t xml:space="preserve"> BM will consult with his school and propose alternative wording that address his concerns. </w:t>
      </w:r>
      <w:r w:rsidR="00F5764C">
        <w:t>DK confirmed that</w:t>
      </w:r>
      <w:r w:rsidR="00CD5155">
        <w:t xml:space="preserve"> the feedback form can be adjusted to have a space where requirements are cle</w:t>
      </w:r>
      <w:r w:rsidR="00446C9C">
        <w:t>arly listed and that a</w:t>
      </w:r>
      <w:r w:rsidR="00F5764C">
        <w:t xml:space="preserve"> </w:t>
      </w:r>
      <w:r w:rsidR="00CD5155" w:rsidRPr="00CD5155">
        <w:t>short explanatory sentence will be added to emphasise the importance of completing recommended corrections.</w:t>
      </w:r>
      <w:r w:rsidR="00446C9C">
        <w:t xml:space="preserve"> </w:t>
      </w:r>
      <w:r w:rsidR="00446C9C" w:rsidRPr="00F97D0C">
        <w:rPr>
          <w:highlight w:val="yellow"/>
        </w:rPr>
        <w:t>ACTION</w:t>
      </w:r>
      <w:r w:rsidR="00446C9C">
        <w:t>: PGOs to review the wording of the policy and send feedback to PGRC</w:t>
      </w:r>
      <w:r w:rsidR="00F97D0C">
        <w:t xml:space="preserve">. D to update feedback for once feedback and changes are agreed. </w:t>
      </w:r>
    </w:p>
    <w:p w14:paraId="4AE6CB49" w14:textId="011C7AFC" w:rsidR="00F61488" w:rsidRDefault="002F4E1F" w:rsidP="00F61488">
      <w:pPr>
        <w:pStyle w:val="ListParagraph"/>
        <w:numPr>
          <w:ilvl w:val="2"/>
          <w:numId w:val="4"/>
        </w:numPr>
      </w:pPr>
      <w:r>
        <w:t xml:space="preserve">JH </w:t>
      </w:r>
      <w:r w:rsidRPr="002F4E1F">
        <w:t>raised issues around communication of inclusion adjustments to external examiners.</w:t>
      </w:r>
      <w:r w:rsidR="00AC56C8">
        <w:t xml:space="preserve"> </w:t>
      </w:r>
      <w:r w:rsidR="00894E32" w:rsidRPr="00894E32">
        <w:t>Registry currently sends official notifications, but communication between Inclusion Officers and externals is limited in some Schools</w:t>
      </w:r>
      <w:r w:rsidR="00906008">
        <w:t xml:space="preserve">. </w:t>
      </w:r>
      <w:r w:rsidR="00906008" w:rsidRPr="00F36308">
        <w:rPr>
          <w:highlight w:val="yellow"/>
        </w:rPr>
        <w:t>ACTION</w:t>
      </w:r>
      <w:r w:rsidR="00906008">
        <w:t xml:space="preserve">: RT to clarify in policy that schools are responsible for adjustments and to stress the importance of early communication between student and supervisor. </w:t>
      </w:r>
    </w:p>
    <w:p w14:paraId="52D2F139" w14:textId="77777777" w:rsidR="0007159E" w:rsidRDefault="00C97A62" w:rsidP="0007159E">
      <w:pPr>
        <w:pStyle w:val="ListParagraph"/>
        <w:numPr>
          <w:ilvl w:val="0"/>
          <w:numId w:val="4"/>
        </w:numPr>
      </w:pPr>
      <w:r w:rsidRPr="00722409">
        <w:rPr>
          <w:b/>
          <w:bCs/>
        </w:rPr>
        <w:t>UoA response to SFC consultation</w:t>
      </w:r>
      <w:r>
        <w:t xml:space="preserve"> (</w:t>
      </w:r>
      <w:r w:rsidR="003653C0">
        <w:t>SP</w:t>
      </w:r>
      <w:r>
        <w:t>)</w:t>
      </w:r>
      <w:r w:rsidR="00E33A45">
        <w:t xml:space="preserve"> – SP</w:t>
      </w:r>
      <w:r w:rsidR="00E33A45" w:rsidRPr="00E33A45">
        <w:t xml:space="preserve"> provided an overview of the University’s response to the Scottish Funding Council (SFC) consultation.</w:t>
      </w:r>
      <w:r w:rsidR="00E33A45">
        <w:t xml:space="preserve"> T</w:t>
      </w:r>
      <w:r w:rsidR="00E33A45" w:rsidRPr="00E33A45">
        <w:t>he SFC sought clarity on several areas, including:</w:t>
      </w:r>
      <w:r w:rsidR="008E5BFA">
        <w:t xml:space="preserve"> t</w:t>
      </w:r>
      <w:r w:rsidR="008E5BFA" w:rsidRPr="008E5BFA">
        <w:t>he minimum level of funding required to protect smaller institutions</w:t>
      </w:r>
      <w:r w:rsidR="008E5BFA">
        <w:t xml:space="preserve"> and t</w:t>
      </w:r>
      <w:r w:rsidR="00A7189A" w:rsidRPr="00A7189A">
        <w:t>he potential financial impact on institutions if funding models shift</w:t>
      </w:r>
      <w:r w:rsidR="00A7189A">
        <w:t xml:space="preserve"> unexpectedly.</w:t>
      </w:r>
      <w:r w:rsidR="00D2721A">
        <w:t xml:space="preserve"> The University of Aberdeen’s respon</w:t>
      </w:r>
      <w:r w:rsidR="00DB12BA">
        <w:t xml:space="preserve">ded </w:t>
      </w:r>
      <w:r w:rsidR="00D2721A">
        <w:t xml:space="preserve">that </w:t>
      </w:r>
      <w:r w:rsidR="00DB12BA">
        <w:t xml:space="preserve">it has </w:t>
      </w:r>
      <w:r w:rsidR="00D2721A">
        <w:t xml:space="preserve">a </w:t>
      </w:r>
      <w:r w:rsidR="00DB12BA">
        <w:t xml:space="preserve">very limited capacity to absorb fluctuations in the grants. </w:t>
      </w:r>
      <w:r w:rsidR="0007159E" w:rsidRPr="0007159E">
        <w:t>The final section of the consultation focused on quality assurance for the PGR grant, with an expectation of increased auditing of how funds are used across Schools.</w:t>
      </w:r>
      <w:r w:rsidR="0007159E">
        <w:t xml:space="preserve"> SP c</w:t>
      </w:r>
      <w:r w:rsidR="0007159E" w:rsidRPr="0007159E">
        <w:t>onfirmed the University is confident in its current processes, but future requirements may introduce more formal oversight of RPG allocation and usage.</w:t>
      </w:r>
    </w:p>
    <w:p w14:paraId="7B8B7B8F" w14:textId="2490E30F" w:rsidR="00CA1624" w:rsidRDefault="00CA1624" w:rsidP="0007159E">
      <w:pPr>
        <w:pStyle w:val="ListParagraph"/>
        <w:numPr>
          <w:ilvl w:val="0"/>
          <w:numId w:val="4"/>
        </w:numPr>
      </w:pPr>
      <w:r w:rsidRPr="00722409">
        <w:rPr>
          <w:b/>
          <w:bCs/>
        </w:rPr>
        <w:t>PGR Research Day/Conference</w:t>
      </w:r>
      <w:r>
        <w:t xml:space="preserve"> (SP)</w:t>
      </w:r>
      <w:r w:rsidR="0023645B">
        <w:t xml:space="preserve"> </w:t>
      </w:r>
      <w:r w:rsidR="0023645B" w:rsidRPr="0023645B">
        <w:t xml:space="preserve">- </w:t>
      </w:r>
      <w:r w:rsidR="0023645B">
        <w:t>NF</w:t>
      </w:r>
      <w:r w:rsidR="0023645B" w:rsidRPr="0023645B">
        <w:t xml:space="preserve"> has tasked </w:t>
      </w:r>
      <w:r w:rsidR="001456AA">
        <w:t xml:space="preserve">PGRC </w:t>
      </w:r>
      <w:r w:rsidR="0023645B" w:rsidRPr="0023645B">
        <w:t>with developing a higher</w:t>
      </w:r>
      <w:r w:rsidR="0023645B" w:rsidRPr="0023645B">
        <w:rPr>
          <w:rFonts w:ascii="Cambria Math" w:hAnsi="Cambria Math" w:cs="Cambria Math"/>
        </w:rPr>
        <w:t>‑</w:t>
      </w:r>
      <w:r w:rsidR="0023645B" w:rsidRPr="0023645B">
        <w:t xml:space="preserve">profile PGR research conference, </w:t>
      </w:r>
      <w:r w:rsidR="001456AA">
        <w:t>inspired by</w:t>
      </w:r>
      <w:r w:rsidR="0023645B">
        <w:t xml:space="preserve"> the Interdisciplinary Showcase day, </w:t>
      </w:r>
      <w:r w:rsidR="0023645B" w:rsidRPr="0023645B">
        <w:t>ideally bringing together activity across Schools.</w:t>
      </w:r>
      <w:r w:rsidR="001456AA">
        <w:t xml:space="preserve"> </w:t>
      </w:r>
      <w:r w:rsidR="00722409">
        <w:t xml:space="preserve">SP gave </w:t>
      </w:r>
      <w:proofErr w:type="gramStart"/>
      <w:r w:rsidR="00722409">
        <w:t>an</w:t>
      </w:r>
      <w:proofErr w:type="gramEnd"/>
      <w:r w:rsidR="00722409">
        <w:t xml:space="preserve"> </w:t>
      </w:r>
      <w:r w:rsidR="001456AA" w:rsidRPr="001456AA">
        <w:t>proposal to link this with the October induction, which is currently a half</w:t>
      </w:r>
      <w:r w:rsidR="001456AA" w:rsidRPr="001456AA">
        <w:rPr>
          <w:rFonts w:ascii="Cambria Math" w:hAnsi="Cambria Math" w:cs="Cambria Math"/>
        </w:rPr>
        <w:t>‑</w:t>
      </w:r>
      <w:r w:rsidR="001456AA" w:rsidRPr="001456AA">
        <w:t>day event</w:t>
      </w:r>
      <w:r w:rsidR="00A75A08">
        <w:t xml:space="preserve"> with the morning session focusing on the induction of new starts and the afternoon sessions serving as a research forum or conference-style activity for continuing students. </w:t>
      </w:r>
    </w:p>
    <w:p w14:paraId="1538FF42" w14:textId="76E58768" w:rsidR="00722409" w:rsidRPr="00E40441" w:rsidRDefault="00722409" w:rsidP="00722409">
      <w:pPr>
        <w:pStyle w:val="ListParagraph"/>
        <w:numPr>
          <w:ilvl w:val="1"/>
          <w:numId w:val="4"/>
        </w:numPr>
      </w:pPr>
      <w:r>
        <w:rPr>
          <w:b/>
          <w:bCs/>
        </w:rPr>
        <w:t>Discussion Points</w:t>
      </w:r>
      <w:r w:rsidR="00E40441">
        <w:rPr>
          <w:b/>
          <w:bCs/>
        </w:rPr>
        <w:t xml:space="preserve">: </w:t>
      </w:r>
      <w:r w:rsidR="00E40441">
        <w:rPr>
          <w:b/>
          <w:bCs/>
        </w:rPr>
        <w:tab/>
      </w:r>
    </w:p>
    <w:p w14:paraId="383BF066" w14:textId="13C11170" w:rsidR="00E40441" w:rsidRDefault="00E40441" w:rsidP="00E40441">
      <w:pPr>
        <w:pStyle w:val="ListParagraph"/>
        <w:numPr>
          <w:ilvl w:val="2"/>
          <w:numId w:val="4"/>
        </w:numPr>
      </w:pPr>
      <w:r w:rsidRPr="009F5579">
        <w:t xml:space="preserve">PGR reps Group welcomes this </w:t>
      </w:r>
      <w:r w:rsidR="009F5579" w:rsidRPr="009F5579">
        <w:t>initiative,</w:t>
      </w:r>
      <w:r w:rsidRPr="009F5579">
        <w:t xml:space="preserve"> and their concerns is ensuring that both S</w:t>
      </w:r>
      <w:r w:rsidR="009F5579">
        <w:t>H</w:t>
      </w:r>
      <w:r w:rsidRPr="009F5579">
        <w:t xml:space="preserve">APE and STEM disciplines are equally represented. </w:t>
      </w:r>
      <w:r w:rsidR="00020A05">
        <w:t xml:space="preserve">The group wants to ensure that clashes with </w:t>
      </w:r>
      <w:r w:rsidR="00B53D38">
        <w:t>disciplinary</w:t>
      </w:r>
      <w:r w:rsidR="00020A05">
        <w:t xml:space="preserve"> conference seasons are avoided, </w:t>
      </w:r>
      <w:r w:rsidR="00B53D38">
        <w:t>and that all stages of the PGR degrees are accordingly represented, inc</w:t>
      </w:r>
      <w:r w:rsidR="00D212C5">
        <w:t xml:space="preserve">luding Masters (Research) students. October timing runs the risk of excluding Masters (Research) students and some </w:t>
      </w:r>
      <w:r w:rsidR="00CB2D5C">
        <w:t xml:space="preserve">final stage PhD students who submit earlier. </w:t>
      </w:r>
    </w:p>
    <w:p w14:paraId="33EA4A59" w14:textId="46BA1D04" w:rsidR="009A362E" w:rsidRDefault="00591AB9" w:rsidP="00E40441">
      <w:pPr>
        <w:pStyle w:val="ListParagraph"/>
        <w:numPr>
          <w:ilvl w:val="2"/>
          <w:numId w:val="4"/>
        </w:numPr>
      </w:pPr>
      <w:r>
        <w:t xml:space="preserve">BM reflected that some students who had delays with registration could not attend Orientation last year. </w:t>
      </w:r>
      <w:r w:rsidR="00911B77">
        <w:t>SP clarified that the 2025 induction</w:t>
      </w:r>
      <w:r w:rsidR="00C403BB">
        <w:t xml:space="preserve"> unfortunately</w:t>
      </w:r>
      <w:r w:rsidR="00911B77">
        <w:t xml:space="preserve"> fell on Wed 1</w:t>
      </w:r>
      <w:r w:rsidR="00911B77" w:rsidRPr="00911B77">
        <w:rPr>
          <w:vertAlign w:val="superscript"/>
        </w:rPr>
        <w:t>st</w:t>
      </w:r>
      <w:r w:rsidR="00911B77">
        <w:t xml:space="preserve"> Oct </w:t>
      </w:r>
      <w:r w:rsidR="00C403BB">
        <w:lastRenderedPageBreak/>
        <w:t>due to other university events being scheduled around it beforehand. The 2026 induction is scheduled for the 7</w:t>
      </w:r>
      <w:r w:rsidR="00C403BB" w:rsidRPr="00C403BB">
        <w:rPr>
          <w:vertAlign w:val="superscript"/>
        </w:rPr>
        <w:t>th</w:t>
      </w:r>
      <w:r w:rsidR="00C403BB">
        <w:t xml:space="preserve"> of October. </w:t>
      </w:r>
    </w:p>
    <w:p w14:paraId="540DEC75" w14:textId="1E7533E8" w:rsidR="00F82271" w:rsidRDefault="00F82271" w:rsidP="00E40441">
      <w:pPr>
        <w:pStyle w:val="ListParagraph"/>
        <w:numPr>
          <w:ilvl w:val="2"/>
          <w:numId w:val="4"/>
        </w:numPr>
      </w:pPr>
      <w:r>
        <w:t>The committee agrees that October is not the optimal time for the PGR Research showcase event. RM suggest January as an alternative as it will also capture the Jan start cohorts and it would allow for the Oct students to have settled in</w:t>
      </w:r>
      <w:r w:rsidR="00EB1BF6">
        <w:t xml:space="preserve">. </w:t>
      </w:r>
    </w:p>
    <w:p w14:paraId="08504107" w14:textId="361A895A" w:rsidR="00EB1BF6" w:rsidRDefault="00EB1BF6" w:rsidP="00E40441">
      <w:pPr>
        <w:pStyle w:val="ListParagraph"/>
        <w:numPr>
          <w:ilvl w:val="2"/>
          <w:numId w:val="4"/>
        </w:numPr>
      </w:pPr>
      <w:r>
        <w:t xml:space="preserve">BM highlighted that a hybrid format should be considered to support the distance </w:t>
      </w:r>
      <w:r w:rsidR="00F4499D">
        <w:t>learning PGRs.</w:t>
      </w:r>
    </w:p>
    <w:p w14:paraId="43EBA207" w14:textId="77777777" w:rsidR="00AB64D7" w:rsidRDefault="00F4499D" w:rsidP="00AB64D7">
      <w:pPr>
        <w:pStyle w:val="ListParagraph"/>
        <w:numPr>
          <w:ilvl w:val="1"/>
          <w:numId w:val="4"/>
        </w:numPr>
      </w:pPr>
      <w:r>
        <w:t xml:space="preserve">The committee has expressed enthusiasm for the event with limited support for October scheduling. </w:t>
      </w:r>
      <w:r w:rsidR="00EA7C35" w:rsidRPr="00B633BD">
        <w:rPr>
          <w:highlight w:val="yellow"/>
        </w:rPr>
        <w:t>ACTION</w:t>
      </w:r>
      <w:r w:rsidR="00EA7C35">
        <w:t>: GC to liaise with Schools</w:t>
      </w:r>
      <w:r w:rsidR="005956C6">
        <w:t xml:space="preserve"> and </w:t>
      </w:r>
      <w:r w:rsidR="00726F2F">
        <w:t xml:space="preserve">gather information on existing PGR events across the disciplines </w:t>
      </w:r>
      <w:proofErr w:type="gramStart"/>
      <w:r w:rsidR="00726F2F">
        <w:t>in order to</w:t>
      </w:r>
      <w:proofErr w:type="gramEnd"/>
      <w:r w:rsidR="00726F2F">
        <w:t xml:space="preserve"> identify a suitable time in the academic calendar for the event.</w:t>
      </w:r>
    </w:p>
    <w:p w14:paraId="5B2167CB" w14:textId="77777777" w:rsidR="00AB64D7" w:rsidRDefault="00C97A62" w:rsidP="00AB64D7">
      <w:pPr>
        <w:pStyle w:val="ListParagraph"/>
        <w:numPr>
          <w:ilvl w:val="0"/>
          <w:numId w:val="4"/>
        </w:numPr>
      </w:pPr>
      <w:r w:rsidRPr="00B269DF">
        <w:rPr>
          <w:b/>
          <w:bCs/>
        </w:rPr>
        <w:t>Marketing Update</w:t>
      </w:r>
      <w:r>
        <w:t xml:space="preserve"> (BH)</w:t>
      </w:r>
    </w:p>
    <w:p w14:paraId="79E77952" w14:textId="77777777" w:rsidR="00EE031D" w:rsidRDefault="00C97A62" w:rsidP="0079673F">
      <w:pPr>
        <w:pStyle w:val="ListParagraph"/>
        <w:numPr>
          <w:ilvl w:val="1"/>
          <w:numId w:val="4"/>
        </w:numPr>
      </w:pPr>
      <w:r>
        <w:t xml:space="preserve"> </w:t>
      </w:r>
      <w:r w:rsidR="00EE031D" w:rsidRPr="00B269DF">
        <w:rPr>
          <w:b/>
          <w:bCs/>
        </w:rPr>
        <w:t>Website and Content Improvements</w:t>
      </w:r>
      <w:r w:rsidR="00EE031D">
        <w:t xml:space="preserve"> - </w:t>
      </w:r>
      <w:r w:rsidR="00EE031D" w:rsidRPr="00EE031D">
        <w:t>BH summarised marketing activity over recent months, focused on improving the PGR web presence ahead of the new campaign launch.</w:t>
      </w:r>
      <w:r w:rsidR="00EE031D">
        <w:t xml:space="preserve"> Key updates include: </w:t>
      </w:r>
    </w:p>
    <w:p w14:paraId="4DAACC4C" w14:textId="513AEA45" w:rsidR="00C97A62" w:rsidRDefault="008B03D3" w:rsidP="00EE031D">
      <w:pPr>
        <w:pStyle w:val="ListParagraph"/>
        <w:numPr>
          <w:ilvl w:val="2"/>
          <w:numId w:val="4"/>
        </w:numPr>
      </w:pPr>
      <w:r w:rsidRPr="008B03D3">
        <w:t>Refining content to provide clearer messaging on the PGR offering, support structures, and infrastructure.</w:t>
      </w:r>
    </w:p>
    <w:p w14:paraId="42212489" w14:textId="72B55FDB" w:rsidR="008B03D3" w:rsidRDefault="008B03D3" w:rsidP="00EE031D">
      <w:pPr>
        <w:pStyle w:val="ListParagraph"/>
        <w:numPr>
          <w:ilvl w:val="2"/>
          <w:numId w:val="4"/>
        </w:numPr>
      </w:pPr>
      <w:r w:rsidRPr="008B03D3">
        <w:t>Creating a new section for Masters</w:t>
      </w:r>
      <w:r>
        <w:t xml:space="preserve"> (Research)</w:t>
      </w:r>
      <w:r w:rsidRPr="008B03D3">
        <w:t>, with refreshed and expanded information.</w:t>
      </w:r>
    </w:p>
    <w:p w14:paraId="78C02AFA" w14:textId="3EA17F7E" w:rsidR="008B03D3" w:rsidRDefault="00C63644" w:rsidP="00EE031D">
      <w:pPr>
        <w:pStyle w:val="ListParagraph"/>
        <w:numPr>
          <w:ilvl w:val="2"/>
          <w:numId w:val="4"/>
        </w:numPr>
      </w:pPr>
      <w:r w:rsidRPr="00C63644">
        <w:t>Adding a student stories section to showcase PGR experiences in Aberdeen.</w:t>
      </w:r>
    </w:p>
    <w:p w14:paraId="5267B0F1" w14:textId="099F364F" w:rsidR="00C63644" w:rsidRDefault="00C63644" w:rsidP="00EE031D">
      <w:pPr>
        <w:pStyle w:val="ListParagraph"/>
        <w:numPr>
          <w:ilvl w:val="2"/>
          <w:numId w:val="4"/>
        </w:numPr>
      </w:pPr>
      <w:r w:rsidRPr="00C63644">
        <w:t>Introducing a new FAQ section, informed by AI</w:t>
      </w:r>
      <w:r w:rsidRPr="00C63644">
        <w:rPr>
          <w:rFonts w:ascii="Cambria Math" w:hAnsi="Cambria Math" w:cs="Cambria Math"/>
        </w:rPr>
        <w:t>‑</w:t>
      </w:r>
      <w:r w:rsidRPr="00C63644">
        <w:t>driven search queries, to support prospective students</w:t>
      </w:r>
      <w:r w:rsidRPr="00C63644">
        <w:rPr>
          <w:rFonts w:ascii="Aptos" w:hAnsi="Aptos" w:cs="Aptos"/>
        </w:rPr>
        <w:t>’</w:t>
      </w:r>
      <w:r w:rsidRPr="00C63644">
        <w:t xml:space="preserve"> information needs.</w:t>
      </w:r>
    </w:p>
    <w:p w14:paraId="7CA93D60" w14:textId="7F0C5F59" w:rsidR="00C63644" w:rsidRDefault="00193DDF" w:rsidP="00C63644">
      <w:pPr>
        <w:pStyle w:val="ListParagraph"/>
        <w:numPr>
          <w:ilvl w:val="1"/>
          <w:numId w:val="4"/>
        </w:numPr>
      </w:pPr>
      <w:r w:rsidRPr="00B269DF">
        <w:rPr>
          <w:b/>
          <w:bCs/>
        </w:rPr>
        <w:t>Recruitment Materials</w:t>
      </w:r>
      <w:r>
        <w:t xml:space="preserve"> -</w:t>
      </w:r>
      <w:r w:rsidRPr="00193DDF">
        <w:t xml:space="preserve"> Marketing has developed institution</w:t>
      </w:r>
      <w:r w:rsidRPr="00193DDF">
        <w:rPr>
          <w:rFonts w:ascii="Cambria Math" w:hAnsi="Cambria Math" w:cs="Cambria Math"/>
        </w:rPr>
        <w:t>‑</w:t>
      </w:r>
      <w:r w:rsidRPr="00193DDF">
        <w:t xml:space="preserve">level recruitment materials (PDF </w:t>
      </w:r>
      <w:r>
        <w:t xml:space="preserve">flyer </w:t>
      </w:r>
      <w:r w:rsidRPr="00193DDF">
        <w:t>to be circulated)</w:t>
      </w:r>
    </w:p>
    <w:p w14:paraId="1DEBEA24" w14:textId="24FDD8E8" w:rsidR="00897E19" w:rsidRDefault="00897E19" w:rsidP="00897E19">
      <w:pPr>
        <w:pStyle w:val="ListParagraph"/>
        <w:numPr>
          <w:ilvl w:val="2"/>
          <w:numId w:val="4"/>
        </w:numPr>
      </w:pPr>
      <w:r w:rsidRPr="00897E19">
        <w:t>These are not subject</w:t>
      </w:r>
      <w:r w:rsidRPr="00897E19">
        <w:rPr>
          <w:rFonts w:ascii="Cambria Math" w:hAnsi="Cambria Math" w:cs="Cambria Math"/>
        </w:rPr>
        <w:t>‑</w:t>
      </w:r>
      <w:r w:rsidRPr="00897E19">
        <w:t>specific but highlight institutional benefits and include case studies.</w:t>
      </w:r>
    </w:p>
    <w:p w14:paraId="23C18CAD" w14:textId="7E4A073D" w:rsidR="00897E19" w:rsidRDefault="00897E19" w:rsidP="00897E19">
      <w:pPr>
        <w:pStyle w:val="ListParagraph"/>
        <w:numPr>
          <w:ilvl w:val="2"/>
          <w:numId w:val="4"/>
        </w:numPr>
      </w:pPr>
      <w:r w:rsidRPr="00897E19">
        <w:t>Divinity has already adapted the template for School</w:t>
      </w:r>
      <w:r w:rsidRPr="00897E19">
        <w:rPr>
          <w:rFonts w:ascii="Cambria Math" w:hAnsi="Cambria Math" w:cs="Cambria Math"/>
        </w:rPr>
        <w:t>‑</w:t>
      </w:r>
      <w:r w:rsidRPr="00897E19">
        <w:t>specific use; other Schools are encouraged to do the same.</w:t>
      </w:r>
    </w:p>
    <w:p w14:paraId="13EABFE0" w14:textId="5AC0E353" w:rsidR="00614FC9" w:rsidRDefault="00614FC9" w:rsidP="00614FC9">
      <w:pPr>
        <w:pStyle w:val="ListParagraph"/>
        <w:numPr>
          <w:ilvl w:val="1"/>
          <w:numId w:val="4"/>
        </w:numPr>
      </w:pPr>
      <w:r>
        <w:t>PG Fair and Events</w:t>
      </w:r>
      <w:r w:rsidR="00D27881">
        <w:t xml:space="preserve"> – the recent Postgraduate Fair Event was highly successful.</w:t>
      </w:r>
    </w:p>
    <w:p w14:paraId="06670611" w14:textId="22785945" w:rsidR="00614FC9" w:rsidRDefault="009C5A6F" w:rsidP="00614FC9">
      <w:pPr>
        <w:pStyle w:val="ListParagraph"/>
        <w:numPr>
          <w:ilvl w:val="2"/>
          <w:numId w:val="4"/>
        </w:numPr>
      </w:pPr>
      <w:r w:rsidRPr="009C5A6F">
        <w:t>Branded materials and pull</w:t>
      </w:r>
      <w:r w:rsidRPr="009C5A6F">
        <w:rPr>
          <w:rFonts w:ascii="Cambria Math" w:hAnsi="Cambria Math" w:cs="Cambria Math"/>
        </w:rPr>
        <w:t>‑</w:t>
      </w:r>
      <w:r w:rsidRPr="009C5A6F">
        <w:t>up banners were used.</w:t>
      </w:r>
    </w:p>
    <w:p w14:paraId="31E9A9BE" w14:textId="06B50594" w:rsidR="009C5A6F" w:rsidRDefault="009C5A6F" w:rsidP="00614FC9">
      <w:pPr>
        <w:pStyle w:val="ListParagraph"/>
        <w:numPr>
          <w:ilvl w:val="2"/>
          <w:numId w:val="4"/>
        </w:numPr>
      </w:pPr>
      <w:r w:rsidRPr="009C5A6F">
        <w:t xml:space="preserve">Although the event </w:t>
      </w:r>
      <w:r>
        <w:t xml:space="preserve">mainly </w:t>
      </w:r>
      <w:r w:rsidRPr="009C5A6F">
        <w:t>focused on PGT</w:t>
      </w:r>
      <w:r>
        <w:t xml:space="preserve"> recruitment</w:t>
      </w:r>
      <w:r w:rsidRPr="009C5A6F">
        <w:t>, the PGR table attracted strong interest.</w:t>
      </w:r>
      <w:r w:rsidR="00CF6F50">
        <w:t xml:space="preserve"> AMJ confirmed the PGRC table was busy with most questions </w:t>
      </w:r>
      <w:r w:rsidR="00994B02">
        <w:t>focusing on available funding. AMJ enquires if there is a budget for advertising all the different funding opportunities available to students to maximise UoA exposure.</w:t>
      </w:r>
      <w:r w:rsidR="00E13EB7" w:rsidRPr="00E13EB7">
        <w:t xml:space="preserve"> BH confirmed there is a PGR marketing budget, and he is happy to support programme</w:t>
      </w:r>
      <w:r w:rsidR="00E13EB7" w:rsidRPr="00E13EB7">
        <w:rPr>
          <w:rFonts w:ascii="Cambria Math" w:hAnsi="Cambria Math" w:cs="Cambria Math"/>
        </w:rPr>
        <w:t>‑</w:t>
      </w:r>
      <w:r w:rsidR="00E13EB7" w:rsidRPr="00E13EB7">
        <w:t>specific activity where there is clear ROI</w:t>
      </w:r>
      <w:r w:rsidR="00E13EB7">
        <w:t xml:space="preserve">. </w:t>
      </w:r>
      <w:r w:rsidR="00B652FF" w:rsidRPr="00B652FF">
        <w:t>Marketing can develop</w:t>
      </w:r>
      <w:r w:rsidR="00B652FF">
        <w:t xml:space="preserve"> marketing</w:t>
      </w:r>
      <w:r w:rsidR="00B652FF" w:rsidRPr="00B652FF">
        <w:t xml:space="preserve"> plans for defined programmes, particularly those with attached funding</w:t>
      </w:r>
      <w:r w:rsidR="00B652FF">
        <w:t xml:space="preserve">.  </w:t>
      </w:r>
      <w:r w:rsidR="004D254B" w:rsidRPr="004D254B">
        <w:t>If</w:t>
      </w:r>
      <w:r w:rsidR="004D254B">
        <w:t xml:space="preserve"> such</w:t>
      </w:r>
      <w:r w:rsidR="004D254B" w:rsidRPr="004D254B">
        <w:t xml:space="preserve"> programmes are managed through PGRC, this provides a route for coordinated marketing planning</w:t>
      </w:r>
      <w:r w:rsidR="004D254B">
        <w:t xml:space="preserve"> alongside BH’s team</w:t>
      </w:r>
      <w:r w:rsidR="004D254B" w:rsidRPr="004D254B">
        <w:t>.</w:t>
      </w:r>
    </w:p>
    <w:p w14:paraId="36BE9B8D" w14:textId="5958C606" w:rsidR="00624202" w:rsidRDefault="004D254B" w:rsidP="00F64978">
      <w:pPr>
        <w:pStyle w:val="ListParagraph"/>
        <w:numPr>
          <w:ilvl w:val="1"/>
          <w:numId w:val="4"/>
        </w:numPr>
      </w:pPr>
      <w:r>
        <w:t xml:space="preserve">Digital Marketing Campaign - </w:t>
      </w:r>
      <w:r w:rsidR="00F64978" w:rsidRPr="00F64978">
        <w:t>A new digital campaign has launched, targeting Home/RUK and selected international audiences</w:t>
      </w:r>
      <w:r w:rsidR="00F64978">
        <w:t xml:space="preserve">. </w:t>
      </w:r>
      <w:r w:rsidR="00D13DE5" w:rsidRPr="00D13DE5">
        <w:t>Search engine adverts are now live, aimed at individuals actively seeking PhD opportunities</w:t>
      </w:r>
      <w:r w:rsidR="00D13DE5">
        <w:t xml:space="preserve">. </w:t>
      </w:r>
      <w:r w:rsidR="00D13DE5" w:rsidRPr="00D13DE5">
        <w:t>Meta advertising will launch next week</w:t>
      </w:r>
      <w:r w:rsidR="00D13DE5">
        <w:t xml:space="preserve">. </w:t>
      </w:r>
      <w:r w:rsidR="00D13DE5" w:rsidRPr="00D13DE5">
        <w:t xml:space="preserve">The University continues to use </w:t>
      </w:r>
      <w:proofErr w:type="spellStart"/>
      <w:r w:rsidR="00D13DE5" w:rsidRPr="00D13DE5">
        <w:t>FindAPhD</w:t>
      </w:r>
      <w:proofErr w:type="spellEnd"/>
      <w:r w:rsidR="00D13DE5" w:rsidRPr="00D13DE5">
        <w:t xml:space="preserve"> and similar platforms</w:t>
      </w:r>
      <w:r w:rsidR="00D13DE5">
        <w:t xml:space="preserve">. </w:t>
      </w:r>
      <w:r w:rsidR="00B72234" w:rsidRPr="00B72234">
        <w:t>The campaign will be monitored, with an initial report expected at the next meeting.</w:t>
      </w:r>
      <w:r w:rsidR="00B72234">
        <w:t xml:space="preserve"> </w:t>
      </w:r>
      <w:r w:rsidR="00B72234" w:rsidRPr="00B72234">
        <w:t>BH intends to move next into discipline</w:t>
      </w:r>
      <w:r w:rsidR="00B72234" w:rsidRPr="00B72234">
        <w:rPr>
          <w:rFonts w:ascii="Cambria Math" w:hAnsi="Cambria Math" w:cs="Cambria Math"/>
        </w:rPr>
        <w:t>‑</w:t>
      </w:r>
      <w:r w:rsidR="00B72234" w:rsidRPr="00B72234">
        <w:t xml:space="preserve"> and School</w:t>
      </w:r>
      <w:r w:rsidR="00B72234" w:rsidRPr="00B72234">
        <w:rPr>
          <w:rFonts w:ascii="Cambria Math" w:hAnsi="Cambria Math" w:cs="Cambria Math"/>
        </w:rPr>
        <w:t>‑</w:t>
      </w:r>
      <w:r w:rsidR="00B72234" w:rsidRPr="00B72234">
        <w:t>level targeting, supporting areas with active PGR opportunities</w:t>
      </w:r>
      <w:r w:rsidR="00EC0B0B">
        <w:t>.</w:t>
      </w:r>
    </w:p>
    <w:p w14:paraId="27B45D21" w14:textId="77777777" w:rsidR="00D94162" w:rsidRDefault="00EC0B0B" w:rsidP="00D94162">
      <w:pPr>
        <w:pStyle w:val="ListParagraph"/>
        <w:numPr>
          <w:ilvl w:val="1"/>
          <w:numId w:val="4"/>
        </w:numPr>
      </w:pPr>
      <w:r>
        <w:t xml:space="preserve">Student Profiles – marketing is keen to gather more student testimonials. </w:t>
      </w:r>
      <w:r w:rsidRPr="00433A8F">
        <w:rPr>
          <w:highlight w:val="yellow"/>
        </w:rPr>
        <w:t>ACTION</w:t>
      </w:r>
      <w:r>
        <w:t xml:space="preserve">: BH to resent link to testimonial form </w:t>
      </w:r>
      <w:r w:rsidR="00433A8F">
        <w:t xml:space="preserve">to PGR Admins and PGOs for a new round of advertisement among their PGR cohorts. </w:t>
      </w:r>
    </w:p>
    <w:p w14:paraId="0B14936E" w14:textId="7C48E721" w:rsidR="0099263B" w:rsidRDefault="0099263B" w:rsidP="00D94162">
      <w:pPr>
        <w:pStyle w:val="ListParagraph"/>
        <w:numPr>
          <w:ilvl w:val="0"/>
          <w:numId w:val="4"/>
        </w:numPr>
      </w:pPr>
      <w:r w:rsidRPr="00FC295E">
        <w:rPr>
          <w:b/>
          <w:bCs/>
        </w:rPr>
        <w:t>Processes for formal PGR collaboration with external partners (SP)</w:t>
      </w:r>
      <w:r>
        <w:t xml:space="preserve"> </w:t>
      </w:r>
      <w:r w:rsidR="00156FEF">
        <w:t>-</w:t>
      </w:r>
      <w:r w:rsidR="00156FEF" w:rsidRPr="00156FEF">
        <w:t xml:space="preserve"> SP noted the increasing institutional focus on Transnational Education (TNE) and the need to consider international partnerships that could generate PGR activity.</w:t>
      </w:r>
      <w:r w:rsidR="00C24C4C">
        <w:t xml:space="preserve"> </w:t>
      </w:r>
      <w:r w:rsidR="00C24C4C" w:rsidRPr="00C24C4C">
        <w:t>The University must ensure it is fully exploiting opportunities when they arise.</w:t>
      </w:r>
    </w:p>
    <w:p w14:paraId="5B58F207" w14:textId="1F14C0F2" w:rsidR="00C24C4C" w:rsidRDefault="00C24C4C" w:rsidP="00C24C4C">
      <w:pPr>
        <w:pStyle w:val="ListParagraph"/>
        <w:numPr>
          <w:ilvl w:val="1"/>
          <w:numId w:val="4"/>
        </w:numPr>
      </w:pPr>
      <w:r>
        <w:t>Process and Governance</w:t>
      </w:r>
      <w:r w:rsidR="006115AB">
        <w:t xml:space="preserve">- the process </w:t>
      </w:r>
      <w:r w:rsidR="006115AB" w:rsidRPr="006115AB">
        <w:t>for establishing PGR collaborations is complex</w:t>
      </w:r>
      <w:r w:rsidR="00B34412">
        <w:t xml:space="preserve"> with </w:t>
      </w:r>
      <w:r w:rsidR="007C1467">
        <w:t>t</w:t>
      </w:r>
      <w:r w:rsidR="007C1467" w:rsidRPr="007C1467">
        <w:t>he first point of contact for any potential partnership is Vimal</w:t>
      </w:r>
      <w:r w:rsidR="00CD22DA">
        <w:t xml:space="preserve"> S</w:t>
      </w:r>
      <w:r w:rsidR="007F6F36">
        <w:t>ubramanian</w:t>
      </w:r>
      <w:r w:rsidR="00CD22DA">
        <w:t>.</w:t>
      </w:r>
      <w:r w:rsidR="001F5A04">
        <w:t xml:space="preserve"> </w:t>
      </w:r>
      <w:r w:rsidR="001F5A04" w:rsidRPr="001F5A04">
        <w:t>Early conversations should begin with him to ensure proposals follow the correct pipeline</w:t>
      </w:r>
      <w:r w:rsidR="001F5A04">
        <w:t>.</w:t>
      </w:r>
    </w:p>
    <w:p w14:paraId="4A812C02" w14:textId="2BD578E5" w:rsidR="001F5A04" w:rsidRDefault="001F5A04" w:rsidP="00C24C4C">
      <w:pPr>
        <w:pStyle w:val="ListParagraph"/>
        <w:numPr>
          <w:ilvl w:val="1"/>
          <w:numId w:val="4"/>
        </w:numPr>
      </w:pPr>
      <w:r>
        <w:t xml:space="preserve">Visa and Recruitment </w:t>
      </w:r>
      <w:r w:rsidR="0044191B">
        <w:t>Considerations</w:t>
      </w:r>
    </w:p>
    <w:p w14:paraId="0797DDA7" w14:textId="22FDB291" w:rsidR="0044191B" w:rsidRDefault="0021503F" w:rsidP="0044191B">
      <w:pPr>
        <w:pStyle w:val="ListParagraph"/>
        <w:numPr>
          <w:ilvl w:val="2"/>
          <w:numId w:val="4"/>
        </w:numPr>
      </w:pPr>
      <w:r>
        <w:t>BH</w:t>
      </w:r>
      <w:r w:rsidR="0044191B" w:rsidRPr="0044191B">
        <w:t xml:space="preserve"> highlighted recent visa restrictions affecting applicants from </w:t>
      </w:r>
      <w:r w:rsidR="0044191B">
        <w:t>4 countries</w:t>
      </w:r>
      <w:r w:rsidR="0044191B" w:rsidRPr="0044191B">
        <w:t>.</w:t>
      </w:r>
      <w:r w:rsidR="00270361">
        <w:t xml:space="preserve"> </w:t>
      </w:r>
      <w:r w:rsidR="00270361" w:rsidRPr="00270361">
        <w:t>Schools and academics should be mindful that CAS cannot be issued to nationals affected by these restriction</w:t>
      </w:r>
      <w:r w:rsidR="00270361">
        <w:t>s.</w:t>
      </w:r>
      <w:r>
        <w:t xml:space="preserve"> </w:t>
      </w:r>
      <w:r w:rsidRPr="0021503F">
        <w:t>Partnership approvals take significant time; colleagues considering collaborations should begin discussions early</w:t>
      </w:r>
      <w:r>
        <w:t>.</w:t>
      </w:r>
    </w:p>
    <w:p w14:paraId="2B7428F0" w14:textId="6D1AA1B2" w:rsidR="0021503F" w:rsidRDefault="0021503F" w:rsidP="0044191B">
      <w:pPr>
        <w:pStyle w:val="ListParagraph"/>
        <w:numPr>
          <w:ilvl w:val="2"/>
          <w:numId w:val="4"/>
        </w:numPr>
      </w:pPr>
      <w:r>
        <w:lastRenderedPageBreak/>
        <w:t>SP</w:t>
      </w:r>
      <w:r w:rsidR="0043233E" w:rsidRPr="0043233E">
        <w:t xml:space="preserve"> emphasised that the </w:t>
      </w:r>
      <w:r w:rsidR="000E4F5C">
        <w:t>committee’s</w:t>
      </w:r>
      <w:r w:rsidR="0043233E" w:rsidRPr="0043233E">
        <w:t xml:space="preserve"> priority is duty of care to stud</w:t>
      </w:r>
      <w:r w:rsidR="000E4F5C">
        <w:t xml:space="preserve">ents including ones recruited </w:t>
      </w:r>
      <w:r w:rsidR="001C4E69">
        <w:t xml:space="preserve">via PGR TNE activity. </w:t>
      </w:r>
    </w:p>
    <w:p w14:paraId="4D720091" w14:textId="381FB19D" w:rsidR="001C4E69" w:rsidRDefault="00636712" w:rsidP="0044191B">
      <w:pPr>
        <w:pStyle w:val="ListParagraph"/>
        <w:numPr>
          <w:ilvl w:val="2"/>
          <w:numId w:val="4"/>
        </w:numPr>
      </w:pPr>
      <w:r>
        <w:t>It was noted that UKVI is expected to crack down on Masters (Research)</w:t>
      </w:r>
      <w:r w:rsidR="00D828CE">
        <w:t xml:space="preserve"> </w:t>
      </w:r>
      <w:r w:rsidR="0039589B">
        <w:t xml:space="preserve">Visa due to some UKHE institutions </w:t>
      </w:r>
      <w:r w:rsidR="00E41935">
        <w:t xml:space="preserve">increasing recruitment for those programmes for profit. </w:t>
      </w:r>
      <w:r w:rsidR="00476BDC">
        <w:t xml:space="preserve">This is why the university is not focusing on increasing its Masters (Research) Provisions. </w:t>
      </w:r>
    </w:p>
    <w:p w14:paraId="076E7350" w14:textId="77777777" w:rsidR="00767AD3" w:rsidRDefault="00E36684" w:rsidP="00767AD3">
      <w:pPr>
        <w:pStyle w:val="ListParagraph"/>
        <w:numPr>
          <w:ilvl w:val="1"/>
          <w:numId w:val="4"/>
        </w:numPr>
      </w:pPr>
      <w:r>
        <w:t xml:space="preserve">BM </w:t>
      </w:r>
      <w:r w:rsidR="00373D10" w:rsidRPr="00373D10">
        <w:t xml:space="preserve">reported being asked by </w:t>
      </w:r>
      <w:r w:rsidR="00373D10">
        <w:t>DHPA</w:t>
      </w:r>
      <w:r w:rsidR="00373D10" w:rsidRPr="00373D10">
        <w:t xml:space="preserve"> Head of School to explore increasing opportunities for short</w:t>
      </w:r>
      <w:r w:rsidR="00373D10" w:rsidRPr="00373D10">
        <w:rPr>
          <w:rFonts w:ascii="Cambria Math" w:hAnsi="Cambria Math" w:cs="Cambria Math"/>
        </w:rPr>
        <w:t>‑</w:t>
      </w:r>
      <w:r w:rsidR="00373D10" w:rsidRPr="00373D10">
        <w:t>term PGR visitors</w:t>
      </w:r>
      <w:r w:rsidR="00373D10">
        <w:t xml:space="preserve">. BM is querying the available pathways for this outside of the University of Aberdeen Visiting </w:t>
      </w:r>
      <w:r w:rsidR="00200D01">
        <w:t xml:space="preserve">Students Programme. GC highlighted the REGISTERED PG STUDY option as a model to replicate. </w:t>
      </w:r>
    </w:p>
    <w:p w14:paraId="3E67550D" w14:textId="77777777" w:rsidR="002930FC" w:rsidRDefault="00B71FB2" w:rsidP="00C11B50">
      <w:pPr>
        <w:pStyle w:val="ListParagraph"/>
        <w:numPr>
          <w:ilvl w:val="0"/>
          <w:numId w:val="4"/>
        </w:numPr>
      </w:pPr>
      <w:r>
        <w:t>Code of Practice for Student Discipline (Academic)</w:t>
      </w:r>
      <w:r w:rsidR="00767AD3">
        <w:t xml:space="preserve"> - </w:t>
      </w:r>
      <w:r w:rsidR="00767AD3" w:rsidRPr="00767AD3">
        <w:t>- The revised Code of Practice for Student Discipline (Academic) was presented for committee comment prior to progressing to approval.</w:t>
      </w:r>
      <w:r w:rsidR="00C11B50">
        <w:t xml:space="preserve"> </w:t>
      </w:r>
      <w:r w:rsidR="00AC1260" w:rsidRPr="00AC1260">
        <w:t>This streamlining will make future updates easier as the sector landscape evolves</w:t>
      </w:r>
      <w:r w:rsidR="00AC1260">
        <w:t xml:space="preserve">. </w:t>
      </w:r>
    </w:p>
    <w:p w14:paraId="4081435C" w14:textId="61C42FB6" w:rsidR="00C11B50" w:rsidRDefault="00C11B50" w:rsidP="002930FC">
      <w:pPr>
        <w:pStyle w:val="ListParagraph"/>
        <w:numPr>
          <w:ilvl w:val="1"/>
          <w:numId w:val="4"/>
        </w:numPr>
      </w:pPr>
      <w:r>
        <w:t>Changes include</w:t>
      </w:r>
    </w:p>
    <w:p w14:paraId="52DBAC05" w14:textId="4AE7FA7C" w:rsidR="00C97A62" w:rsidRDefault="00C11B50" w:rsidP="002930FC">
      <w:pPr>
        <w:pStyle w:val="ListParagraph"/>
        <w:numPr>
          <w:ilvl w:val="2"/>
          <w:numId w:val="4"/>
        </w:numPr>
      </w:pPr>
      <w:r>
        <w:t xml:space="preserve"> </w:t>
      </w:r>
      <w:r w:rsidRPr="00C11B50">
        <w:t>The tone of the document has been updated to ensure supportive</w:t>
      </w:r>
      <w:r>
        <w:t xml:space="preserve"> and </w:t>
      </w:r>
      <w:r w:rsidRPr="00C11B50">
        <w:t>clear language</w:t>
      </w:r>
      <w:r>
        <w:t xml:space="preserve">. </w:t>
      </w:r>
    </w:p>
    <w:p w14:paraId="7C980EA2" w14:textId="59F26F2D" w:rsidR="00F72E3D" w:rsidRDefault="00AC1260" w:rsidP="002930FC">
      <w:pPr>
        <w:pStyle w:val="ListParagraph"/>
        <w:numPr>
          <w:ilvl w:val="2"/>
          <w:numId w:val="4"/>
        </w:numPr>
      </w:pPr>
      <w:proofErr w:type="gramStart"/>
      <w:r w:rsidRPr="00AC1260">
        <w:t>A number of</w:t>
      </w:r>
      <w:proofErr w:type="gramEnd"/>
      <w:r w:rsidRPr="00AC1260">
        <w:t xml:space="preserve"> convoluted sections have been removed, leaving Academic Misconduct as the core focus.</w:t>
      </w:r>
      <w:r>
        <w:t xml:space="preserve"> </w:t>
      </w:r>
    </w:p>
    <w:p w14:paraId="0175CB29" w14:textId="1EF19F95" w:rsidR="001139A9" w:rsidRDefault="001139A9" w:rsidP="002930FC">
      <w:pPr>
        <w:pStyle w:val="ListParagraph"/>
        <w:numPr>
          <w:ilvl w:val="2"/>
          <w:numId w:val="4"/>
        </w:numPr>
      </w:pPr>
      <w:r w:rsidRPr="001139A9">
        <w:t>Procedures have been simplified to allow Schools to investigate all cases of academic misconduct before referring matters to a formal disciplinary hearing</w:t>
      </w:r>
    </w:p>
    <w:p w14:paraId="79AFC617" w14:textId="5721CB8E" w:rsidR="001139A9" w:rsidRDefault="001139A9" w:rsidP="002930FC">
      <w:pPr>
        <w:pStyle w:val="ListParagraph"/>
        <w:numPr>
          <w:ilvl w:val="2"/>
          <w:numId w:val="4"/>
        </w:numPr>
      </w:pPr>
      <w:r>
        <w:t>Specific PGR Additions include</w:t>
      </w:r>
      <w:r w:rsidR="00134184">
        <w:t xml:space="preserve"> </w:t>
      </w:r>
      <w:r w:rsidR="003707EE" w:rsidRPr="003707EE">
        <w:t xml:space="preserve">Paragraphs 2.9 </w:t>
      </w:r>
      <w:r w:rsidR="00A13834">
        <w:t>(</w:t>
      </w:r>
      <w:r w:rsidR="00A13834" w:rsidRPr="00A13834">
        <w:t>referencing the Research Governance Handbook and outlining the procedures to be followed</w:t>
      </w:r>
      <w:r w:rsidR="00A13834">
        <w:t xml:space="preserve">) </w:t>
      </w:r>
      <w:r w:rsidR="003707EE" w:rsidRPr="003707EE">
        <w:t>and 4.1.3</w:t>
      </w:r>
      <w:r w:rsidR="00A13834">
        <w:t xml:space="preserve"> (</w:t>
      </w:r>
      <w:r w:rsidR="003B0E56" w:rsidRPr="003B0E56">
        <w:t>clarifying what happens if misconduct is identified during the viva process</w:t>
      </w:r>
      <w:r w:rsidR="00A13834">
        <w:t>)</w:t>
      </w:r>
      <w:r w:rsidR="00120012">
        <w:t>.</w:t>
      </w:r>
    </w:p>
    <w:p w14:paraId="440ED22E" w14:textId="77777777" w:rsidR="004857EC" w:rsidRDefault="00206009" w:rsidP="004857EC">
      <w:pPr>
        <w:pStyle w:val="ListParagraph"/>
        <w:numPr>
          <w:ilvl w:val="1"/>
          <w:numId w:val="4"/>
        </w:numPr>
      </w:pPr>
      <w:r>
        <w:t>Timeline and Feedback:</w:t>
      </w:r>
      <w:r w:rsidR="00DB04D8">
        <w:t xml:space="preserve"> </w:t>
      </w:r>
      <w:r w:rsidR="0097607F" w:rsidRPr="0097607F">
        <w:t>The paper will return for final approval in Committee Cycle</w:t>
      </w:r>
      <w:r w:rsidR="0097607F">
        <w:t xml:space="preserve"> 5.</w:t>
      </w:r>
      <w:r w:rsidR="00DB04D8">
        <w:t xml:space="preserve"> RT </w:t>
      </w:r>
      <w:r w:rsidR="00DB04D8" w:rsidRPr="00DB04D8">
        <w:t>has added PGR</w:t>
      </w:r>
      <w:r w:rsidR="00DB04D8" w:rsidRPr="00DB04D8">
        <w:rPr>
          <w:rFonts w:ascii="Cambria Math" w:hAnsi="Cambria Math" w:cs="Cambria Math"/>
        </w:rPr>
        <w:t>‑</w:t>
      </w:r>
      <w:r w:rsidR="00DB04D8" w:rsidRPr="00DB04D8">
        <w:t>facing content and emphasised the need for watertight guidance, noting that much PGR activity does not neatly fit standard disciplinary categories</w:t>
      </w:r>
      <w:r w:rsidR="00DB04D8">
        <w:t xml:space="preserve">. </w:t>
      </w:r>
      <w:r w:rsidR="00DB04D8" w:rsidRPr="004B4760">
        <w:rPr>
          <w:highlight w:val="yellow"/>
        </w:rPr>
        <w:t>ACTION</w:t>
      </w:r>
      <w:r w:rsidR="00DB04D8">
        <w:t xml:space="preserve">: </w:t>
      </w:r>
      <w:r w:rsidR="00DB04D8" w:rsidRPr="00DB04D8">
        <w:t>Committee members are asked to provide feedback</w:t>
      </w:r>
      <w:r w:rsidR="00DB04D8">
        <w:t xml:space="preserve"> on </w:t>
      </w:r>
      <w:r w:rsidR="004B4760">
        <w:t>PGR section of CoP to PGRC before 20</w:t>
      </w:r>
      <w:r w:rsidR="004B4760" w:rsidRPr="004B4760">
        <w:rPr>
          <w:vertAlign w:val="superscript"/>
        </w:rPr>
        <w:t>th</w:t>
      </w:r>
      <w:r w:rsidR="004B4760">
        <w:t xml:space="preserve"> March 2026.</w:t>
      </w:r>
    </w:p>
    <w:p w14:paraId="1321F2F3" w14:textId="77777777" w:rsidR="00325B30" w:rsidRDefault="00B71FB2" w:rsidP="00325B30">
      <w:pPr>
        <w:pStyle w:val="ListParagraph"/>
        <w:numPr>
          <w:ilvl w:val="0"/>
          <w:numId w:val="4"/>
        </w:numPr>
        <w:ind w:left="0"/>
      </w:pPr>
      <w:r w:rsidRPr="00325B30">
        <w:rPr>
          <w:b/>
          <w:bCs/>
        </w:rPr>
        <w:t>Postgraduate Research Visa Monitoring</w:t>
      </w:r>
      <w:r>
        <w:t xml:space="preserve"> (MM</w:t>
      </w:r>
      <w:r w:rsidR="0079085A">
        <w:t>) – MM outlines the new automated Visa Moni</w:t>
      </w:r>
      <w:r w:rsidR="00AB79C4">
        <w:t xml:space="preserve">toring </w:t>
      </w:r>
      <w:r w:rsidR="0056527A">
        <w:t xml:space="preserve">system created originally by LLMVC and adopted by DHPA. </w:t>
      </w:r>
      <w:r w:rsidR="00F27392">
        <w:t xml:space="preserve">The work was based on proposal to strengthen </w:t>
      </w:r>
      <w:r w:rsidR="00EF39A2">
        <w:t xml:space="preserve">PGR visa monitoring processes post a UKVI compliance audit. </w:t>
      </w:r>
      <w:r w:rsidR="005C70D5">
        <w:t xml:space="preserve">MM confirmed SAMs and </w:t>
      </w:r>
      <w:r w:rsidR="007C6236">
        <w:t xml:space="preserve">other University Committee have raised no concerns. The SAMs recommend the system be adopted by all Schools. </w:t>
      </w:r>
      <w:r w:rsidR="00363591">
        <w:t xml:space="preserve">The committee supports this and the PGOs approve of the proposal. </w:t>
      </w:r>
    </w:p>
    <w:p w14:paraId="4180914D" w14:textId="77777777" w:rsidR="009006F3" w:rsidRDefault="00C97A62" w:rsidP="00325B30">
      <w:pPr>
        <w:pStyle w:val="ListParagraph"/>
        <w:numPr>
          <w:ilvl w:val="0"/>
          <w:numId w:val="4"/>
        </w:numPr>
        <w:ind w:left="0"/>
      </w:pPr>
      <w:r>
        <w:t xml:space="preserve">Doctoral Reps Group Update </w:t>
      </w:r>
      <w:r w:rsidR="00325B30">
        <w:t>(EMC)</w:t>
      </w:r>
      <w:r>
        <w:t xml:space="preserve"> </w:t>
      </w:r>
      <w:r w:rsidR="00325B30">
        <w:t>–</w:t>
      </w:r>
    </w:p>
    <w:p w14:paraId="60660487" w14:textId="7B1B753C" w:rsidR="00C97A62" w:rsidRDefault="00325B30" w:rsidP="009006F3">
      <w:pPr>
        <w:pStyle w:val="ListParagraph"/>
        <w:numPr>
          <w:ilvl w:val="1"/>
          <w:numId w:val="4"/>
        </w:numPr>
      </w:pPr>
      <w:r>
        <w:t xml:space="preserve"> Reps highlight overall difficulty with engagement </w:t>
      </w:r>
      <w:r w:rsidR="009D7AD1">
        <w:t xml:space="preserve">between them and their constituents across schools. </w:t>
      </w:r>
      <w:r w:rsidR="00EE6BE6">
        <w:t xml:space="preserve">The Reps are participating in a Community of Practice to address this issue. </w:t>
      </w:r>
    </w:p>
    <w:p w14:paraId="24AD8B62" w14:textId="77777777" w:rsidR="00BD5F58" w:rsidRDefault="009006F3" w:rsidP="00BD5F58">
      <w:pPr>
        <w:pStyle w:val="ListParagraph"/>
        <w:numPr>
          <w:ilvl w:val="1"/>
          <w:numId w:val="4"/>
        </w:numPr>
      </w:pPr>
      <w:r>
        <w:t>Other issues highlighted are lack of space available for some students</w:t>
      </w:r>
      <w:r w:rsidR="00FF1679">
        <w:t xml:space="preserve"> </w:t>
      </w:r>
      <w:proofErr w:type="spellStart"/>
      <w:r w:rsidR="00FF1679">
        <w:t>eg</w:t>
      </w:r>
      <w:proofErr w:type="spellEnd"/>
      <w:r w:rsidR="00FF1679">
        <w:t xml:space="preserve"> LLMVC and the need to properly manage hot-desking when available. JH </w:t>
      </w:r>
      <w:r w:rsidR="00DB1029">
        <w:t>is in conversation with LLMVC school to continue address the issue</w:t>
      </w:r>
      <w:r w:rsidR="00BD5F58">
        <w:t xml:space="preserve">. </w:t>
      </w:r>
    </w:p>
    <w:p w14:paraId="67B4B346" w14:textId="77777777" w:rsidR="00BD5F58" w:rsidRDefault="00C97A62" w:rsidP="00BD5F58">
      <w:pPr>
        <w:pStyle w:val="ListParagraph"/>
        <w:numPr>
          <w:ilvl w:val="0"/>
          <w:numId w:val="4"/>
        </w:numPr>
      </w:pPr>
      <w:r>
        <w:t xml:space="preserve">School/Directorate Updates </w:t>
      </w:r>
    </w:p>
    <w:p w14:paraId="2E086782" w14:textId="31FD7BAB" w:rsidR="00546129" w:rsidRDefault="00BD5F58" w:rsidP="00C97A62">
      <w:pPr>
        <w:pStyle w:val="ListParagraph"/>
        <w:numPr>
          <w:ilvl w:val="1"/>
          <w:numId w:val="4"/>
        </w:numPr>
        <w:ind w:left="0"/>
      </w:pPr>
      <w:r>
        <w:t>BM</w:t>
      </w:r>
      <w:r w:rsidR="00A4561D">
        <w:t xml:space="preserve"> </w:t>
      </w:r>
      <w:r>
        <w:t xml:space="preserve">highlights </w:t>
      </w:r>
      <w:r w:rsidR="00546129">
        <w:t>some</w:t>
      </w:r>
      <w:r w:rsidR="00A4561D">
        <w:t xml:space="preserve"> registry forms refer to </w:t>
      </w:r>
      <w:r w:rsidR="00546129">
        <w:t>PGR</w:t>
      </w:r>
      <w:r w:rsidR="00A4561D">
        <w:t xml:space="preserve"> school rather than college</w:t>
      </w:r>
      <w:r w:rsidR="00546129">
        <w:t xml:space="preserve">. </w:t>
      </w:r>
      <w:r w:rsidR="00546129" w:rsidRPr="00546129">
        <w:rPr>
          <w:b/>
          <w:bCs/>
        </w:rPr>
        <w:t>ACTION</w:t>
      </w:r>
      <w:r w:rsidR="00546129">
        <w:t>: PGRC/REGISRTY</w:t>
      </w:r>
    </w:p>
    <w:p w14:paraId="189C5BF6" w14:textId="71B65D6C" w:rsidR="00313016" w:rsidRDefault="00546129" w:rsidP="00313016">
      <w:pPr>
        <w:pStyle w:val="ListParagraph"/>
        <w:numPr>
          <w:ilvl w:val="1"/>
          <w:numId w:val="4"/>
        </w:numPr>
        <w:ind w:left="0"/>
      </w:pPr>
      <w:r>
        <w:t xml:space="preserve">BM asks if the committee </w:t>
      </w:r>
      <w:r w:rsidR="002E549E">
        <w:t>has sway with DT</w:t>
      </w:r>
      <w:r w:rsidR="00375726">
        <w:t xml:space="preserve"> and if there is a </w:t>
      </w:r>
      <w:r>
        <w:t>PGR perspective</w:t>
      </w:r>
      <w:r w:rsidR="00375726">
        <w:t xml:space="preserve"> push to bring </w:t>
      </w:r>
      <w:r>
        <w:t>DT funding opportunities back as students have been affected by breakdown of relationship</w:t>
      </w:r>
      <w:r w:rsidR="00F06EC9">
        <w:t xml:space="preserve">. </w:t>
      </w:r>
      <w:r w:rsidR="00076760">
        <w:t xml:space="preserve">SP confirms he can advocate </w:t>
      </w:r>
      <w:r w:rsidR="00313016">
        <w:t>for this but cannot provide guarantees. There ha</w:t>
      </w:r>
      <w:r w:rsidR="00CB285F">
        <w:t>ve</w:t>
      </w:r>
      <w:r w:rsidR="00313016">
        <w:t xml:space="preserve"> been discussions about a </w:t>
      </w:r>
      <w:r w:rsidR="00F06EC9">
        <w:t xml:space="preserve">PGRC fund to support activity to across </w:t>
      </w:r>
      <w:proofErr w:type="gramStart"/>
      <w:r w:rsidR="00F06EC9">
        <w:t>school</w:t>
      </w:r>
      <w:proofErr w:type="gramEnd"/>
      <w:r w:rsidR="00313016">
        <w:t xml:space="preserve"> but this has not materialised yet</w:t>
      </w:r>
      <w:r w:rsidR="00F06EC9">
        <w:t xml:space="preserve">. </w:t>
      </w:r>
    </w:p>
    <w:p w14:paraId="38C53DEA" w14:textId="7267F12E" w:rsidR="00D927DE" w:rsidRDefault="00C97A62" w:rsidP="00313016">
      <w:pPr>
        <w:pStyle w:val="ListParagraph"/>
        <w:numPr>
          <w:ilvl w:val="0"/>
          <w:numId w:val="4"/>
        </w:numPr>
      </w:pPr>
      <w:r>
        <w:t>AOB ~5min</w:t>
      </w:r>
    </w:p>
    <w:sectPr w:rsidR="00D927DE" w:rsidSect="007D40A0">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D6660"/>
    <w:multiLevelType w:val="hybridMultilevel"/>
    <w:tmpl w:val="365CC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2012E7"/>
    <w:multiLevelType w:val="hybridMultilevel"/>
    <w:tmpl w:val="CE067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10376"/>
    <w:multiLevelType w:val="hybridMultilevel"/>
    <w:tmpl w:val="D4845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C25D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744F84"/>
    <w:multiLevelType w:val="hybridMultilevel"/>
    <w:tmpl w:val="A738BAD4"/>
    <w:lvl w:ilvl="0" w:tplc="C0CE36F4">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77469F"/>
    <w:multiLevelType w:val="hybridMultilevel"/>
    <w:tmpl w:val="1286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AB2C37"/>
    <w:multiLevelType w:val="hybridMultilevel"/>
    <w:tmpl w:val="AF26C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172BBD"/>
    <w:multiLevelType w:val="hybridMultilevel"/>
    <w:tmpl w:val="689CA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7528314">
    <w:abstractNumId w:val="5"/>
  </w:num>
  <w:num w:numId="2" w16cid:durableId="901717426">
    <w:abstractNumId w:val="6"/>
  </w:num>
  <w:num w:numId="3" w16cid:durableId="847524664">
    <w:abstractNumId w:val="0"/>
  </w:num>
  <w:num w:numId="4" w16cid:durableId="124393220">
    <w:abstractNumId w:val="3"/>
  </w:num>
  <w:num w:numId="5" w16cid:durableId="317921122">
    <w:abstractNumId w:val="2"/>
  </w:num>
  <w:num w:numId="6" w16cid:durableId="2002662083">
    <w:abstractNumId w:val="1"/>
  </w:num>
  <w:num w:numId="7" w16cid:durableId="1292637304">
    <w:abstractNumId w:val="7"/>
  </w:num>
  <w:num w:numId="8" w16cid:durableId="873536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Sheets w:val="1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CD9"/>
    <w:rsid w:val="0000433B"/>
    <w:rsid w:val="00020A05"/>
    <w:rsid w:val="00037AAD"/>
    <w:rsid w:val="00040E26"/>
    <w:rsid w:val="000477F9"/>
    <w:rsid w:val="0005758D"/>
    <w:rsid w:val="00061F22"/>
    <w:rsid w:val="000661D8"/>
    <w:rsid w:val="0006772E"/>
    <w:rsid w:val="0006786E"/>
    <w:rsid w:val="0007159E"/>
    <w:rsid w:val="00076760"/>
    <w:rsid w:val="000775FF"/>
    <w:rsid w:val="000B467C"/>
    <w:rsid w:val="000C6441"/>
    <w:rsid w:val="000C6B08"/>
    <w:rsid w:val="000E32C7"/>
    <w:rsid w:val="000E4F5C"/>
    <w:rsid w:val="000F21DC"/>
    <w:rsid w:val="001139A9"/>
    <w:rsid w:val="00120012"/>
    <w:rsid w:val="001224D9"/>
    <w:rsid w:val="00123377"/>
    <w:rsid w:val="00123A89"/>
    <w:rsid w:val="00134184"/>
    <w:rsid w:val="00141F33"/>
    <w:rsid w:val="001456AA"/>
    <w:rsid w:val="00156FEF"/>
    <w:rsid w:val="00157B19"/>
    <w:rsid w:val="00176FB5"/>
    <w:rsid w:val="001824E2"/>
    <w:rsid w:val="00193DDF"/>
    <w:rsid w:val="00195800"/>
    <w:rsid w:val="001B24CB"/>
    <w:rsid w:val="001C4E69"/>
    <w:rsid w:val="001C6326"/>
    <w:rsid w:val="001E45AA"/>
    <w:rsid w:val="001F0AD9"/>
    <w:rsid w:val="001F5A04"/>
    <w:rsid w:val="00200D01"/>
    <w:rsid w:val="002054D4"/>
    <w:rsid w:val="00206009"/>
    <w:rsid w:val="00210AB9"/>
    <w:rsid w:val="00213ED5"/>
    <w:rsid w:val="0021503F"/>
    <w:rsid w:val="00216BA7"/>
    <w:rsid w:val="0023645B"/>
    <w:rsid w:val="0024186D"/>
    <w:rsid w:val="002427B2"/>
    <w:rsid w:val="002531EB"/>
    <w:rsid w:val="00256223"/>
    <w:rsid w:val="00270361"/>
    <w:rsid w:val="002930FC"/>
    <w:rsid w:val="002B145B"/>
    <w:rsid w:val="002B66A5"/>
    <w:rsid w:val="002D4021"/>
    <w:rsid w:val="002E549E"/>
    <w:rsid w:val="002F1155"/>
    <w:rsid w:val="002F4E1F"/>
    <w:rsid w:val="00306B64"/>
    <w:rsid w:val="00313016"/>
    <w:rsid w:val="0031797F"/>
    <w:rsid w:val="00325B30"/>
    <w:rsid w:val="00337CAC"/>
    <w:rsid w:val="00345B7C"/>
    <w:rsid w:val="00347E5A"/>
    <w:rsid w:val="003525B9"/>
    <w:rsid w:val="00363591"/>
    <w:rsid w:val="003653C0"/>
    <w:rsid w:val="003707EE"/>
    <w:rsid w:val="00373D10"/>
    <w:rsid w:val="00375726"/>
    <w:rsid w:val="00381DFA"/>
    <w:rsid w:val="003865C3"/>
    <w:rsid w:val="00391FD2"/>
    <w:rsid w:val="0039589B"/>
    <w:rsid w:val="003A45B5"/>
    <w:rsid w:val="003A53DD"/>
    <w:rsid w:val="003B0E56"/>
    <w:rsid w:val="003B1419"/>
    <w:rsid w:val="003B2F57"/>
    <w:rsid w:val="003D7F99"/>
    <w:rsid w:val="003E0E09"/>
    <w:rsid w:val="003E1737"/>
    <w:rsid w:val="003E1EF2"/>
    <w:rsid w:val="003E57F4"/>
    <w:rsid w:val="003F3B77"/>
    <w:rsid w:val="00404B1E"/>
    <w:rsid w:val="00423451"/>
    <w:rsid w:val="00424C2D"/>
    <w:rsid w:val="0043232B"/>
    <w:rsid w:val="0043233E"/>
    <w:rsid w:val="00433A8F"/>
    <w:rsid w:val="0043687E"/>
    <w:rsid w:val="0044191B"/>
    <w:rsid w:val="00446C9C"/>
    <w:rsid w:val="00447DD9"/>
    <w:rsid w:val="00450350"/>
    <w:rsid w:val="00453868"/>
    <w:rsid w:val="004538A5"/>
    <w:rsid w:val="00465DEA"/>
    <w:rsid w:val="00476BDC"/>
    <w:rsid w:val="00483188"/>
    <w:rsid w:val="004854D7"/>
    <w:rsid w:val="004857EC"/>
    <w:rsid w:val="004960D7"/>
    <w:rsid w:val="0049782A"/>
    <w:rsid w:val="004A28F3"/>
    <w:rsid w:val="004B4760"/>
    <w:rsid w:val="004D11F6"/>
    <w:rsid w:val="004D254B"/>
    <w:rsid w:val="004E3416"/>
    <w:rsid w:val="004E384C"/>
    <w:rsid w:val="004E698E"/>
    <w:rsid w:val="004F5E40"/>
    <w:rsid w:val="00502838"/>
    <w:rsid w:val="00506F52"/>
    <w:rsid w:val="005125C5"/>
    <w:rsid w:val="00525752"/>
    <w:rsid w:val="0053255F"/>
    <w:rsid w:val="00546129"/>
    <w:rsid w:val="005542C5"/>
    <w:rsid w:val="0056527A"/>
    <w:rsid w:val="005779AD"/>
    <w:rsid w:val="00577CB1"/>
    <w:rsid w:val="005825D3"/>
    <w:rsid w:val="00591AB9"/>
    <w:rsid w:val="005956C6"/>
    <w:rsid w:val="00595E22"/>
    <w:rsid w:val="005966FE"/>
    <w:rsid w:val="005A04AE"/>
    <w:rsid w:val="005A0AA0"/>
    <w:rsid w:val="005C053E"/>
    <w:rsid w:val="005C0F56"/>
    <w:rsid w:val="005C10D7"/>
    <w:rsid w:val="005C70D5"/>
    <w:rsid w:val="005D7D28"/>
    <w:rsid w:val="00607070"/>
    <w:rsid w:val="006115AB"/>
    <w:rsid w:val="00614FC9"/>
    <w:rsid w:val="00624202"/>
    <w:rsid w:val="00625439"/>
    <w:rsid w:val="00627B17"/>
    <w:rsid w:val="00636712"/>
    <w:rsid w:val="006638F3"/>
    <w:rsid w:val="00683A8F"/>
    <w:rsid w:val="006875C7"/>
    <w:rsid w:val="006B2E84"/>
    <w:rsid w:val="006B6DDC"/>
    <w:rsid w:val="006D6DD5"/>
    <w:rsid w:val="006E5609"/>
    <w:rsid w:val="006F41EE"/>
    <w:rsid w:val="006F5C53"/>
    <w:rsid w:val="00722409"/>
    <w:rsid w:val="00724B8B"/>
    <w:rsid w:val="0072658C"/>
    <w:rsid w:val="00726F2F"/>
    <w:rsid w:val="00766596"/>
    <w:rsid w:val="00767AD3"/>
    <w:rsid w:val="007763CB"/>
    <w:rsid w:val="00776E6D"/>
    <w:rsid w:val="0079085A"/>
    <w:rsid w:val="007914FC"/>
    <w:rsid w:val="00794B17"/>
    <w:rsid w:val="0079673F"/>
    <w:rsid w:val="007976E5"/>
    <w:rsid w:val="007A0C56"/>
    <w:rsid w:val="007B2121"/>
    <w:rsid w:val="007B253E"/>
    <w:rsid w:val="007B5604"/>
    <w:rsid w:val="007C1467"/>
    <w:rsid w:val="007C4CF1"/>
    <w:rsid w:val="007C6236"/>
    <w:rsid w:val="007D40A0"/>
    <w:rsid w:val="007F6F36"/>
    <w:rsid w:val="00802BFB"/>
    <w:rsid w:val="00812D8C"/>
    <w:rsid w:val="00832BBB"/>
    <w:rsid w:val="008365D8"/>
    <w:rsid w:val="0085394D"/>
    <w:rsid w:val="00855B11"/>
    <w:rsid w:val="008605A2"/>
    <w:rsid w:val="00874840"/>
    <w:rsid w:val="0087666D"/>
    <w:rsid w:val="008834D0"/>
    <w:rsid w:val="0089342D"/>
    <w:rsid w:val="00894E32"/>
    <w:rsid w:val="0089776D"/>
    <w:rsid w:val="00897CD9"/>
    <w:rsid w:val="00897E19"/>
    <w:rsid w:val="008B03D3"/>
    <w:rsid w:val="008B4C57"/>
    <w:rsid w:val="008B7B3E"/>
    <w:rsid w:val="008C68F3"/>
    <w:rsid w:val="008C6DCD"/>
    <w:rsid w:val="008E4E1B"/>
    <w:rsid w:val="008E5BFA"/>
    <w:rsid w:val="009006F3"/>
    <w:rsid w:val="00906008"/>
    <w:rsid w:val="009075CC"/>
    <w:rsid w:val="00907C72"/>
    <w:rsid w:val="00911B77"/>
    <w:rsid w:val="00930846"/>
    <w:rsid w:val="0096659A"/>
    <w:rsid w:val="0097607F"/>
    <w:rsid w:val="009841A0"/>
    <w:rsid w:val="00987EDC"/>
    <w:rsid w:val="0099263B"/>
    <w:rsid w:val="00994B02"/>
    <w:rsid w:val="009A362E"/>
    <w:rsid w:val="009B05C9"/>
    <w:rsid w:val="009C2BC1"/>
    <w:rsid w:val="009C5A6F"/>
    <w:rsid w:val="009C7CFA"/>
    <w:rsid w:val="009D7AD1"/>
    <w:rsid w:val="009E6365"/>
    <w:rsid w:val="009F10DB"/>
    <w:rsid w:val="009F5579"/>
    <w:rsid w:val="009F7DE6"/>
    <w:rsid w:val="00A05FD1"/>
    <w:rsid w:val="00A079CE"/>
    <w:rsid w:val="00A07F2A"/>
    <w:rsid w:val="00A10467"/>
    <w:rsid w:val="00A13834"/>
    <w:rsid w:val="00A23329"/>
    <w:rsid w:val="00A3688A"/>
    <w:rsid w:val="00A40B14"/>
    <w:rsid w:val="00A43B75"/>
    <w:rsid w:val="00A4561D"/>
    <w:rsid w:val="00A7189A"/>
    <w:rsid w:val="00A75A08"/>
    <w:rsid w:val="00A84103"/>
    <w:rsid w:val="00A8537D"/>
    <w:rsid w:val="00A923D9"/>
    <w:rsid w:val="00A93A31"/>
    <w:rsid w:val="00AA0918"/>
    <w:rsid w:val="00AA6DE7"/>
    <w:rsid w:val="00AB2843"/>
    <w:rsid w:val="00AB64D7"/>
    <w:rsid w:val="00AB79C4"/>
    <w:rsid w:val="00AC1260"/>
    <w:rsid w:val="00AC56C8"/>
    <w:rsid w:val="00AD2860"/>
    <w:rsid w:val="00B04E1B"/>
    <w:rsid w:val="00B10885"/>
    <w:rsid w:val="00B13A29"/>
    <w:rsid w:val="00B25542"/>
    <w:rsid w:val="00B269DF"/>
    <w:rsid w:val="00B335C8"/>
    <w:rsid w:val="00B34412"/>
    <w:rsid w:val="00B34D1B"/>
    <w:rsid w:val="00B46305"/>
    <w:rsid w:val="00B53D38"/>
    <w:rsid w:val="00B576E5"/>
    <w:rsid w:val="00B60D12"/>
    <w:rsid w:val="00B633BD"/>
    <w:rsid w:val="00B652FF"/>
    <w:rsid w:val="00B66CDB"/>
    <w:rsid w:val="00B71FB2"/>
    <w:rsid w:val="00B72234"/>
    <w:rsid w:val="00B81A74"/>
    <w:rsid w:val="00BD5F58"/>
    <w:rsid w:val="00BF26D1"/>
    <w:rsid w:val="00BF7C58"/>
    <w:rsid w:val="00C01AB5"/>
    <w:rsid w:val="00C11B50"/>
    <w:rsid w:val="00C24C4C"/>
    <w:rsid w:val="00C35524"/>
    <w:rsid w:val="00C35D65"/>
    <w:rsid w:val="00C403BB"/>
    <w:rsid w:val="00C47A09"/>
    <w:rsid w:val="00C63644"/>
    <w:rsid w:val="00C71876"/>
    <w:rsid w:val="00C72C7D"/>
    <w:rsid w:val="00C76C4F"/>
    <w:rsid w:val="00C7715A"/>
    <w:rsid w:val="00C82A83"/>
    <w:rsid w:val="00C87106"/>
    <w:rsid w:val="00C91BD9"/>
    <w:rsid w:val="00C97A62"/>
    <w:rsid w:val="00CA1624"/>
    <w:rsid w:val="00CB285F"/>
    <w:rsid w:val="00CB2D5C"/>
    <w:rsid w:val="00CB3291"/>
    <w:rsid w:val="00CB7152"/>
    <w:rsid w:val="00CD1B01"/>
    <w:rsid w:val="00CD22DA"/>
    <w:rsid w:val="00CD26DE"/>
    <w:rsid w:val="00CD5155"/>
    <w:rsid w:val="00CF6F50"/>
    <w:rsid w:val="00D04FEA"/>
    <w:rsid w:val="00D13DE5"/>
    <w:rsid w:val="00D14122"/>
    <w:rsid w:val="00D212C5"/>
    <w:rsid w:val="00D2450B"/>
    <w:rsid w:val="00D2721A"/>
    <w:rsid w:val="00D27881"/>
    <w:rsid w:val="00D31872"/>
    <w:rsid w:val="00D31FFD"/>
    <w:rsid w:val="00D32183"/>
    <w:rsid w:val="00D34F02"/>
    <w:rsid w:val="00D37ACA"/>
    <w:rsid w:val="00D56D1E"/>
    <w:rsid w:val="00D612E6"/>
    <w:rsid w:val="00D63259"/>
    <w:rsid w:val="00D64696"/>
    <w:rsid w:val="00D66EAE"/>
    <w:rsid w:val="00D81DDC"/>
    <w:rsid w:val="00D828CE"/>
    <w:rsid w:val="00D83EF6"/>
    <w:rsid w:val="00D844A0"/>
    <w:rsid w:val="00D85857"/>
    <w:rsid w:val="00D86842"/>
    <w:rsid w:val="00D927DE"/>
    <w:rsid w:val="00D94162"/>
    <w:rsid w:val="00DA0E6C"/>
    <w:rsid w:val="00DA6A61"/>
    <w:rsid w:val="00DB04D8"/>
    <w:rsid w:val="00DB1029"/>
    <w:rsid w:val="00DB12BA"/>
    <w:rsid w:val="00DB2319"/>
    <w:rsid w:val="00DB3A51"/>
    <w:rsid w:val="00DB7863"/>
    <w:rsid w:val="00DC1F0F"/>
    <w:rsid w:val="00DC246D"/>
    <w:rsid w:val="00DD299B"/>
    <w:rsid w:val="00DF4AE5"/>
    <w:rsid w:val="00E13EB7"/>
    <w:rsid w:val="00E30D8E"/>
    <w:rsid w:val="00E33A45"/>
    <w:rsid w:val="00E36684"/>
    <w:rsid w:val="00E37F41"/>
    <w:rsid w:val="00E40441"/>
    <w:rsid w:val="00E41935"/>
    <w:rsid w:val="00E42557"/>
    <w:rsid w:val="00E62FAA"/>
    <w:rsid w:val="00E6685B"/>
    <w:rsid w:val="00E80FD6"/>
    <w:rsid w:val="00EA70AA"/>
    <w:rsid w:val="00EA7C35"/>
    <w:rsid w:val="00EB11C4"/>
    <w:rsid w:val="00EB1BF6"/>
    <w:rsid w:val="00EB7E41"/>
    <w:rsid w:val="00EC0B0B"/>
    <w:rsid w:val="00EC1051"/>
    <w:rsid w:val="00ED0E4E"/>
    <w:rsid w:val="00EE022A"/>
    <w:rsid w:val="00EE031D"/>
    <w:rsid w:val="00EE0A5D"/>
    <w:rsid w:val="00EE6BE6"/>
    <w:rsid w:val="00EF19DB"/>
    <w:rsid w:val="00EF39A2"/>
    <w:rsid w:val="00F06EC9"/>
    <w:rsid w:val="00F071F7"/>
    <w:rsid w:val="00F10C66"/>
    <w:rsid w:val="00F23BC0"/>
    <w:rsid w:val="00F23C2E"/>
    <w:rsid w:val="00F27392"/>
    <w:rsid w:val="00F3026D"/>
    <w:rsid w:val="00F31FBE"/>
    <w:rsid w:val="00F3342C"/>
    <w:rsid w:val="00F36308"/>
    <w:rsid w:val="00F4499D"/>
    <w:rsid w:val="00F4625E"/>
    <w:rsid w:val="00F5376B"/>
    <w:rsid w:val="00F538FC"/>
    <w:rsid w:val="00F54DBE"/>
    <w:rsid w:val="00F5764C"/>
    <w:rsid w:val="00F601D7"/>
    <w:rsid w:val="00F61488"/>
    <w:rsid w:val="00F64978"/>
    <w:rsid w:val="00F72E3D"/>
    <w:rsid w:val="00F82271"/>
    <w:rsid w:val="00F93091"/>
    <w:rsid w:val="00F97D0C"/>
    <w:rsid w:val="00FA2F61"/>
    <w:rsid w:val="00FB0B3A"/>
    <w:rsid w:val="00FC295E"/>
    <w:rsid w:val="00FD216F"/>
    <w:rsid w:val="00FD299E"/>
    <w:rsid w:val="00FD2BB1"/>
    <w:rsid w:val="00FD3FCD"/>
    <w:rsid w:val="00FE61A1"/>
    <w:rsid w:val="00FF10EE"/>
    <w:rsid w:val="00FF1679"/>
    <w:rsid w:val="00FF4A75"/>
    <w:rsid w:val="00FF6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24605"/>
  <w15:chartTrackingRefBased/>
  <w15:docId w15:val="{E88E101E-1A12-4A5D-A856-DB7373B7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567"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0A0"/>
  </w:style>
  <w:style w:type="paragraph" w:styleId="Heading1">
    <w:name w:val="heading 1"/>
    <w:basedOn w:val="Normal"/>
    <w:next w:val="Normal"/>
    <w:link w:val="Heading1Char"/>
    <w:uiPriority w:val="9"/>
    <w:qFormat/>
    <w:rsid w:val="00897C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C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C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C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C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C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C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C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C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1"/>
    <w:basedOn w:val="Normal"/>
    <w:uiPriority w:val="1"/>
    <w:qFormat/>
    <w:rsid w:val="00907C72"/>
    <w:pPr>
      <w:spacing w:before="120" w:after="120" w:line="720" w:lineRule="auto"/>
    </w:pPr>
  </w:style>
  <w:style w:type="character" w:customStyle="1" w:styleId="Heading1Char">
    <w:name w:val="Heading 1 Char"/>
    <w:basedOn w:val="DefaultParagraphFont"/>
    <w:link w:val="Heading1"/>
    <w:uiPriority w:val="9"/>
    <w:rsid w:val="00897C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C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C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C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C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CD9"/>
    <w:rPr>
      <w:rFonts w:eastAsiaTheme="majorEastAsia" w:cstheme="majorBidi"/>
      <w:color w:val="272727" w:themeColor="text1" w:themeTint="D8"/>
    </w:rPr>
  </w:style>
  <w:style w:type="paragraph" w:styleId="Title">
    <w:name w:val="Title"/>
    <w:basedOn w:val="Normal"/>
    <w:next w:val="Normal"/>
    <w:link w:val="TitleChar"/>
    <w:uiPriority w:val="10"/>
    <w:qFormat/>
    <w:rsid w:val="00897C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CD9"/>
    <w:pPr>
      <w:numPr>
        <w:ilvl w:val="1"/>
      </w:numPr>
      <w:spacing w:after="160"/>
      <w:ind w:left="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C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7CD9"/>
    <w:rPr>
      <w:i/>
      <w:iCs/>
      <w:color w:val="404040" w:themeColor="text1" w:themeTint="BF"/>
    </w:rPr>
  </w:style>
  <w:style w:type="paragraph" w:styleId="ListParagraph">
    <w:name w:val="List Paragraph"/>
    <w:basedOn w:val="Normal"/>
    <w:uiPriority w:val="34"/>
    <w:qFormat/>
    <w:rsid w:val="00897CD9"/>
    <w:pPr>
      <w:ind w:left="720"/>
      <w:contextualSpacing/>
    </w:pPr>
  </w:style>
  <w:style w:type="character" w:styleId="IntenseEmphasis">
    <w:name w:val="Intense Emphasis"/>
    <w:basedOn w:val="DefaultParagraphFont"/>
    <w:uiPriority w:val="21"/>
    <w:qFormat/>
    <w:rsid w:val="00897CD9"/>
    <w:rPr>
      <w:i/>
      <w:iCs/>
      <w:color w:val="0F4761" w:themeColor="accent1" w:themeShade="BF"/>
    </w:rPr>
  </w:style>
  <w:style w:type="paragraph" w:styleId="IntenseQuote">
    <w:name w:val="Intense Quote"/>
    <w:basedOn w:val="Normal"/>
    <w:next w:val="Normal"/>
    <w:link w:val="IntenseQuoteChar"/>
    <w:uiPriority w:val="30"/>
    <w:qFormat/>
    <w:rsid w:val="00897C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CD9"/>
    <w:rPr>
      <w:i/>
      <w:iCs/>
      <w:color w:val="0F4761" w:themeColor="accent1" w:themeShade="BF"/>
    </w:rPr>
  </w:style>
  <w:style w:type="character" w:styleId="IntenseReference">
    <w:name w:val="Intense Reference"/>
    <w:basedOn w:val="DefaultParagraphFont"/>
    <w:uiPriority w:val="32"/>
    <w:qFormat/>
    <w:rsid w:val="00897CD9"/>
    <w:rPr>
      <w:b/>
      <w:bCs/>
      <w:smallCaps/>
      <w:color w:val="0F4761" w:themeColor="accent1" w:themeShade="BF"/>
      <w:spacing w:val="5"/>
    </w:rPr>
  </w:style>
  <w:style w:type="paragraph" w:styleId="Revision">
    <w:name w:val="Revision"/>
    <w:hidden/>
    <w:uiPriority w:val="99"/>
    <w:semiHidden/>
    <w:rsid w:val="0006772E"/>
    <w:pPr>
      <w:ind w:left="0" w:right="0"/>
    </w:pPr>
  </w:style>
  <w:style w:type="table" w:styleId="TableGrid">
    <w:name w:val="Table Grid"/>
    <w:basedOn w:val="TableNormal"/>
    <w:uiPriority w:val="39"/>
    <w:rsid w:val="005779AD"/>
    <w:pPr>
      <w:ind w:left="0" w:right="0"/>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8E675-A60F-4C64-A1C1-F8E0BE967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2743</Words>
  <Characters>15637</Characters>
  <Application>Microsoft Office Word</Application>
  <DocSecurity>0</DocSecurity>
  <Lines>130</Lines>
  <Paragraphs>36</Paragraphs>
  <ScaleCrop>false</ScaleCrop>
  <Company>University of Aberdeen</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Chichkov, Georgi</dc:creator>
  <cp:keywords/>
  <dc:description/>
  <cp:lastModifiedBy>Chichkov, Georgi</cp:lastModifiedBy>
  <cp:revision>14</cp:revision>
  <dcterms:created xsi:type="dcterms:W3CDTF">2026-04-30T12:07:00Z</dcterms:created>
  <dcterms:modified xsi:type="dcterms:W3CDTF">2026-05-14T14:39:00Z</dcterms:modified>
</cp:coreProperties>
</file>