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E2B0" w14:textId="77777777" w:rsidR="0053186A" w:rsidRPr="007A3FC4" w:rsidRDefault="0053186A" w:rsidP="00AC721A">
      <w:pPr>
        <w:ind w:left="0"/>
        <w:rPr>
          <w:b/>
          <w:bCs/>
          <w:sz w:val="28"/>
          <w:szCs w:val="28"/>
        </w:rPr>
      </w:pPr>
      <w:r w:rsidRPr="007A3FC4">
        <w:rPr>
          <w:b/>
          <w:bCs/>
          <w:sz w:val="28"/>
          <w:szCs w:val="28"/>
        </w:rPr>
        <w:t>PGR Committee Meeting Minutes | 03 December 2025 | 10:05 – 11:55</w:t>
      </w:r>
    </w:p>
    <w:p w14:paraId="23556FF0" w14:textId="77777777" w:rsidR="00570291" w:rsidRDefault="00570291" w:rsidP="00570291"/>
    <w:p w14:paraId="4C5F79B6" w14:textId="0E4ADAB2" w:rsidR="00C94CE4" w:rsidRDefault="00C94CE4" w:rsidP="00AC721A">
      <w:pPr>
        <w:ind w:left="0"/>
      </w:pPr>
      <w:r w:rsidRPr="00C94CE4">
        <w:rPr>
          <w:b/>
          <w:bCs/>
        </w:rPr>
        <w:t>Chair</w:t>
      </w:r>
      <w:r>
        <w:t>: Stuart Piertney</w:t>
      </w:r>
      <w:r w:rsidR="002E1E4E">
        <w:t xml:space="preserve"> (SP) | </w:t>
      </w:r>
      <w:r w:rsidR="002E1E4E">
        <w:rPr>
          <w:b/>
          <w:bCs/>
        </w:rPr>
        <w:t>Clerk</w:t>
      </w:r>
      <w:r>
        <w:t>: Georgi Chichkov</w:t>
      </w:r>
      <w:r w:rsidR="00F74634">
        <w:t xml:space="preserve"> (GC)</w:t>
      </w:r>
    </w:p>
    <w:p w14:paraId="05CD1C74" w14:textId="75371F55" w:rsidR="00C94CE4" w:rsidRDefault="00C94CE4" w:rsidP="00AC721A">
      <w:pPr>
        <w:ind w:left="0"/>
      </w:pPr>
      <w:r>
        <w:rPr>
          <w:b/>
          <w:bCs/>
        </w:rPr>
        <w:t>Attended</w:t>
      </w:r>
      <w:r>
        <w:t>: Archie Graham</w:t>
      </w:r>
      <w:r w:rsidR="00F74634">
        <w:t xml:space="preserve"> (AG)</w:t>
      </w:r>
      <w:r>
        <w:t>; Sam Miller</w:t>
      </w:r>
      <w:r w:rsidR="00F74634">
        <w:t xml:space="preserve"> (SM)</w:t>
      </w:r>
      <w:r>
        <w:t>; Peter Cserne</w:t>
      </w:r>
      <w:r w:rsidR="00F74634">
        <w:t xml:space="preserve"> (PC)</w:t>
      </w:r>
      <w:r>
        <w:t>; Ben Marsden</w:t>
      </w:r>
      <w:r w:rsidR="00F74634">
        <w:t xml:space="preserve"> (BM)</w:t>
      </w:r>
      <w:r>
        <w:t>; Johannes Heim</w:t>
      </w:r>
      <w:r w:rsidR="00F74634">
        <w:t xml:space="preserve"> (JH)</w:t>
      </w:r>
      <w:r>
        <w:t>; Patric Bach</w:t>
      </w:r>
      <w:r w:rsidR="00F74634">
        <w:t xml:space="preserve"> (PB)</w:t>
      </w:r>
      <w:r>
        <w:t>; Rhiannon Thompson</w:t>
      </w:r>
      <w:r w:rsidR="00F74634">
        <w:t xml:space="preserve"> (RT)</w:t>
      </w:r>
      <w:r>
        <w:t>; Masha Shaw</w:t>
      </w:r>
      <w:r w:rsidR="00F74634">
        <w:t xml:space="preserve"> (MS)</w:t>
      </w:r>
      <w:r>
        <w:t>; Laurent Trembleau</w:t>
      </w:r>
      <w:r w:rsidR="00F74634">
        <w:t xml:space="preserve"> (LT)</w:t>
      </w:r>
      <w:r>
        <w:t>; Jie Wu</w:t>
      </w:r>
      <w:r w:rsidR="00F74634">
        <w:t xml:space="preserve"> (JW)</w:t>
      </w:r>
      <w:r>
        <w:t>; Mel McCann</w:t>
      </w:r>
      <w:r w:rsidR="00F74634">
        <w:t xml:space="preserve"> (MM)</w:t>
      </w:r>
      <w:r>
        <w:t>; Mehmet Kartal</w:t>
      </w:r>
      <w:r w:rsidR="00F74634">
        <w:t xml:space="preserve"> (MK)</w:t>
      </w:r>
      <w:r>
        <w:t>; Isabella Kasselstrand</w:t>
      </w:r>
      <w:r w:rsidR="00F74634">
        <w:t xml:space="preserve"> (IK)</w:t>
      </w:r>
      <w:r>
        <w:t>; Robert Findlay</w:t>
      </w:r>
      <w:r w:rsidR="00F74634">
        <w:t xml:space="preserve"> (RF)</w:t>
      </w:r>
      <w:r>
        <w:t>; Lucy Leiper</w:t>
      </w:r>
      <w:r w:rsidR="00F74634">
        <w:t xml:space="preserve"> (LL)</w:t>
      </w:r>
      <w:r>
        <w:t>; Rhona Gibson</w:t>
      </w:r>
      <w:r w:rsidR="00F74634">
        <w:t xml:space="preserve"> (RB); Simon Bains (SB)</w:t>
      </w:r>
      <w:r w:rsidR="00DE4867">
        <w:t>; Brian Hussey (BH)</w:t>
      </w:r>
      <w:r w:rsidR="003A1906">
        <w:t>, Anar Alruwaie (AW).</w:t>
      </w:r>
    </w:p>
    <w:p w14:paraId="19B9067C" w14:textId="6A25A34D" w:rsidR="00570291" w:rsidRDefault="00C94CE4" w:rsidP="00AC721A">
      <w:pPr>
        <w:ind w:left="0"/>
      </w:pPr>
      <w:r w:rsidRPr="00C94CE4">
        <w:rPr>
          <w:b/>
          <w:bCs/>
        </w:rPr>
        <w:t>Apologies</w:t>
      </w:r>
      <w:r>
        <w:t>: Jason Bohan</w:t>
      </w:r>
      <w:r w:rsidR="00DE4867">
        <w:t xml:space="preserve"> (JB)</w:t>
      </w:r>
      <w:r>
        <w:t>; Steve Tucker</w:t>
      </w:r>
      <w:r w:rsidR="00DE4867">
        <w:t xml:space="preserve"> (ST</w:t>
      </w:r>
      <w:r w:rsidR="0069149B">
        <w:t>); Charlotta</w:t>
      </w:r>
      <w:r w:rsidR="00DE4867">
        <w:t xml:space="preserve"> Hillerdal (CH); </w:t>
      </w:r>
      <w:r>
        <w:t>Paul Hallett</w:t>
      </w:r>
      <w:r w:rsidR="00DE4867">
        <w:t xml:space="preserve"> (PH)</w:t>
      </w:r>
      <w:r>
        <w:t>.</w:t>
      </w:r>
    </w:p>
    <w:p w14:paraId="63D596D4" w14:textId="77777777" w:rsidR="00570291" w:rsidRDefault="00570291" w:rsidP="00570291"/>
    <w:p w14:paraId="73B35724" w14:textId="22E204C2" w:rsidR="00570291" w:rsidRPr="004A45B5" w:rsidRDefault="00570291" w:rsidP="00C94CE4">
      <w:pPr>
        <w:pStyle w:val="ListParagraph"/>
        <w:numPr>
          <w:ilvl w:val="0"/>
          <w:numId w:val="14"/>
        </w:numPr>
        <w:rPr>
          <w:b/>
          <w:bCs/>
        </w:rPr>
      </w:pPr>
      <w:r w:rsidRPr="004A45B5">
        <w:rPr>
          <w:b/>
          <w:bCs/>
        </w:rPr>
        <w:t>Welcome and Apologies</w:t>
      </w:r>
    </w:p>
    <w:p w14:paraId="422305FA" w14:textId="70B2A124" w:rsidR="00570291" w:rsidRPr="00570291" w:rsidRDefault="00570291" w:rsidP="00C94CE4">
      <w:pPr>
        <w:numPr>
          <w:ilvl w:val="1"/>
          <w:numId w:val="14"/>
        </w:numPr>
      </w:pPr>
      <w:r w:rsidRPr="00570291">
        <w:t>SP opened the meeting and noted apologies</w:t>
      </w:r>
      <w:r w:rsidR="00611A86">
        <w:t xml:space="preserve"> (listed above)</w:t>
      </w:r>
      <w:r w:rsidRPr="00570291">
        <w:t>.</w:t>
      </w:r>
    </w:p>
    <w:p w14:paraId="54A91213" w14:textId="684F804C" w:rsidR="00570291" w:rsidRPr="00570291" w:rsidRDefault="00570291" w:rsidP="00C94CE4">
      <w:pPr>
        <w:numPr>
          <w:ilvl w:val="1"/>
          <w:numId w:val="14"/>
        </w:numPr>
      </w:pPr>
      <w:r w:rsidRPr="00570291">
        <w:t>B</w:t>
      </w:r>
      <w:r w:rsidR="00611A86">
        <w:t>H</w:t>
      </w:r>
      <w:r w:rsidRPr="00570291">
        <w:t xml:space="preserve"> and S</w:t>
      </w:r>
      <w:r w:rsidR="00611A86">
        <w:t>B</w:t>
      </w:r>
      <w:r w:rsidRPr="00570291">
        <w:t xml:space="preserve"> </w:t>
      </w:r>
      <w:r w:rsidR="004A45B5">
        <w:t>joined</w:t>
      </w:r>
      <w:r w:rsidR="00611A86">
        <w:t xml:space="preserve"> the </w:t>
      </w:r>
      <w:r w:rsidR="00DE5E69">
        <w:t>second half of the meeting</w:t>
      </w:r>
      <w:r w:rsidR="004A45B5">
        <w:t xml:space="preserve"> (11am – 12pm)</w:t>
      </w:r>
      <w:r w:rsidR="00DE5E69">
        <w:t>.</w:t>
      </w:r>
    </w:p>
    <w:p w14:paraId="75273CF7" w14:textId="7A195CAF" w:rsidR="00570291" w:rsidRPr="004A45B5" w:rsidRDefault="00570291" w:rsidP="00C94CE4">
      <w:pPr>
        <w:pStyle w:val="ListParagraph"/>
        <w:numPr>
          <w:ilvl w:val="0"/>
          <w:numId w:val="14"/>
        </w:numPr>
        <w:rPr>
          <w:b/>
          <w:bCs/>
        </w:rPr>
      </w:pPr>
      <w:r w:rsidRPr="004A45B5">
        <w:rPr>
          <w:b/>
          <w:bCs/>
        </w:rPr>
        <w:t>Minutes from Previous Meetings (August &amp; November)</w:t>
      </w:r>
    </w:p>
    <w:p w14:paraId="7D5AB64E" w14:textId="2BB9FC47" w:rsidR="00570291" w:rsidRPr="00570291" w:rsidRDefault="004A45B5" w:rsidP="00C94CE4">
      <w:pPr>
        <w:numPr>
          <w:ilvl w:val="1"/>
          <w:numId w:val="14"/>
        </w:numPr>
      </w:pPr>
      <w:r>
        <w:t xml:space="preserve">27 </w:t>
      </w:r>
      <w:r w:rsidR="00570291" w:rsidRPr="00570291">
        <w:t xml:space="preserve">August </w:t>
      </w:r>
      <w:r>
        <w:t xml:space="preserve">2025 </w:t>
      </w:r>
      <w:r w:rsidR="00570291" w:rsidRPr="00570291">
        <w:t>minutes: accepted without comment.</w:t>
      </w:r>
    </w:p>
    <w:p w14:paraId="1C10C1CE" w14:textId="70773CFC" w:rsidR="00570291" w:rsidRPr="00570291" w:rsidRDefault="00413E12" w:rsidP="00C94CE4">
      <w:pPr>
        <w:numPr>
          <w:ilvl w:val="1"/>
          <w:numId w:val="14"/>
        </w:numPr>
      </w:pPr>
      <w:r>
        <w:t xml:space="preserve">04 </w:t>
      </w:r>
      <w:r w:rsidR="00570291" w:rsidRPr="00570291">
        <w:t xml:space="preserve">November </w:t>
      </w:r>
      <w:r w:rsidR="00FF17C3">
        <w:t xml:space="preserve">2025 </w:t>
      </w:r>
      <w:r w:rsidR="00570291" w:rsidRPr="00570291">
        <w:t xml:space="preserve">minutes: date error identified; </w:t>
      </w:r>
      <w:r w:rsidRPr="00413E12">
        <w:rPr>
          <w:highlight w:val="yellow"/>
        </w:rPr>
        <w:t>GC</w:t>
      </w:r>
      <w:r w:rsidR="00570291" w:rsidRPr="00570291">
        <w:rPr>
          <w:highlight w:val="yellow"/>
        </w:rPr>
        <w:t xml:space="preserve"> to update</w:t>
      </w:r>
      <w:r w:rsidR="00570291" w:rsidRPr="00570291">
        <w:t>.</w:t>
      </w:r>
      <w:r w:rsidR="004612BD">
        <w:t xml:space="preserve"> </w:t>
      </w:r>
      <w:r w:rsidR="00FF17C3">
        <w:t>Minutes accepted.</w:t>
      </w:r>
    </w:p>
    <w:p w14:paraId="57B927AF" w14:textId="5F1C8C9C" w:rsidR="00570291" w:rsidRDefault="00413E12" w:rsidP="004612BD">
      <w:pPr>
        <w:numPr>
          <w:ilvl w:val="1"/>
          <w:numId w:val="14"/>
        </w:numPr>
      </w:pPr>
      <w:r>
        <w:t>BM</w:t>
      </w:r>
      <w:r w:rsidR="00570291" w:rsidRPr="00570291">
        <w:t xml:space="preserve"> initially agreed to </w:t>
      </w:r>
      <w:r>
        <w:t xml:space="preserve">present </w:t>
      </w:r>
      <w:r w:rsidR="004612BD">
        <w:t xml:space="preserve">the new </w:t>
      </w:r>
      <w:r>
        <w:t>DHPA</w:t>
      </w:r>
      <w:r w:rsidR="00AB6271">
        <w:t xml:space="preserve"> APE</w:t>
      </w:r>
      <w:r w:rsidR="004612BD">
        <w:t xml:space="preserve"> process</w:t>
      </w:r>
      <w:r w:rsidR="00AB6271">
        <w:t xml:space="preserve"> to the </w:t>
      </w:r>
      <w:r w:rsidR="004612BD">
        <w:t>committee,</w:t>
      </w:r>
      <w:r w:rsidR="00AB6271">
        <w:t xml:space="preserve"> but</w:t>
      </w:r>
      <w:r w:rsidR="00570291" w:rsidRPr="00570291">
        <w:t xml:space="preserve"> action </w:t>
      </w:r>
      <w:r w:rsidR="00AB6271">
        <w:t>was postponed for after the pro</w:t>
      </w:r>
      <w:r w:rsidR="004612BD">
        <w:t>cess and forms have been trialled</w:t>
      </w:r>
      <w:r w:rsidR="00570291" w:rsidRPr="00570291">
        <w:t>.</w:t>
      </w:r>
      <w:r w:rsidR="004612BD">
        <w:t xml:space="preserve"> </w:t>
      </w:r>
      <w:r w:rsidR="004612BD" w:rsidRPr="004612BD">
        <w:rPr>
          <w:highlight w:val="yellow"/>
        </w:rPr>
        <w:t>GC no note this in minutes</w:t>
      </w:r>
      <w:r w:rsidR="004612BD">
        <w:t>.</w:t>
      </w:r>
    </w:p>
    <w:p w14:paraId="3BE02B3C" w14:textId="5A08732A" w:rsidR="00CE12B5" w:rsidRPr="00570291" w:rsidRDefault="00CE12B5" w:rsidP="004612BD">
      <w:pPr>
        <w:numPr>
          <w:ilvl w:val="1"/>
          <w:numId w:val="14"/>
        </w:numPr>
      </w:pPr>
      <w:r w:rsidRPr="00CE12B5">
        <w:rPr>
          <w:highlight w:val="yellow"/>
        </w:rPr>
        <w:t>GC to upload approved minutes to StaffNet</w:t>
      </w:r>
      <w:r>
        <w:t xml:space="preserve">. </w:t>
      </w:r>
    </w:p>
    <w:p w14:paraId="75343BB7" w14:textId="178A1110" w:rsidR="00570291" w:rsidRDefault="00570291" w:rsidP="00C94CE4">
      <w:pPr>
        <w:pStyle w:val="ListParagraph"/>
        <w:numPr>
          <w:ilvl w:val="0"/>
          <w:numId w:val="14"/>
        </w:numPr>
        <w:rPr>
          <w:b/>
          <w:bCs/>
        </w:rPr>
      </w:pPr>
      <w:r w:rsidRPr="00CA4929">
        <w:rPr>
          <w:b/>
          <w:bCs/>
        </w:rPr>
        <w:t>Action Log</w:t>
      </w:r>
    </w:p>
    <w:p w14:paraId="01F2D481" w14:textId="43DA40C5" w:rsidR="009B0349" w:rsidRDefault="009B0349" w:rsidP="009B0349">
      <w:pPr>
        <w:pStyle w:val="ListParagraph"/>
        <w:numPr>
          <w:ilvl w:val="1"/>
          <w:numId w:val="14"/>
        </w:numPr>
      </w:pPr>
      <w:r>
        <w:t xml:space="preserve">Action log reviewed and most actions </w:t>
      </w:r>
      <w:r w:rsidR="0022431F">
        <w:t>up to date</w:t>
      </w:r>
      <w:r w:rsidR="00D73347">
        <w:t xml:space="preserve">: </w:t>
      </w:r>
    </w:p>
    <w:p w14:paraId="47954FF5" w14:textId="77777777" w:rsidR="00B25570" w:rsidRPr="009B0349" w:rsidRDefault="00B25570" w:rsidP="00B25570">
      <w:pPr>
        <w:pStyle w:val="ListParagraph"/>
        <w:ind w:left="792"/>
      </w:pPr>
    </w:p>
    <w:tbl>
      <w:tblPr>
        <w:tblStyle w:val="TableGrid"/>
        <w:tblpPr w:leftFromText="180" w:rightFromText="180" w:vertAnchor="text" w:tblpY="1"/>
        <w:tblOverlap w:val="never"/>
        <w:tblW w:w="9209" w:type="dxa"/>
        <w:tblLook w:val="04A0" w:firstRow="1" w:lastRow="0" w:firstColumn="1" w:lastColumn="0" w:noHBand="0" w:noVBand="1"/>
      </w:tblPr>
      <w:tblGrid>
        <w:gridCol w:w="1151"/>
        <w:gridCol w:w="237"/>
        <w:gridCol w:w="914"/>
        <w:gridCol w:w="2390"/>
        <w:gridCol w:w="1463"/>
        <w:gridCol w:w="3054"/>
      </w:tblGrid>
      <w:tr w:rsidR="009B0349" w:rsidRPr="000C5453" w14:paraId="35A355DA" w14:textId="77777777" w:rsidTr="00BA620D">
        <w:tc>
          <w:tcPr>
            <w:tcW w:w="2302" w:type="dxa"/>
            <w:gridSpan w:val="3"/>
          </w:tcPr>
          <w:p w14:paraId="28AFC4C7" w14:textId="77777777" w:rsidR="009B0349" w:rsidRPr="000C5453" w:rsidRDefault="009B0349" w:rsidP="00175FF7">
            <w:pPr>
              <w:rPr>
                <w:b/>
                <w:bCs/>
              </w:rPr>
            </w:pPr>
            <w:bookmarkStart w:id="0" w:name="_Hlk184661314"/>
            <w:bookmarkStart w:id="1" w:name="_Hlk194045387"/>
            <w:r>
              <w:rPr>
                <w:b/>
                <w:bCs/>
              </w:rPr>
              <w:t>Minute Point</w:t>
            </w:r>
          </w:p>
        </w:tc>
        <w:tc>
          <w:tcPr>
            <w:tcW w:w="2390" w:type="dxa"/>
          </w:tcPr>
          <w:p w14:paraId="7A1CDDCE" w14:textId="77777777" w:rsidR="009B0349" w:rsidRPr="000C5453" w:rsidRDefault="009B0349" w:rsidP="00175FF7">
            <w:pPr>
              <w:rPr>
                <w:b/>
                <w:bCs/>
              </w:rPr>
            </w:pPr>
            <w:r w:rsidRPr="000C5453">
              <w:rPr>
                <w:b/>
                <w:bCs/>
              </w:rPr>
              <w:t>Identified Action</w:t>
            </w:r>
          </w:p>
        </w:tc>
        <w:tc>
          <w:tcPr>
            <w:tcW w:w="1463" w:type="dxa"/>
          </w:tcPr>
          <w:p w14:paraId="40762E08" w14:textId="77777777" w:rsidR="009B0349" w:rsidRPr="000C5453" w:rsidRDefault="009B0349" w:rsidP="00175FF7">
            <w:pPr>
              <w:rPr>
                <w:b/>
                <w:bCs/>
              </w:rPr>
            </w:pPr>
            <w:r w:rsidRPr="000C5453">
              <w:rPr>
                <w:b/>
                <w:bCs/>
              </w:rPr>
              <w:t>Individual(s) Responsible</w:t>
            </w:r>
          </w:p>
        </w:tc>
        <w:tc>
          <w:tcPr>
            <w:tcW w:w="3054" w:type="dxa"/>
          </w:tcPr>
          <w:p w14:paraId="10D0CF09" w14:textId="77777777" w:rsidR="009B0349" w:rsidRPr="000C5453" w:rsidRDefault="009B0349" w:rsidP="00175FF7">
            <w:pPr>
              <w:rPr>
                <w:b/>
                <w:bCs/>
              </w:rPr>
            </w:pPr>
            <w:r w:rsidRPr="000C5453">
              <w:rPr>
                <w:b/>
                <w:bCs/>
              </w:rPr>
              <w:t>Action Status/Update</w:t>
            </w:r>
          </w:p>
        </w:tc>
      </w:tr>
      <w:tr w:rsidR="004E4EE5" w:rsidRPr="000C5453" w14:paraId="788DD3BE" w14:textId="77777777" w:rsidTr="004E4EE5">
        <w:tc>
          <w:tcPr>
            <w:tcW w:w="1151" w:type="dxa"/>
            <w:vMerge w:val="restart"/>
            <w:textDirection w:val="btLr"/>
          </w:tcPr>
          <w:p w14:paraId="1CD1AC5A" w14:textId="4827D52C" w:rsidR="004E4EE5" w:rsidRDefault="004E4EE5" w:rsidP="004E4EE5">
            <w:pPr>
              <w:ind w:left="113" w:right="113"/>
              <w:jc w:val="center"/>
              <w:rPr>
                <w:b/>
                <w:bCs/>
              </w:rPr>
            </w:pPr>
            <w:r>
              <w:rPr>
                <w:b/>
                <w:bCs/>
              </w:rPr>
              <w:t>04 November 2025</w:t>
            </w:r>
          </w:p>
        </w:tc>
        <w:tc>
          <w:tcPr>
            <w:tcW w:w="1151" w:type="dxa"/>
            <w:gridSpan w:val="2"/>
          </w:tcPr>
          <w:p w14:paraId="162C0446" w14:textId="0FB483A1" w:rsidR="004E4EE5" w:rsidRDefault="004E4EE5" w:rsidP="004E4EE5">
            <w:pPr>
              <w:rPr>
                <w:b/>
                <w:bCs/>
              </w:rPr>
            </w:pPr>
            <w:r>
              <w:rPr>
                <w:b/>
                <w:bCs/>
              </w:rPr>
              <w:t>2.10(1)</w:t>
            </w:r>
          </w:p>
        </w:tc>
        <w:tc>
          <w:tcPr>
            <w:tcW w:w="2390" w:type="dxa"/>
          </w:tcPr>
          <w:p w14:paraId="31ACAAAD" w14:textId="1E5311E5" w:rsidR="004E4EE5" w:rsidRPr="000C5453" w:rsidRDefault="004E4EE5" w:rsidP="004E4EE5">
            <w:pPr>
              <w:rPr>
                <w:b/>
                <w:bCs/>
              </w:rPr>
            </w:pPr>
            <w:r>
              <w:t>Schools to send feedback on use of language and clarity of information in policies to PGRC before December</w:t>
            </w:r>
          </w:p>
        </w:tc>
        <w:tc>
          <w:tcPr>
            <w:tcW w:w="1463" w:type="dxa"/>
          </w:tcPr>
          <w:p w14:paraId="481C7FFF" w14:textId="73E243A6" w:rsidR="004E4EE5" w:rsidRPr="000C5453" w:rsidRDefault="004E4EE5" w:rsidP="004E4EE5">
            <w:pPr>
              <w:rPr>
                <w:b/>
                <w:bCs/>
              </w:rPr>
            </w:pPr>
            <w:r>
              <w:rPr>
                <w:b/>
                <w:bCs/>
              </w:rPr>
              <w:t>PGOs</w:t>
            </w:r>
          </w:p>
        </w:tc>
        <w:tc>
          <w:tcPr>
            <w:tcW w:w="3054" w:type="dxa"/>
          </w:tcPr>
          <w:p w14:paraId="0867289D" w14:textId="4A4A1FC1" w:rsidR="004E4EE5" w:rsidRPr="000C5453" w:rsidRDefault="004E4EE5" w:rsidP="004E4EE5">
            <w:pPr>
              <w:rPr>
                <w:b/>
                <w:bCs/>
              </w:rPr>
            </w:pPr>
            <w:r>
              <w:t>Complete</w:t>
            </w:r>
          </w:p>
        </w:tc>
      </w:tr>
      <w:tr w:rsidR="004E4EE5" w:rsidRPr="000C5453" w14:paraId="1284D54D" w14:textId="77777777" w:rsidTr="008A0878">
        <w:tc>
          <w:tcPr>
            <w:tcW w:w="1151" w:type="dxa"/>
            <w:vMerge/>
          </w:tcPr>
          <w:p w14:paraId="324D0D7C" w14:textId="25F6A00E" w:rsidR="004E4EE5" w:rsidRDefault="004E4EE5" w:rsidP="004E4EE5">
            <w:pPr>
              <w:rPr>
                <w:b/>
                <w:bCs/>
              </w:rPr>
            </w:pPr>
          </w:p>
        </w:tc>
        <w:tc>
          <w:tcPr>
            <w:tcW w:w="1151" w:type="dxa"/>
            <w:gridSpan w:val="2"/>
          </w:tcPr>
          <w:p w14:paraId="22B87B08" w14:textId="1B2A820B" w:rsidR="004E4EE5" w:rsidRDefault="004E4EE5" w:rsidP="004E4EE5">
            <w:pPr>
              <w:rPr>
                <w:b/>
                <w:bCs/>
              </w:rPr>
            </w:pPr>
            <w:r>
              <w:rPr>
                <w:b/>
                <w:bCs/>
              </w:rPr>
              <w:t>2.10(2)</w:t>
            </w:r>
          </w:p>
        </w:tc>
        <w:tc>
          <w:tcPr>
            <w:tcW w:w="2390" w:type="dxa"/>
          </w:tcPr>
          <w:p w14:paraId="1A5494EF" w14:textId="5BE7BC58" w:rsidR="004E4EE5" w:rsidRPr="000C5453" w:rsidRDefault="004E4EE5" w:rsidP="004E4EE5">
            <w:pPr>
              <w:rPr>
                <w:b/>
                <w:bCs/>
              </w:rPr>
            </w:pPr>
            <w:r>
              <w:t>Clarify and expand the phased return section</w:t>
            </w:r>
          </w:p>
        </w:tc>
        <w:tc>
          <w:tcPr>
            <w:tcW w:w="1463" w:type="dxa"/>
          </w:tcPr>
          <w:p w14:paraId="39E2630D" w14:textId="643164A4" w:rsidR="004E4EE5" w:rsidRPr="000C5453" w:rsidRDefault="004E4EE5" w:rsidP="004E4EE5">
            <w:pPr>
              <w:rPr>
                <w:b/>
                <w:bCs/>
              </w:rPr>
            </w:pPr>
            <w:r>
              <w:rPr>
                <w:b/>
                <w:bCs/>
              </w:rPr>
              <w:t>RT</w:t>
            </w:r>
          </w:p>
        </w:tc>
        <w:tc>
          <w:tcPr>
            <w:tcW w:w="3054" w:type="dxa"/>
          </w:tcPr>
          <w:p w14:paraId="3CFEB57A" w14:textId="55EEDE43" w:rsidR="004E4EE5" w:rsidRPr="000C5453" w:rsidRDefault="004E4EE5" w:rsidP="004E4EE5">
            <w:pPr>
              <w:rPr>
                <w:b/>
                <w:bCs/>
              </w:rPr>
            </w:pPr>
            <w:r>
              <w:t>Complete</w:t>
            </w:r>
          </w:p>
        </w:tc>
      </w:tr>
      <w:tr w:rsidR="004E4EE5" w:rsidRPr="000C5453" w14:paraId="71ED076C" w14:textId="77777777" w:rsidTr="009A2B95">
        <w:tc>
          <w:tcPr>
            <w:tcW w:w="1151" w:type="dxa"/>
            <w:vMerge/>
          </w:tcPr>
          <w:p w14:paraId="7DF4FBA0" w14:textId="01670AFD" w:rsidR="004E4EE5" w:rsidRDefault="004E4EE5" w:rsidP="004E4EE5">
            <w:pPr>
              <w:rPr>
                <w:b/>
                <w:bCs/>
              </w:rPr>
            </w:pPr>
          </w:p>
        </w:tc>
        <w:tc>
          <w:tcPr>
            <w:tcW w:w="1151" w:type="dxa"/>
            <w:gridSpan w:val="2"/>
          </w:tcPr>
          <w:p w14:paraId="1B79F3D7" w14:textId="48CBAF92" w:rsidR="004E4EE5" w:rsidRDefault="004E4EE5" w:rsidP="004E4EE5">
            <w:pPr>
              <w:rPr>
                <w:b/>
                <w:bCs/>
              </w:rPr>
            </w:pPr>
            <w:r>
              <w:rPr>
                <w:b/>
                <w:bCs/>
              </w:rPr>
              <w:t>2.10(3)</w:t>
            </w:r>
          </w:p>
        </w:tc>
        <w:tc>
          <w:tcPr>
            <w:tcW w:w="2390" w:type="dxa"/>
          </w:tcPr>
          <w:p w14:paraId="308C3B0D" w14:textId="50D0A8CA" w:rsidR="004E4EE5" w:rsidRPr="000C5453" w:rsidRDefault="004E4EE5" w:rsidP="004E4EE5">
            <w:pPr>
              <w:rPr>
                <w:b/>
                <w:bCs/>
              </w:rPr>
            </w:pPr>
            <w:r w:rsidRPr="00860FAC">
              <w:t>LL to confirm rules and language around holiday entitlement and Winter Closure Period inclusion in the overall number of days</w:t>
            </w:r>
          </w:p>
        </w:tc>
        <w:tc>
          <w:tcPr>
            <w:tcW w:w="1463" w:type="dxa"/>
          </w:tcPr>
          <w:p w14:paraId="0EC22131" w14:textId="6FE838C1" w:rsidR="004E4EE5" w:rsidRPr="000C5453" w:rsidRDefault="004E4EE5" w:rsidP="004E4EE5">
            <w:pPr>
              <w:rPr>
                <w:b/>
                <w:bCs/>
              </w:rPr>
            </w:pPr>
            <w:r>
              <w:rPr>
                <w:b/>
                <w:bCs/>
              </w:rPr>
              <w:t>LL</w:t>
            </w:r>
          </w:p>
        </w:tc>
        <w:tc>
          <w:tcPr>
            <w:tcW w:w="3054" w:type="dxa"/>
          </w:tcPr>
          <w:p w14:paraId="48800282" w14:textId="3AD6291E" w:rsidR="004E4EE5" w:rsidRPr="000C5453" w:rsidRDefault="004E4EE5" w:rsidP="004E4EE5">
            <w:pPr>
              <w:rPr>
                <w:b/>
                <w:bCs/>
              </w:rPr>
            </w:pPr>
            <w:r>
              <w:t xml:space="preserve">Ongoing; Complete as of committee meeting day. Language has been clarified in updated policy documents. </w:t>
            </w:r>
          </w:p>
        </w:tc>
      </w:tr>
      <w:tr w:rsidR="004E4EE5" w:rsidRPr="000C5453" w14:paraId="23CF1C12" w14:textId="77777777" w:rsidTr="00AF5A35">
        <w:tc>
          <w:tcPr>
            <w:tcW w:w="1151" w:type="dxa"/>
            <w:vMerge/>
          </w:tcPr>
          <w:p w14:paraId="0CF60A4B" w14:textId="691D2D7A" w:rsidR="004E4EE5" w:rsidRDefault="004E4EE5" w:rsidP="004E4EE5">
            <w:pPr>
              <w:rPr>
                <w:b/>
                <w:bCs/>
              </w:rPr>
            </w:pPr>
          </w:p>
        </w:tc>
        <w:tc>
          <w:tcPr>
            <w:tcW w:w="1151" w:type="dxa"/>
            <w:gridSpan w:val="2"/>
          </w:tcPr>
          <w:p w14:paraId="6FC1910A" w14:textId="491B4A22" w:rsidR="004E4EE5" w:rsidRDefault="004E4EE5" w:rsidP="004E4EE5">
            <w:pPr>
              <w:rPr>
                <w:b/>
                <w:bCs/>
              </w:rPr>
            </w:pPr>
            <w:r>
              <w:rPr>
                <w:b/>
                <w:bCs/>
              </w:rPr>
              <w:t>3.2</w:t>
            </w:r>
          </w:p>
        </w:tc>
        <w:tc>
          <w:tcPr>
            <w:tcW w:w="2390" w:type="dxa"/>
          </w:tcPr>
          <w:p w14:paraId="6FE62364" w14:textId="6816D729" w:rsidR="004E4EE5" w:rsidRPr="000C5453" w:rsidRDefault="004E4EE5" w:rsidP="004E4EE5">
            <w:pPr>
              <w:rPr>
                <w:b/>
                <w:bCs/>
              </w:rPr>
            </w:pPr>
            <w:r>
              <w:t>Add Inclusion of DNA into APE to next meeting Agenda</w:t>
            </w:r>
          </w:p>
        </w:tc>
        <w:tc>
          <w:tcPr>
            <w:tcW w:w="1463" w:type="dxa"/>
          </w:tcPr>
          <w:p w14:paraId="6AE8AFC8" w14:textId="4F491F94" w:rsidR="004E4EE5" w:rsidRPr="000C5453" w:rsidRDefault="004E4EE5" w:rsidP="004E4EE5">
            <w:pPr>
              <w:rPr>
                <w:b/>
                <w:bCs/>
              </w:rPr>
            </w:pPr>
            <w:r>
              <w:rPr>
                <w:b/>
                <w:bCs/>
              </w:rPr>
              <w:t>GC</w:t>
            </w:r>
          </w:p>
        </w:tc>
        <w:tc>
          <w:tcPr>
            <w:tcW w:w="3054" w:type="dxa"/>
          </w:tcPr>
          <w:p w14:paraId="7BAC809E" w14:textId="434D48E2" w:rsidR="004E4EE5" w:rsidRPr="000C5453" w:rsidRDefault="004E4EE5" w:rsidP="004E4EE5">
            <w:pPr>
              <w:rPr>
                <w:b/>
                <w:bCs/>
              </w:rPr>
            </w:pPr>
            <w:r>
              <w:t>Complete</w:t>
            </w:r>
          </w:p>
        </w:tc>
      </w:tr>
      <w:tr w:rsidR="00BA620D" w:rsidRPr="000C5453" w14:paraId="574FA61D" w14:textId="77777777" w:rsidTr="00BA620D">
        <w:tc>
          <w:tcPr>
            <w:tcW w:w="2302" w:type="dxa"/>
            <w:gridSpan w:val="3"/>
          </w:tcPr>
          <w:p w14:paraId="176D4851" w14:textId="77777777" w:rsidR="00BA620D" w:rsidRDefault="00BA620D" w:rsidP="00175FF7">
            <w:pPr>
              <w:rPr>
                <w:b/>
                <w:bCs/>
              </w:rPr>
            </w:pPr>
          </w:p>
        </w:tc>
        <w:tc>
          <w:tcPr>
            <w:tcW w:w="2390" w:type="dxa"/>
          </w:tcPr>
          <w:p w14:paraId="567C07BE" w14:textId="77777777" w:rsidR="00BA620D" w:rsidRPr="000C5453" w:rsidRDefault="00BA620D" w:rsidP="00175FF7">
            <w:pPr>
              <w:rPr>
                <w:b/>
                <w:bCs/>
              </w:rPr>
            </w:pPr>
          </w:p>
        </w:tc>
        <w:tc>
          <w:tcPr>
            <w:tcW w:w="1463" w:type="dxa"/>
          </w:tcPr>
          <w:p w14:paraId="6F41E654" w14:textId="77777777" w:rsidR="00BA620D" w:rsidRPr="000C5453" w:rsidRDefault="00BA620D" w:rsidP="00175FF7">
            <w:pPr>
              <w:rPr>
                <w:b/>
                <w:bCs/>
              </w:rPr>
            </w:pPr>
          </w:p>
        </w:tc>
        <w:tc>
          <w:tcPr>
            <w:tcW w:w="3054" w:type="dxa"/>
          </w:tcPr>
          <w:p w14:paraId="4E2E0A58" w14:textId="77777777" w:rsidR="00BA620D" w:rsidRPr="000C5453" w:rsidRDefault="00BA620D" w:rsidP="00175FF7">
            <w:pPr>
              <w:rPr>
                <w:b/>
                <w:bCs/>
              </w:rPr>
            </w:pPr>
          </w:p>
        </w:tc>
      </w:tr>
      <w:tr w:rsidR="009B0349" w:rsidRPr="000C5453" w14:paraId="16937D43" w14:textId="77777777" w:rsidTr="00BA620D">
        <w:tc>
          <w:tcPr>
            <w:tcW w:w="1388" w:type="dxa"/>
            <w:gridSpan w:val="2"/>
            <w:vMerge w:val="restart"/>
            <w:textDirection w:val="btLr"/>
          </w:tcPr>
          <w:p w14:paraId="56214DE8" w14:textId="77777777" w:rsidR="009B0349" w:rsidRDefault="009B0349" w:rsidP="00175FF7">
            <w:pPr>
              <w:ind w:left="113" w:right="113"/>
              <w:jc w:val="center"/>
              <w:rPr>
                <w:b/>
                <w:bCs/>
              </w:rPr>
            </w:pPr>
            <w:r>
              <w:rPr>
                <w:b/>
                <w:bCs/>
              </w:rPr>
              <w:t>27</w:t>
            </w:r>
            <w:r w:rsidRPr="00E2354E">
              <w:rPr>
                <w:b/>
                <w:bCs/>
              </w:rPr>
              <w:t xml:space="preserve"> </w:t>
            </w:r>
            <w:r>
              <w:rPr>
                <w:b/>
                <w:bCs/>
              </w:rPr>
              <w:t xml:space="preserve">August </w:t>
            </w:r>
            <w:r w:rsidRPr="00E2354E">
              <w:rPr>
                <w:b/>
                <w:bCs/>
              </w:rPr>
              <w:t>2025</w:t>
            </w:r>
          </w:p>
          <w:p w14:paraId="56B6A295" w14:textId="77777777" w:rsidR="009B0349" w:rsidRPr="00F50705" w:rsidRDefault="009B0349" w:rsidP="00175FF7">
            <w:pPr>
              <w:ind w:left="113" w:right="113"/>
            </w:pPr>
          </w:p>
        </w:tc>
        <w:tc>
          <w:tcPr>
            <w:tcW w:w="914" w:type="dxa"/>
          </w:tcPr>
          <w:p w14:paraId="37881E26" w14:textId="77777777" w:rsidR="009B0349" w:rsidRDefault="009B0349" w:rsidP="00175FF7">
            <w:pPr>
              <w:rPr>
                <w:b/>
                <w:bCs/>
              </w:rPr>
            </w:pPr>
            <w:r>
              <w:rPr>
                <w:b/>
                <w:bCs/>
              </w:rPr>
              <w:t>4.2</w:t>
            </w:r>
          </w:p>
        </w:tc>
        <w:tc>
          <w:tcPr>
            <w:tcW w:w="2390" w:type="dxa"/>
          </w:tcPr>
          <w:p w14:paraId="7BF9607B" w14:textId="77777777" w:rsidR="009B0349" w:rsidRPr="0075163B" w:rsidRDefault="009B0349" w:rsidP="00175FF7">
            <w:r>
              <w:t>Complete minor corrections to PGRC Remit and Composition</w:t>
            </w:r>
          </w:p>
        </w:tc>
        <w:tc>
          <w:tcPr>
            <w:tcW w:w="1463" w:type="dxa"/>
          </w:tcPr>
          <w:p w14:paraId="28F7563B" w14:textId="77777777" w:rsidR="009B0349" w:rsidRPr="000C5453" w:rsidRDefault="009B0349" w:rsidP="00175FF7">
            <w:pPr>
              <w:rPr>
                <w:b/>
                <w:bCs/>
              </w:rPr>
            </w:pPr>
            <w:r>
              <w:rPr>
                <w:b/>
                <w:bCs/>
              </w:rPr>
              <w:t>GC/LL</w:t>
            </w:r>
          </w:p>
        </w:tc>
        <w:tc>
          <w:tcPr>
            <w:tcW w:w="3054" w:type="dxa"/>
          </w:tcPr>
          <w:p w14:paraId="33B3DF8A" w14:textId="77777777" w:rsidR="009B0349" w:rsidRPr="001D57EB" w:rsidRDefault="009B0349" w:rsidP="00175FF7">
            <w:r>
              <w:t>Complete</w:t>
            </w:r>
          </w:p>
        </w:tc>
      </w:tr>
      <w:tr w:rsidR="009B0349" w:rsidRPr="000C5453" w14:paraId="64AD8E4B" w14:textId="77777777" w:rsidTr="00BA620D">
        <w:tc>
          <w:tcPr>
            <w:tcW w:w="1388" w:type="dxa"/>
            <w:gridSpan w:val="2"/>
            <w:vMerge/>
          </w:tcPr>
          <w:p w14:paraId="33393BCC" w14:textId="77777777" w:rsidR="009B0349" w:rsidRDefault="009B0349" w:rsidP="00175FF7">
            <w:pPr>
              <w:rPr>
                <w:b/>
                <w:bCs/>
              </w:rPr>
            </w:pPr>
          </w:p>
        </w:tc>
        <w:tc>
          <w:tcPr>
            <w:tcW w:w="914" w:type="dxa"/>
          </w:tcPr>
          <w:p w14:paraId="35B7CD63" w14:textId="77777777" w:rsidR="009B0349" w:rsidRDefault="009B0349" w:rsidP="00175FF7">
            <w:pPr>
              <w:rPr>
                <w:b/>
                <w:bCs/>
              </w:rPr>
            </w:pPr>
            <w:r>
              <w:rPr>
                <w:b/>
                <w:bCs/>
              </w:rPr>
              <w:t>4.3</w:t>
            </w:r>
          </w:p>
        </w:tc>
        <w:tc>
          <w:tcPr>
            <w:tcW w:w="2390" w:type="dxa"/>
          </w:tcPr>
          <w:p w14:paraId="674F255B" w14:textId="0596E7D3" w:rsidR="009B0349" w:rsidRPr="0075163B" w:rsidRDefault="009B0349" w:rsidP="00175FF7">
            <w:r>
              <w:t>Upload updated remit to StaffNet</w:t>
            </w:r>
          </w:p>
        </w:tc>
        <w:tc>
          <w:tcPr>
            <w:tcW w:w="1463" w:type="dxa"/>
          </w:tcPr>
          <w:p w14:paraId="6258FE74" w14:textId="77777777" w:rsidR="009B0349" w:rsidRDefault="009B0349" w:rsidP="00175FF7">
            <w:pPr>
              <w:rPr>
                <w:b/>
                <w:bCs/>
              </w:rPr>
            </w:pPr>
            <w:r>
              <w:rPr>
                <w:b/>
                <w:bCs/>
              </w:rPr>
              <w:t>GC</w:t>
            </w:r>
          </w:p>
        </w:tc>
        <w:tc>
          <w:tcPr>
            <w:tcW w:w="3054" w:type="dxa"/>
          </w:tcPr>
          <w:p w14:paraId="0B26A5A6" w14:textId="77777777" w:rsidR="009B0349" w:rsidRPr="001C1AAF" w:rsidRDefault="009B0349" w:rsidP="00175FF7">
            <w:r>
              <w:t>Complete</w:t>
            </w:r>
          </w:p>
        </w:tc>
      </w:tr>
      <w:tr w:rsidR="009B0349" w:rsidRPr="000C5453" w14:paraId="67DAD364" w14:textId="77777777" w:rsidTr="00BA620D">
        <w:tc>
          <w:tcPr>
            <w:tcW w:w="1388" w:type="dxa"/>
            <w:gridSpan w:val="2"/>
            <w:vMerge/>
          </w:tcPr>
          <w:p w14:paraId="7138CDE7" w14:textId="77777777" w:rsidR="009B0349" w:rsidRDefault="009B0349" w:rsidP="00175FF7">
            <w:pPr>
              <w:rPr>
                <w:b/>
                <w:bCs/>
              </w:rPr>
            </w:pPr>
          </w:p>
        </w:tc>
        <w:tc>
          <w:tcPr>
            <w:tcW w:w="914" w:type="dxa"/>
          </w:tcPr>
          <w:p w14:paraId="2B3FFE05" w14:textId="77777777" w:rsidR="009B0349" w:rsidRDefault="009B0349" w:rsidP="00175FF7">
            <w:pPr>
              <w:rPr>
                <w:b/>
                <w:bCs/>
              </w:rPr>
            </w:pPr>
            <w:r>
              <w:rPr>
                <w:b/>
                <w:bCs/>
              </w:rPr>
              <w:t>6.3.</w:t>
            </w:r>
          </w:p>
        </w:tc>
        <w:tc>
          <w:tcPr>
            <w:tcW w:w="2390" w:type="dxa"/>
          </w:tcPr>
          <w:p w14:paraId="5100DD42" w14:textId="77777777" w:rsidR="009B0349" w:rsidRDefault="009B0349" w:rsidP="00175FF7">
            <w:r>
              <w:t>Upload CoC 25/26 to PGRC webpage</w:t>
            </w:r>
          </w:p>
        </w:tc>
        <w:tc>
          <w:tcPr>
            <w:tcW w:w="1463" w:type="dxa"/>
          </w:tcPr>
          <w:p w14:paraId="293505D8" w14:textId="77777777" w:rsidR="009B0349" w:rsidRDefault="009B0349" w:rsidP="00175FF7">
            <w:pPr>
              <w:rPr>
                <w:b/>
                <w:bCs/>
              </w:rPr>
            </w:pPr>
            <w:r>
              <w:rPr>
                <w:b/>
                <w:bCs/>
              </w:rPr>
              <w:t>GC</w:t>
            </w:r>
          </w:p>
        </w:tc>
        <w:tc>
          <w:tcPr>
            <w:tcW w:w="3054" w:type="dxa"/>
          </w:tcPr>
          <w:p w14:paraId="722DF347" w14:textId="77777777" w:rsidR="009B0349" w:rsidRPr="001C1AAF" w:rsidRDefault="009B0349" w:rsidP="00175FF7">
            <w:r>
              <w:t>Complete</w:t>
            </w:r>
          </w:p>
        </w:tc>
      </w:tr>
      <w:tr w:rsidR="009B0349" w:rsidRPr="000C5453" w14:paraId="0715BA7F" w14:textId="77777777" w:rsidTr="00BA620D">
        <w:tc>
          <w:tcPr>
            <w:tcW w:w="1388" w:type="dxa"/>
            <w:gridSpan w:val="2"/>
            <w:vMerge/>
          </w:tcPr>
          <w:p w14:paraId="50EC930C" w14:textId="77777777" w:rsidR="009B0349" w:rsidRDefault="009B0349" w:rsidP="00175FF7">
            <w:pPr>
              <w:rPr>
                <w:b/>
                <w:bCs/>
              </w:rPr>
            </w:pPr>
          </w:p>
        </w:tc>
        <w:tc>
          <w:tcPr>
            <w:tcW w:w="914" w:type="dxa"/>
          </w:tcPr>
          <w:p w14:paraId="1ED20688" w14:textId="77777777" w:rsidR="009B0349" w:rsidRDefault="009B0349" w:rsidP="00175FF7">
            <w:pPr>
              <w:rPr>
                <w:b/>
                <w:bCs/>
              </w:rPr>
            </w:pPr>
            <w:r>
              <w:rPr>
                <w:b/>
                <w:bCs/>
              </w:rPr>
              <w:t>6.4.3</w:t>
            </w:r>
          </w:p>
        </w:tc>
        <w:tc>
          <w:tcPr>
            <w:tcW w:w="2390" w:type="dxa"/>
          </w:tcPr>
          <w:p w14:paraId="7A515AB5" w14:textId="77777777" w:rsidR="009B0349" w:rsidRPr="003C6EF5" w:rsidRDefault="009B0349" w:rsidP="00175FF7">
            <w:r>
              <w:t>C</w:t>
            </w:r>
            <w:r w:rsidRPr="00667F68">
              <w:t>irculate more detailed breakdown of current family leave data for distribution to HoS’s</w:t>
            </w:r>
          </w:p>
        </w:tc>
        <w:tc>
          <w:tcPr>
            <w:tcW w:w="1463" w:type="dxa"/>
          </w:tcPr>
          <w:p w14:paraId="1E11C0A6" w14:textId="77777777" w:rsidR="009B0349" w:rsidRDefault="009B0349" w:rsidP="00175FF7">
            <w:pPr>
              <w:rPr>
                <w:b/>
                <w:bCs/>
              </w:rPr>
            </w:pPr>
            <w:r>
              <w:rPr>
                <w:b/>
                <w:bCs/>
              </w:rPr>
              <w:t>RT</w:t>
            </w:r>
          </w:p>
        </w:tc>
        <w:tc>
          <w:tcPr>
            <w:tcW w:w="3054" w:type="dxa"/>
          </w:tcPr>
          <w:p w14:paraId="2A18738D" w14:textId="77777777" w:rsidR="009B0349" w:rsidRPr="001C1AAF" w:rsidRDefault="009B0349" w:rsidP="00175FF7">
            <w:r>
              <w:t>Complete</w:t>
            </w:r>
          </w:p>
        </w:tc>
      </w:tr>
      <w:tr w:rsidR="009B0349" w:rsidRPr="000C5453" w14:paraId="0DC02C36" w14:textId="77777777" w:rsidTr="00BA620D">
        <w:tc>
          <w:tcPr>
            <w:tcW w:w="1388" w:type="dxa"/>
            <w:gridSpan w:val="2"/>
            <w:vMerge/>
          </w:tcPr>
          <w:p w14:paraId="67A05E8B" w14:textId="77777777" w:rsidR="009B0349" w:rsidRDefault="009B0349" w:rsidP="00175FF7">
            <w:pPr>
              <w:rPr>
                <w:b/>
                <w:bCs/>
              </w:rPr>
            </w:pPr>
          </w:p>
        </w:tc>
        <w:tc>
          <w:tcPr>
            <w:tcW w:w="914" w:type="dxa"/>
          </w:tcPr>
          <w:p w14:paraId="0E57F47C" w14:textId="77777777" w:rsidR="009B0349" w:rsidRDefault="009B0349" w:rsidP="00175FF7">
            <w:pPr>
              <w:rPr>
                <w:b/>
                <w:bCs/>
              </w:rPr>
            </w:pPr>
            <w:r>
              <w:rPr>
                <w:b/>
                <w:bCs/>
              </w:rPr>
              <w:t>6.4.4</w:t>
            </w:r>
          </w:p>
        </w:tc>
        <w:tc>
          <w:tcPr>
            <w:tcW w:w="2390" w:type="dxa"/>
          </w:tcPr>
          <w:p w14:paraId="5F4AE16F" w14:textId="77777777" w:rsidR="009B0349" w:rsidRDefault="009B0349" w:rsidP="00175FF7">
            <w:r>
              <w:t>Clarify rolling period for leave entitlement start/finish in policy</w:t>
            </w:r>
          </w:p>
        </w:tc>
        <w:tc>
          <w:tcPr>
            <w:tcW w:w="1463" w:type="dxa"/>
          </w:tcPr>
          <w:p w14:paraId="56B7357E" w14:textId="77777777" w:rsidR="009B0349" w:rsidRDefault="009B0349" w:rsidP="00175FF7">
            <w:pPr>
              <w:rPr>
                <w:b/>
                <w:bCs/>
              </w:rPr>
            </w:pPr>
            <w:r>
              <w:rPr>
                <w:b/>
                <w:bCs/>
              </w:rPr>
              <w:t>RT</w:t>
            </w:r>
          </w:p>
        </w:tc>
        <w:tc>
          <w:tcPr>
            <w:tcW w:w="3054" w:type="dxa"/>
          </w:tcPr>
          <w:p w14:paraId="4D8BF844" w14:textId="77777777" w:rsidR="009B0349" w:rsidRPr="001C1AAF" w:rsidRDefault="009B0349" w:rsidP="00175FF7">
            <w:r>
              <w:t>Complete</w:t>
            </w:r>
          </w:p>
        </w:tc>
      </w:tr>
      <w:tr w:rsidR="009B0349" w:rsidRPr="000C5453" w14:paraId="5B532BBE" w14:textId="77777777" w:rsidTr="00BA620D">
        <w:tc>
          <w:tcPr>
            <w:tcW w:w="1388" w:type="dxa"/>
            <w:gridSpan w:val="2"/>
            <w:vMerge/>
          </w:tcPr>
          <w:p w14:paraId="206CCF7D" w14:textId="77777777" w:rsidR="009B0349" w:rsidRDefault="009B0349" w:rsidP="00175FF7">
            <w:pPr>
              <w:rPr>
                <w:b/>
                <w:bCs/>
              </w:rPr>
            </w:pPr>
          </w:p>
        </w:tc>
        <w:tc>
          <w:tcPr>
            <w:tcW w:w="914" w:type="dxa"/>
          </w:tcPr>
          <w:p w14:paraId="0960A6E9" w14:textId="77777777" w:rsidR="009B0349" w:rsidRDefault="009B0349" w:rsidP="00175FF7">
            <w:pPr>
              <w:rPr>
                <w:b/>
                <w:bCs/>
              </w:rPr>
            </w:pPr>
            <w:r>
              <w:rPr>
                <w:b/>
                <w:bCs/>
              </w:rPr>
              <w:t>6.4.5</w:t>
            </w:r>
          </w:p>
        </w:tc>
        <w:tc>
          <w:tcPr>
            <w:tcW w:w="2390" w:type="dxa"/>
          </w:tcPr>
          <w:p w14:paraId="5BEFEA78" w14:textId="77777777" w:rsidR="009B0349" w:rsidRDefault="009B0349" w:rsidP="00175FF7">
            <w:r>
              <w:t>Change policy review reference to annually</w:t>
            </w:r>
          </w:p>
        </w:tc>
        <w:tc>
          <w:tcPr>
            <w:tcW w:w="1463" w:type="dxa"/>
          </w:tcPr>
          <w:p w14:paraId="1E02F5C8" w14:textId="77777777" w:rsidR="009B0349" w:rsidRDefault="009B0349" w:rsidP="00175FF7">
            <w:pPr>
              <w:rPr>
                <w:b/>
                <w:bCs/>
              </w:rPr>
            </w:pPr>
            <w:r>
              <w:rPr>
                <w:b/>
                <w:bCs/>
              </w:rPr>
              <w:t>RT</w:t>
            </w:r>
          </w:p>
        </w:tc>
        <w:tc>
          <w:tcPr>
            <w:tcW w:w="3054" w:type="dxa"/>
          </w:tcPr>
          <w:p w14:paraId="729BBA9E" w14:textId="77777777" w:rsidR="009B0349" w:rsidRPr="001C1AAF" w:rsidRDefault="009B0349" w:rsidP="00175FF7">
            <w:r>
              <w:t>Complete</w:t>
            </w:r>
          </w:p>
        </w:tc>
      </w:tr>
      <w:tr w:rsidR="009B0349" w:rsidRPr="000C5453" w14:paraId="25F4FB2B" w14:textId="77777777" w:rsidTr="00BA620D">
        <w:tc>
          <w:tcPr>
            <w:tcW w:w="1388" w:type="dxa"/>
            <w:gridSpan w:val="2"/>
            <w:vMerge/>
          </w:tcPr>
          <w:p w14:paraId="20C20B0A" w14:textId="77777777" w:rsidR="009B0349" w:rsidRDefault="009B0349" w:rsidP="00175FF7">
            <w:pPr>
              <w:rPr>
                <w:b/>
                <w:bCs/>
              </w:rPr>
            </w:pPr>
          </w:p>
        </w:tc>
        <w:tc>
          <w:tcPr>
            <w:tcW w:w="914" w:type="dxa"/>
          </w:tcPr>
          <w:p w14:paraId="4F2E5181" w14:textId="77777777" w:rsidR="009B0349" w:rsidRDefault="009B0349" w:rsidP="00175FF7">
            <w:pPr>
              <w:rPr>
                <w:b/>
                <w:bCs/>
              </w:rPr>
            </w:pPr>
            <w:r>
              <w:rPr>
                <w:b/>
                <w:bCs/>
              </w:rPr>
              <w:t>7.1</w:t>
            </w:r>
          </w:p>
        </w:tc>
        <w:tc>
          <w:tcPr>
            <w:tcW w:w="2390" w:type="dxa"/>
          </w:tcPr>
          <w:p w14:paraId="3EF997A8" w14:textId="77777777" w:rsidR="009B0349" w:rsidRDefault="009B0349" w:rsidP="00175FF7">
            <w:r>
              <w:t>Create a plan for a targeted approach to comms around PRES to increase engagement during survey season</w:t>
            </w:r>
          </w:p>
        </w:tc>
        <w:tc>
          <w:tcPr>
            <w:tcW w:w="1463" w:type="dxa"/>
          </w:tcPr>
          <w:p w14:paraId="083BE10D" w14:textId="77777777" w:rsidR="009B0349" w:rsidRDefault="009B0349" w:rsidP="00175FF7">
            <w:pPr>
              <w:rPr>
                <w:b/>
                <w:bCs/>
              </w:rPr>
            </w:pPr>
            <w:r>
              <w:rPr>
                <w:b/>
                <w:bCs/>
              </w:rPr>
              <w:t>SP/LL</w:t>
            </w:r>
          </w:p>
        </w:tc>
        <w:tc>
          <w:tcPr>
            <w:tcW w:w="3054" w:type="dxa"/>
          </w:tcPr>
          <w:p w14:paraId="7C355B1A" w14:textId="77777777" w:rsidR="009B0349" w:rsidRPr="001C1AAF" w:rsidRDefault="009B0349" w:rsidP="00175FF7">
            <w:r>
              <w:t>Complete</w:t>
            </w:r>
          </w:p>
        </w:tc>
      </w:tr>
      <w:tr w:rsidR="009B0349" w:rsidRPr="000C5453" w14:paraId="2E9D9FB5" w14:textId="77777777" w:rsidTr="00BA620D">
        <w:tc>
          <w:tcPr>
            <w:tcW w:w="1388" w:type="dxa"/>
            <w:gridSpan w:val="2"/>
            <w:vMerge/>
          </w:tcPr>
          <w:p w14:paraId="42546AE0" w14:textId="77777777" w:rsidR="009B0349" w:rsidRDefault="009B0349" w:rsidP="00175FF7">
            <w:pPr>
              <w:rPr>
                <w:b/>
                <w:bCs/>
              </w:rPr>
            </w:pPr>
          </w:p>
        </w:tc>
        <w:tc>
          <w:tcPr>
            <w:tcW w:w="914" w:type="dxa"/>
          </w:tcPr>
          <w:p w14:paraId="3B94ED70" w14:textId="77777777" w:rsidR="009B0349" w:rsidRDefault="009B0349" w:rsidP="00175FF7">
            <w:pPr>
              <w:rPr>
                <w:b/>
                <w:bCs/>
              </w:rPr>
            </w:pPr>
            <w:r>
              <w:rPr>
                <w:b/>
                <w:bCs/>
              </w:rPr>
              <w:t>11.2</w:t>
            </w:r>
          </w:p>
        </w:tc>
        <w:tc>
          <w:tcPr>
            <w:tcW w:w="2390" w:type="dxa"/>
          </w:tcPr>
          <w:p w14:paraId="5B65C843" w14:textId="77777777" w:rsidR="009B0349" w:rsidRDefault="009B0349" w:rsidP="00175FF7">
            <w:r>
              <w:t>Invite Ethics Team to next PGR Reps meeting</w:t>
            </w:r>
          </w:p>
        </w:tc>
        <w:tc>
          <w:tcPr>
            <w:tcW w:w="1463" w:type="dxa"/>
          </w:tcPr>
          <w:p w14:paraId="6AC0A5BA" w14:textId="77777777" w:rsidR="009B0349" w:rsidRDefault="009B0349" w:rsidP="00175FF7">
            <w:pPr>
              <w:rPr>
                <w:b/>
                <w:bCs/>
              </w:rPr>
            </w:pPr>
            <w:r>
              <w:rPr>
                <w:b/>
                <w:bCs/>
              </w:rPr>
              <w:t>GC/RT</w:t>
            </w:r>
          </w:p>
        </w:tc>
        <w:tc>
          <w:tcPr>
            <w:tcW w:w="3054" w:type="dxa"/>
          </w:tcPr>
          <w:p w14:paraId="7BA2C648" w14:textId="77777777" w:rsidR="009B0349" w:rsidRPr="001C1AAF" w:rsidRDefault="009B0349" w:rsidP="00175FF7">
            <w:r>
              <w:t>Complete</w:t>
            </w:r>
          </w:p>
        </w:tc>
      </w:tr>
      <w:tr w:rsidR="009B0349" w:rsidRPr="000C5453" w14:paraId="6242C8FE" w14:textId="77777777" w:rsidTr="00BA620D">
        <w:tc>
          <w:tcPr>
            <w:tcW w:w="1388" w:type="dxa"/>
            <w:gridSpan w:val="2"/>
            <w:vMerge/>
          </w:tcPr>
          <w:p w14:paraId="7004BDCA" w14:textId="77777777" w:rsidR="009B0349" w:rsidRDefault="009B0349" w:rsidP="00175FF7">
            <w:pPr>
              <w:rPr>
                <w:b/>
                <w:bCs/>
              </w:rPr>
            </w:pPr>
          </w:p>
        </w:tc>
        <w:tc>
          <w:tcPr>
            <w:tcW w:w="914" w:type="dxa"/>
          </w:tcPr>
          <w:p w14:paraId="00F1E2D3" w14:textId="77777777" w:rsidR="009B0349" w:rsidRDefault="009B0349" w:rsidP="00175FF7">
            <w:pPr>
              <w:rPr>
                <w:b/>
                <w:bCs/>
              </w:rPr>
            </w:pPr>
            <w:r>
              <w:rPr>
                <w:b/>
                <w:bCs/>
              </w:rPr>
              <w:t>12.3</w:t>
            </w:r>
          </w:p>
        </w:tc>
        <w:tc>
          <w:tcPr>
            <w:tcW w:w="2390" w:type="dxa"/>
          </w:tcPr>
          <w:p w14:paraId="5A97769E" w14:textId="77777777" w:rsidR="009B0349" w:rsidRDefault="009B0349" w:rsidP="00175FF7">
            <w:r>
              <w:t xml:space="preserve">Liaise with SGSAH to push for earlier communication on their induction and event dates. </w:t>
            </w:r>
          </w:p>
        </w:tc>
        <w:tc>
          <w:tcPr>
            <w:tcW w:w="1463" w:type="dxa"/>
          </w:tcPr>
          <w:p w14:paraId="7FAE6D8D" w14:textId="77777777" w:rsidR="009B0349" w:rsidRDefault="009B0349" w:rsidP="00175FF7">
            <w:pPr>
              <w:rPr>
                <w:b/>
                <w:bCs/>
              </w:rPr>
            </w:pPr>
            <w:r>
              <w:rPr>
                <w:b/>
                <w:bCs/>
              </w:rPr>
              <w:t>AMJ</w:t>
            </w:r>
          </w:p>
        </w:tc>
        <w:tc>
          <w:tcPr>
            <w:tcW w:w="3054" w:type="dxa"/>
          </w:tcPr>
          <w:p w14:paraId="61ADC3F0" w14:textId="77777777" w:rsidR="009B0349" w:rsidRPr="001C1AAF" w:rsidRDefault="009B0349" w:rsidP="00175FF7">
            <w:r>
              <w:t>Complete</w:t>
            </w:r>
          </w:p>
        </w:tc>
      </w:tr>
      <w:bookmarkEnd w:id="0"/>
      <w:bookmarkEnd w:id="1"/>
    </w:tbl>
    <w:p w14:paraId="4C6D7213" w14:textId="77777777" w:rsidR="009B0349" w:rsidRDefault="009B0349" w:rsidP="009B0349">
      <w:pPr>
        <w:ind w:left="0"/>
        <w:rPr>
          <w:b/>
          <w:bCs/>
        </w:rPr>
      </w:pPr>
    </w:p>
    <w:p w14:paraId="20F85F68" w14:textId="77777777" w:rsidR="00B25570" w:rsidRDefault="00B25570" w:rsidP="009B0349">
      <w:pPr>
        <w:ind w:left="0"/>
        <w:rPr>
          <w:b/>
          <w:bCs/>
        </w:rPr>
      </w:pPr>
    </w:p>
    <w:p w14:paraId="4DC55EB2" w14:textId="77777777" w:rsidR="00B25570" w:rsidRDefault="00B25570" w:rsidP="009B0349">
      <w:pPr>
        <w:ind w:left="0"/>
        <w:rPr>
          <w:b/>
          <w:bCs/>
        </w:rPr>
      </w:pPr>
    </w:p>
    <w:p w14:paraId="3CCE38C8" w14:textId="77777777" w:rsidR="00B25570" w:rsidRDefault="00B25570" w:rsidP="009B0349">
      <w:pPr>
        <w:ind w:left="0"/>
        <w:rPr>
          <w:b/>
          <w:bCs/>
        </w:rPr>
      </w:pPr>
    </w:p>
    <w:p w14:paraId="17087F3F" w14:textId="77777777" w:rsidR="00B25570" w:rsidRDefault="00B25570" w:rsidP="009B0349">
      <w:pPr>
        <w:ind w:left="0"/>
        <w:rPr>
          <w:b/>
          <w:bCs/>
        </w:rPr>
      </w:pPr>
    </w:p>
    <w:p w14:paraId="5A597085" w14:textId="77777777" w:rsidR="00B25570" w:rsidRDefault="00B25570" w:rsidP="009B0349">
      <w:pPr>
        <w:ind w:left="0"/>
        <w:rPr>
          <w:b/>
          <w:bCs/>
        </w:rPr>
      </w:pPr>
    </w:p>
    <w:p w14:paraId="6017F436" w14:textId="77777777" w:rsidR="00B25570" w:rsidRDefault="00B25570" w:rsidP="009B0349">
      <w:pPr>
        <w:ind w:left="0"/>
        <w:rPr>
          <w:b/>
          <w:bCs/>
        </w:rPr>
      </w:pPr>
    </w:p>
    <w:p w14:paraId="4012C5E5" w14:textId="77777777" w:rsidR="00B25570" w:rsidRDefault="00B25570" w:rsidP="009B0349">
      <w:pPr>
        <w:ind w:left="0"/>
        <w:rPr>
          <w:b/>
          <w:bCs/>
        </w:rPr>
      </w:pPr>
    </w:p>
    <w:p w14:paraId="1F33A26D" w14:textId="77777777" w:rsidR="00B25570" w:rsidRDefault="00B25570" w:rsidP="009B0349">
      <w:pPr>
        <w:ind w:left="0"/>
        <w:rPr>
          <w:b/>
          <w:bCs/>
        </w:rPr>
      </w:pPr>
    </w:p>
    <w:p w14:paraId="44C1EBC6" w14:textId="77777777" w:rsidR="00B25570" w:rsidRDefault="00B25570" w:rsidP="009B0349">
      <w:pPr>
        <w:ind w:left="0"/>
        <w:rPr>
          <w:b/>
          <w:bCs/>
        </w:rPr>
      </w:pPr>
    </w:p>
    <w:p w14:paraId="46D5D752" w14:textId="77777777" w:rsidR="00B25570" w:rsidRDefault="00B25570" w:rsidP="009B0349">
      <w:pPr>
        <w:ind w:left="0"/>
        <w:rPr>
          <w:b/>
          <w:bCs/>
        </w:rPr>
      </w:pPr>
    </w:p>
    <w:p w14:paraId="17A8DAAD" w14:textId="77777777" w:rsidR="00B25570" w:rsidRDefault="00B25570" w:rsidP="009B0349">
      <w:pPr>
        <w:ind w:left="0"/>
        <w:rPr>
          <w:b/>
          <w:bCs/>
        </w:rPr>
      </w:pPr>
    </w:p>
    <w:p w14:paraId="1940AAFA" w14:textId="77777777" w:rsidR="00B25570" w:rsidRDefault="00B25570" w:rsidP="009B0349">
      <w:pPr>
        <w:ind w:left="0"/>
        <w:rPr>
          <w:b/>
          <w:bCs/>
        </w:rPr>
      </w:pPr>
    </w:p>
    <w:p w14:paraId="59DFC2B9" w14:textId="77777777" w:rsidR="00B25570" w:rsidRDefault="00B25570" w:rsidP="009B0349">
      <w:pPr>
        <w:ind w:left="0"/>
        <w:rPr>
          <w:b/>
          <w:bCs/>
        </w:rPr>
      </w:pPr>
    </w:p>
    <w:p w14:paraId="01590216" w14:textId="77777777" w:rsidR="00B25570" w:rsidRDefault="00B25570" w:rsidP="009B0349">
      <w:pPr>
        <w:ind w:left="0"/>
        <w:rPr>
          <w:b/>
          <w:bCs/>
        </w:rPr>
      </w:pPr>
    </w:p>
    <w:p w14:paraId="10C39DB0" w14:textId="77777777" w:rsidR="00B25570" w:rsidRDefault="00B25570" w:rsidP="009B0349">
      <w:pPr>
        <w:ind w:left="0"/>
        <w:rPr>
          <w:b/>
          <w:bCs/>
        </w:rPr>
      </w:pPr>
    </w:p>
    <w:p w14:paraId="7CF8FC2B" w14:textId="77777777" w:rsidR="00B25570" w:rsidRDefault="00B25570" w:rsidP="009B0349">
      <w:pPr>
        <w:ind w:left="0"/>
        <w:rPr>
          <w:b/>
          <w:bCs/>
        </w:rPr>
      </w:pPr>
    </w:p>
    <w:p w14:paraId="06C69B9D" w14:textId="77777777" w:rsidR="00CE0987" w:rsidRDefault="00CE0987" w:rsidP="009B0349">
      <w:pPr>
        <w:ind w:left="0"/>
        <w:rPr>
          <w:b/>
          <w:bCs/>
        </w:rPr>
      </w:pPr>
    </w:p>
    <w:p w14:paraId="6D7B2CD2" w14:textId="77777777" w:rsidR="00CE0987" w:rsidRDefault="00CE0987" w:rsidP="009B0349">
      <w:pPr>
        <w:ind w:left="0"/>
        <w:rPr>
          <w:b/>
          <w:bCs/>
        </w:rPr>
      </w:pPr>
    </w:p>
    <w:p w14:paraId="44E216BD" w14:textId="77777777" w:rsidR="00861389" w:rsidRPr="009B0349" w:rsidRDefault="00861389" w:rsidP="009B0349">
      <w:pPr>
        <w:ind w:left="0"/>
        <w:rPr>
          <w:b/>
          <w:bCs/>
        </w:rPr>
      </w:pPr>
    </w:p>
    <w:p w14:paraId="591936CD" w14:textId="0F762AD8" w:rsidR="00570291" w:rsidRPr="009B0349" w:rsidRDefault="00570291" w:rsidP="00C94CE4">
      <w:pPr>
        <w:pStyle w:val="ListParagraph"/>
        <w:numPr>
          <w:ilvl w:val="0"/>
          <w:numId w:val="14"/>
        </w:numPr>
        <w:rPr>
          <w:b/>
          <w:bCs/>
        </w:rPr>
      </w:pPr>
      <w:r w:rsidRPr="009B0349">
        <w:rPr>
          <w:b/>
          <w:bCs/>
        </w:rPr>
        <w:t>Policies Revisited</w:t>
      </w:r>
    </w:p>
    <w:p w14:paraId="375839FA" w14:textId="595BB4E1" w:rsidR="00570291" w:rsidRPr="00570291" w:rsidRDefault="00570291" w:rsidP="00C94CE4">
      <w:pPr>
        <w:numPr>
          <w:ilvl w:val="1"/>
          <w:numId w:val="14"/>
        </w:numPr>
      </w:pPr>
      <w:r w:rsidRPr="00570291">
        <w:t xml:space="preserve">SP </w:t>
      </w:r>
      <w:r w:rsidR="006D0A3A">
        <w:t>provided brief overview of policies</w:t>
      </w:r>
      <w:r w:rsidR="00EB7BCD">
        <w:t xml:space="preserve">; </w:t>
      </w:r>
      <w:r w:rsidRPr="00570291">
        <w:t xml:space="preserve">language </w:t>
      </w:r>
      <w:r w:rsidR="00EB7BCD">
        <w:t>chosen to account for</w:t>
      </w:r>
      <w:r w:rsidRPr="00570291">
        <w:t xml:space="preserve"> school flexibility.</w:t>
      </w:r>
    </w:p>
    <w:p w14:paraId="4EB50E0D" w14:textId="699EEE10" w:rsidR="00570291" w:rsidRPr="00570291" w:rsidRDefault="00570291" w:rsidP="00C94CE4">
      <w:pPr>
        <w:numPr>
          <w:ilvl w:val="1"/>
          <w:numId w:val="14"/>
        </w:numPr>
      </w:pPr>
      <w:r w:rsidRPr="00570291">
        <w:t>Recognition of</w:t>
      </w:r>
      <w:r w:rsidR="008564E5">
        <w:t xml:space="preserve"> potential</w:t>
      </w:r>
      <w:r w:rsidRPr="00570291">
        <w:t xml:space="preserve"> inequities between schools</w:t>
      </w:r>
      <w:r w:rsidR="008564E5">
        <w:t xml:space="preserve"> arising due to the </w:t>
      </w:r>
      <w:r w:rsidR="009A488E">
        <w:t>above-mentioned flexibility</w:t>
      </w:r>
      <w:r w:rsidRPr="00570291">
        <w:t>.</w:t>
      </w:r>
      <w:r w:rsidR="009A488E">
        <w:t xml:space="preserve"> SM is also concerned that school funding will vary year-on-year </w:t>
      </w:r>
      <w:r w:rsidR="00026B32">
        <w:t xml:space="preserve">which can cause further </w:t>
      </w:r>
      <w:r w:rsidR="0055441A">
        <w:t xml:space="preserve">inequalities for students </w:t>
      </w:r>
      <w:r w:rsidR="004C21C0">
        <w:t>throughout</w:t>
      </w:r>
      <w:r w:rsidR="0055441A">
        <w:t xml:space="preserve"> the</w:t>
      </w:r>
      <w:r w:rsidR="004C21C0">
        <w:t xml:space="preserve"> length of their degree programme. </w:t>
      </w:r>
    </w:p>
    <w:p w14:paraId="12E8E796" w14:textId="41CD32C4" w:rsidR="00570291" w:rsidRPr="00570291" w:rsidRDefault="00570291" w:rsidP="00C94CE4">
      <w:pPr>
        <w:numPr>
          <w:ilvl w:val="1"/>
          <w:numId w:val="14"/>
        </w:numPr>
      </w:pPr>
      <w:r w:rsidRPr="00570291">
        <w:t xml:space="preserve">RT emphasised importance of policies being live </w:t>
      </w:r>
      <w:r w:rsidR="00A77CD7">
        <w:t>but also</w:t>
      </w:r>
      <w:r w:rsidRPr="00570291">
        <w:t xml:space="preserve"> fit for purpose.</w:t>
      </w:r>
      <w:r w:rsidR="00A77CD7">
        <w:t xml:space="preserve"> </w:t>
      </w:r>
      <w:r w:rsidR="00361F9E">
        <w:t xml:space="preserve">RT also outlines the changes made for the newest version of the policies based on feedback provided by </w:t>
      </w:r>
      <w:r w:rsidR="00761B4C">
        <w:t xml:space="preserve">the committee. </w:t>
      </w:r>
    </w:p>
    <w:p w14:paraId="53D0769C" w14:textId="3CF91000" w:rsidR="00570291" w:rsidRPr="00570291" w:rsidRDefault="00570291" w:rsidP="00C94CE4">
      <w:pPr>
        <w:numPr>
          <w:ilvl w:val="1"/>
          <w:numId w:val="14"/>
        </w:numPr>
      </w:pPr>
      <w:r w:rsidRPr="00570291">
        <w:t xml:space="preserve">Concerns raised (SM, MM) about inequalities and leave entitlements, particularly for </w:t>
      </w:r>
      <w:r w:rsidR="00761B4C" w:rsidRPr="00570291">
        <w:t>master’s</w:t>
      </w:r>
      <w:r w:rsidRPr="00570291">
        <w:t xml:space="preserve"> by Research students.</w:t>
      </w:r>
      <w:r w:rsidR="004C21C0">
        <w:t xml:space="preserve"> </w:t>
      </w:r>
      <w:r w:rsidR="005F0C97">
        <w:t xml:space="preserve">RT/LL explained the significant difference comes from the short length of the </w:t>
      </w:r>
      <w:r w:rsidR="00761B4C">
        <w:t>master’s</w:t>
      </w:r>
      <w:r w:rsidR="005F0C97">
        <w:t xml:space="preserve"> programme and the need to ensure the projects are completed within the </w:t>
      </w:r>
      <w:r w:rsidR="00A77CD7">
        <w:t xml:space="preserve">appropriate timeframe. </w:t>
      </w:r>
      <w:r w:rsidR="00B1124A">
        <w:t>SM was unable to support the policy in its current format.</w:t>
      </w:r>
    </w:p>
    <w:p w14:paraId="7F6325FF" w14:textId="616EB1CE" w:rsidR="00570291" w:rsidRPr="00570291" w:rsidRDefault="00570291" w:rsidP="00C94CE4">
      <w:pPr>
        <w:numPr>
          <w:ilvl w:val="1"/>
          <w:numId w:val="14"/>
        </w:numPr>
      </w:pPr>
      <w:r w:rsidRPr="00570291">
        <w:rPr>
          <w:b/>
          <w:bCs/>
        </w:rPr>
        <w:t>Decision:</w:t>
      </w:r>
      <w:r w:rsidRPr="00570291">
        <w:t xml:space="preserve"> Policies approved</w:t>
      </w:r>
      <w:r w:rsidR="00B1124A">
        <w:t xml:space="preserve"> by quorum vote</w:t>
      </w:r>
      <w:r w:rsidRPr="00570291">
        <w:t xml:space="preserve"> to progress</w:t>
      </w:r>
      <w:r w:rsidR="00761B4C">
        <w:t xml:space="preserve"> for approval by QAC. Committee</w:t>
      </w:r>
      <w:r w:rsidRPr="00570291">
        <w:t xml:space="preserve"> recognis</w:t>
      </w:r>
      <w:r w:rsidR="00761B4C">
        <w:t>es</w:t>
      </w:r>
      <w:r w:rsidRPr="00570291">
        <w:t xml:space="preserve"> inequities </w:t>
      </w:r>
      <w:r w:rsidR="00761B4C">
        <w:t xml:space="preserve">might arise which </w:t>
      </w:r>
      <w:r w:rsidR="00C7112F">
        <w:t xml:space="preserve">will need </w:t>
      </w:r>
      <w:r w:rsidRPr="00570291">
        <w:t>to be addressed case by case.</w:t>
      </w:r>
    </w:p>
    <w:p w14:paraId="19B593FC" w14:textId="22E970EF" w:rsidR="00570291" w:rsidRPr="00BC7959" w:rsidRDefault="00570291" w:rsidP="00C94CE4">
      <w:pPr>
        <w:pStyle w:val="ListParagraph"/>
        <w:numPr>
          <w:ilvl w:val="0"/>
          <w:numId w:val="14"/>
        </w:numPr>
        <w:rPr>
          <w:b/>
          <w:bCs/>
        </w:rPr>
      </w:pPr>
      <w:r w:rsidRPr="00BC7959">
        <w:rPr>
          <w:b/>
          <w:bCs/>
        </w:rPr>
        <w:t>Integration of DNA into APE</w:t>
      </w:r>
    </w:p>
    <w:p w14:paraId="65FAF732" w14:textId="77777777" w:rsidR="00570291" w:rsidRPr="00570291" w:rsidRDefault="00570291" w:rsidP="00C94CE4">
      <w:pPr>
        <w:numPr>
          <w:ilvl w:val="1"/>
          <w:numId w:val="14"/>
        </w:numPr>
      </w:pPr>
      <w:r w:rsidRPr="00570291">
        <w:t>SP presented DNA overview; comms circulated to students, admins, PGOs.</w:t>
      </w:r>
    </w:p>
    <w:p w14:paraId="67EA3265" w14:textId="02664885" w:rsidR="00570291" w:rsidRPr="00570291" w:rsidRDefault="00570291" w:rsidP="00C94CE4">
      <w:pPr>
        <w:numPr>
          <w:ilvl w:val="1"/>
          <w:numId w:val="14"/>
        </w:numPr>
      </w:pPr>
      <w:r w:rsidRPr="006F5B32">
        <w:rPr>
          <w:b/>
          <w:bCs/>
        </w:rPr>
        <w:t>Proposal</w:t>
      </w:r>
      <w:r w:rsidRPr="00570291">
        <w:t xml:space="preserve">: DNA log submitted alongside Year 1 APE; </w:t>
      </w:r>
      <w:r w:rsidR="00C7112F">
        <w:t xml:space="preserve">APE </w:t>
      </w:r>
      <w:r w:rsidRPr="00570291">
        <w:t>review panel to confirm receipt.</w:t>
      </w:r>
    </w:p>
    <w:p w14:paraId="1E9C48DA" w14:textId="77777777" w:rsidR="00570291" w:rsidRPr="00570291" w:rsidRDefault="00570291" w:rsidP="00C94CE4">
      <w:pPr>
        <w:numPr>
          <w:ilvl w:val="1"/>
          <w:numId w:val="14"/>
        </w:numPr>
      </w:pPr>
      <w:r w:rsidRPr="006F5B32">
        <w:rPr>
          <w:b/>
          <w:bCs/>
        </w:rPr>
        <w:t>Discussion points</w:t>
      </w:r>
      <w:r w:rsidRPr="00570291">
        <w:t>:</w:t>
      </w:r>
    </w:p>
    <w:p w14:paraId="6CA385D8" w14:textId="59A8B424" w:rsidR="00570291" w:rsidRPr="00570291" w:rsidRDefault="007B185A" w:rsidP="00C94CE4">
      <w:pPr>
        <w:numPr>
          <w:ilvl w:val="2"/>
          <w:numId w:val="14"/>
        </w:numPr>
      </w:pPr>
      <w:r>
        <w:t>AG requested clarification on DNA a</w:t>
      </w:r>
      <w:r w:rsidR="00570291" w:rsidRPr="00570291">
        <w:t>pplicability to professional doctorates</w:t>
      </w:r>
      <w:r>
        <w:t xml:space="preserve"> in their first 2 years of study. MS</w:t>
      </w:r>
      <w:r w:rsidR="006354D2">
        <w:t xml:space="preserve">/LL </w:t>
      </w:r>
      <w:r w:rsidR="005F22A9">
        <w:t xml:space="preserve">confirmed that the DNA will apply for their research year only. </w:t>
      </w:r>
    </w:p>
    <w:p w14:paraId="5852A794" w14:textId="6D93EC82" w:rsidR="00570291" w:rsidRPr="00570291" w:rsidRDefault="00570291" w:rsidP="00C94CE4">
      <w:pPr>
        <w:numPr>
          <w:ilvl w:val="2"/>
          <w:numId w:val="14"/>
        </w:numPr>
      </w:pPr>
      <w:r w:rsidRPr="00570291">
        <w:t>Communication timeline causing confusion</w:t>
      </w:r>
      <w:r w:rsidR="00305A1E">
        <w:t xml:space="preserve"> for students and supervisors</w:t>
      </w:r>
      <w:r w:rsidRPr="00570291">
        <w:t>.</w:t>
      </w:r>
      <w:r w:rsidR="00305A1E">
        <w:t xml:space="preserve"> Reference to month 9 to be removed from communication </w:t>
      </w:r>
      <w:r w:rsidR="00950296">
        <w:t xml:space="preserve">to account for different timelines </w:t>
      </w:r>
      <w:r w:rsidR="00540EC2">
        <w:t xml:space="preserve">of schools. </w:t>
      </w:r>
      <w:r w:rsidR="009E094F" w:rsidRPr="0092185C">
        <w:rPr>
          <w:highlight w:val="yellow"/>
        </w:rPr>
        <w:t>ACTION</w:t>
      </w:r>
      <w:r w:rsidR="009E094F">
        <w:t xml:space="preserve">: MS to review communications to ensure </w:t>
      </w:r>
      <w:r w:rsidR="003F386B">
        <w:t xml:space="preserve">any potential confusion points are addressed. </w:t>
      </w:r>
    </w:p>
    <w:p w14:paraId="75F3B932" w14:textId="4ADA80D5" w:rsidR="00570291" w:rsidRDefault="005C5890" w:rsidP="00C94CE4">
      <w:pPr>
        <w:numPr>
          <w:ilvl w:val="2"/>
          <w:numId w:val="14"/>
        </w:numPr>
      </w:pPr>
      <w:r>
        <w:t xml:space="preserve">DHPA’s new APE process has some overlap with the DNA. DHPA to share wording around development from the APE </w:t>
      </w:r>
      <w:r w:rsidR="00DF59D4">
        <w:t>with MS to determine if that’s sufficient to cover the DNA. It</w:t>
      </w:r>
      <w:r w:rsidR="0091292F">
        <w:t xml:space="preserve"> i</w:t>
      </w:r>
      <w:r w:rsidR="00DF59D4">
        <w:t>s advised that while the APE might ask questions around development the DNA log is a worksheet that will make it easier for the student to track their progress and can easily be appended to the APE. It</w:t>
      </w:r>
      <w:r w:rsidR="0091292F">
        <w:t xml:space="preserve"> i</w:t>
      </w:r>
      <w:r w:rsidR="00DF59D4">
        <w:t xml:space="preserve">s meant to work alongside the APE not against it. </w:t>
      </w:r>
    </w:p>
    <w:p w14:paraId="15C04C96" w14:textId="2EBEA5B0" w:rsidR="004400DF" w:rsidRPr="00570291" w:rsidRDefault="004400DF" w:rsidP="00C94CE4">
      <w:pPr>
        <w:numPr>
          <w:ilvl w:val="2"/>
          <w:numId w:val="14"/>
        </w:numPr>
      </w:pPr>
      <w:r>
        <w:t xml:space="preserve">Questions are raised </w:t>
      </w:r>
      <w:r w:rsidR="00B90D6B">
        <w:t>whether</w:t>
      </w:r>
      <w:r>
        <w:t xml:space="preserve"> the DNA log needs to be attached just to APE1 or also APE2. MS confirms that </w:t>
      </w:r>
      <w:r w:rsidR="00B90D6B">
        <w:t>the attachment is just relating to APE1 as it’s the starting point of the DNA use for the student. For following year, it can be updated regularly out with the APE.</w:t>
      </w:r>
    </w:p>
    <w:p w14:paraId="0DE19E1B" w14:textId="30BA9631" w:rsidR="00570291" w:rsidRDefault="00FE367F" w:rsidP="00C94CE4">
      <w:pPr>
        <w:numPr>
          <w:ilvl w:val="2"/>
          <w:numId w:val="14"/>
        </w:numPr>
      </w:pPr>
      <w:r>
        <w:t xml:space="preserve">Concerns raised about the DNA impacting workload for supervisors. </w:t>
      </w:r>
      <w:r w:rsidR="005F22A9">
        <w:t>LL emphasised that the</w:t>
      </w:r>
      <w:r w:rsidR="00570291" w:rsidRPr="00570291">
        <w:t xml:space="preserve"> DNA is student-</w:t>
      </w:r>
      <w:r w:rsidR="003D1E73" w:rsidRPr="00570291">
        <w:t>led and</w:t>
      </w:r>
      <w:r w:rsidR="005F22A9">
        <w:t xml:space="preserve"> should</w:t>
      </w:r>
      <w:r w:rsidR="00570291" w:rsidRPr="00570291">
        <w:t xml:space="preserve"> not </w:t>
      </w:r>
      <w:r w:rsidR="005F22A9">
        <w:t>create additional</w:t>
      </w:r>
      <w:r w:rsidR="00570291" w:rsidRPr="00570291">
        <w:t xml:space="preserve"> workload</w:t>
      </w:r>
      <w:r w:rsidR="005F22A9">
        <w:t xml:space="preserve"> for supervisors. </w:t>
      </w:r>
    </w:p>
    <w:p w14:paraId="33364F7F" w14:textId="5FCFA93B" w:rsidR="004A1F87" w:rsidRPr="00570291" w:rsidRDefault="004A1F87" w:rsidP="00C94CE4">
      <w:pPr>
        <w:numPr>
          <w:ilvl w:val="2"/>
          <w:numId w:val="14"/>
        </w:numPr>
      </w:pPr>
      <w:r>
        <w:t xml:space="preserve">DNA also applies for Masters by Research students, comms to be updated to reflect this. </w:t>
      </w:r>
      <w:r w:rsidRPr="002C7A73">
        <w:rPr>
          <w:highlight w:val="yellow"/>
        </w:rPr>
        <w:t>Action</w:t>
      </w:r>
      <w:r w:rsidR="002C7A73" w:rsidRPr="002C7A73">
        <w:rPr>
          <w:highlight w:val="yellow"/>
        </w:rPr>
        <w:t xml:space="preserve"> for MS</w:t>
      </w:r>
      <w:r w:rsidR="002C7A73">
        <w:t>.</w:t>
      </w:r>
    </w:p>
    <w:p w14:paraId="237B2237" w14:textId="77777777" w:rsidR="00570291" w:rsidRPr="00570291" w:rsidRDefault="00570291" w:rsidP="00C94CE4">
      <w:pPr>
        <w:numPr>
          <w:ilvl w:val="1"/>
          <w:numId w:val="14"/>
        </w:numPr>
      </w:pPr>
      <w:r w:rsidRPr="006F5B32">
        <w:rPr>
          <w:b/>
          <w:bCs/>
        </w:rPr>
        <w:t>Decision</w:t>
      </w:r>
      <w:r w:rsidRPr="00570291">
        <w:rPr>
          <w:b/>
          <w:bCs/>
        </w:rPr>
        <w:t>:</w:t>
      </w:r>
      <w:r w:rsidRPr="00570291">
        <w:t xml:space="preserve"> DNA to be appended to APE documentation.</w:t>
      </w:r>
    </w:p>
    <w:p w14:paraId="39BBA02B" w14:textId="520899BE" w:rsidR="00570291" w:rsidRPr="00BC7959" w:rsidRDefault="00570291" w:rsidP="00C94CE4">
      <w:pPr>
        <w:pStyle w:val="ListParagraph"/>
        <w:numPr>
          <w:ilvl w:val="0"/>
          <w:numId w:val="14"/>
        </w:numPr>
        <w:rPr>
          <w:b/>
          <w:bCs/>
        </w:rPr>
      </w:pPr>
      <w:r w:rsidRPr="00BC7959">
        <w:rPr>
          <w:b/>
          <w:bCs/>
        </w:rPr>
        <w:lastRenderedPageBreak/>
        <w:t>PGRC Annual Report AY 24/25</w:t>
      </w:r>
    </w:p>
    <w:p w14:paraId="05BF360C" w14:textId="1F93B449" w:rsidR="00570291" w:rsidRPr="00570291" w:rsidRDefault="00570291" w:rsidP="00900A7D">
      <w:pPr>
        <w:numPr>
          <w:ilvl w:val="1"/>
          <w:numId w:val="14"/>
        </w:numPr>
      </w:pPr>
      <w:r w:rsidRPr="00570291">
        <w:t>Report prepared for URC submission.</w:t>
      </w:r>
      <w:r w:rsidR="00900A7D">
        <w:t xml:space="preserve"> </w:t>
      </w:r>
      <w:r w:rsidRPr="00570291">
        <w:t xml:space="preserve">BM noted 50% of </w:t>
      </w:r>
      <w:r w:rsidR="00900A7D">
        <w:t>CoCs</w:t>
      </w:r>
      <w:r w:rsidRPr="00570291">
        <w:t xml:space="preserve"> involve extensions, effectively adding a year</w:t>
      </w:r>
      <w:r w:rsidR="00900A7D">
        <w:t xml:space="preserve"> to the overall study and queries</w:t>
      </w:r>
      <w:r w:rsidR="00DC026D">
        <w:t xml:space="preserve"> if offering a 4-year PhD is a good alternative</w:t>
      </w:r>
      <w:r w:rsidRPr="00570291">
        <w:t>.</w:t>
      </w:r>
      <w:r w:rsidR="00DC026D">
        <w:t xml:space="preserve"> Discussion focused on the </w:t>
      </w:r>
      <w:r w:rsidR="00591953">
        <w:t xml:space="preserve">implication of this for the university and students as well as funders expectations. Currently </w:t>
      </w:r>
      <w:r w:rsidR="004525B5">
        <w:t>there is a small fee for continuation beyond your 3rd year which many funders take advantage of to not spend funds on a 4</w:t>
      </w:r>
      <w:r w:rsidR="004525B5" w:rsidRPr="004525B5">
        <w:rPr>
          <w:vertAlign w:val="superscript"/>
        </w:rPr>
        <w:t>th</w:t>
      </w:r>
      <w:r w:rsidR="004525B5">
        <w:t xml:space="preserve"> year. </w:t>
      </w:r>
      <w:r w:rsidR="00CD7A8B">
        <w:t xml:space="preserve">Pressure should be put on sponsors to change </w:t>
      </w:r>
      <w:r w:rsidR="00694FA3">
        <w:t>these behaviour/expectations</w:t>
      </w:r>
      <w:r w:rsidR="000D4E11">
        <w:t xml:space="preserve"> as </w:t>
      </w:r>
      <w:r w:rsidR="00694FA3">
        <w:t>often</w:t>
      </w:r>
      <w:r w:rsidR="000D4E11">
        <w:t xml:space="preserve"> during the 4</w:t>
      </w:r>
      <w:r w:rsidR="000D4E11" w:rsidRPr="000D4E11">
        <w:rPr>
          <w:vertAlign w:val="superscript"/>
        </w:rPr>
        <w:t>th</w:t>
      </w:r>
      <w:r w:rsidR="000D4E11">
        <w:t xml:space="preserve"> year supervisors still continue to meet with their students despite fees not being paid</w:t>
      </w:r>
      <w:r w:rsidR="00CD7A8B">
        <w:t>.</w:t>
      </w:r>
      <w:r w:rsidR="000D4E11">
        <w:t xml:space="preserve"> LL highlights these discussions have happened before with registry </w:t>
      </w:r>
      <w:r w:rsidR="00694FA3">
        <w:t xml:space="preserve">but it’s difficult to implement and market when the current standard in the UK is 3-year degrees. </w:t>
      </w:r>
      <w:r w:rsidR="00CD7A8B">
        <w:t xml:space="preserve"> </w:t>
      </w:r>
    </w:p>
    <w:p w14:paraId="0C7301A0" w14:textId="6F811267" w:rsidR="00570291" w:rsidRPr="00570291" w:rsidRDefault="00570291" w:rsidP="00C94CE4">
      <w:pPr>
        <w:numPr>
          <w:ilvl w:val="1"/>
          <w:numId w:val="14"/>
        </w:numPr>
      </w:pPr>
      <w:r w:rsidRPr="002D641A">
        <w:rPr>
          <w:b/>
          <w:bCs/>
          <w:highlight w:val="yellow"/>
        </w:rPr>
        <w:t>Action</w:t>
      </w:r>
      <w:r w:rsidRPr="00570291">
        <w:rPr>
          <w:b/>
          <w:bCs/>
        </w:rPr>
        <w:t>:</w:t>
      </w:r>
      <w:r w:rsidRPr="00570291">
        <w:t xml:space="preserve"> Robert to revisit minimum study period; </w:t>
      </w:r>
      <w:r w:rsidR="00205815">
        <w:t>Discuss adding to agenda for one of the 2026 meetings</w:t>
      </w:r>
      <w:r w:rsidRPr="00570291">
        <w:t>.</w:t>
      </w:r>
    </w:p>
    <w:p w14:paraId="331221D4" w14:textId="3F41B9EC" w:rsidR="00570291" w:rsidRDefault="00570291" w:rsidP="00C94CE4">
      <w:pPr>
        <w:pStyle w:val="ListParagraph"/>
        <w:numPr>
          <w:ilvl w:val="0"/>
          <w:numId w:val="14"/>
        </w:numPr>
        <w:rPr>
          <w:b/>
          <w:bCs/>
        </w:rPr>
      </w:pPr>
      <w:r w:rsidRPr="00BC7959">
        <w:rPr>
          <w:b/>
          <w:bCs/>
        </w:rPr>
        <w:t>PGR Marketing and Recruitment</w:t>
      </w:r>
    </w:p>
    <w:p w14:paraId="5A06EE38" w14:textId="23438B1B" w:rsidR="009572A6" w:rsidRPr="00AF2E8D" w:rsidRDefault="009572A6" w:rsidP="009572A6">
      <w:pPr>
        <w:pStyle w:val="ListParagraph"/>
        <w:numPr>
          <w:ilvl w:val="1"/>
          <w:numId w:val="14"/>
        </w:numPr>
      </w:pPr>
      <w:r w:rsidRPr="00AF2E8D">
        <w:t>BH presented a PGR Marketing update to committee. Full update appended to minutes (</w:t>
      </w:r>
      <w:r w:rsidRPr="00AF2E8D">
        <w:rPr>
          <w:highlight w:val="yellow"/>
        </w:rPr>
        <w:t>PGR_</w:t>
      </w:r>
      <w:r w:rsidR="00AF2E8D" w:rsidRPr="00AF2E8D">
        <w:rPr>
          <w:highlight w:val="yellow"/>
        </w:rPr>
        <w:t>26_??</w:t>
      </w:r>
      <w:r w:rsidRPr="00AF2E8D">
        <w:rPr>
          <w:highlight w:val="yellow"/>
        </w:rPr>
        <w:t>)</w:t>
      </w:r>
    </w:p>
    <w:p w14:paraId="1E05E9EC" w14:textId="77777777" w:rsidR="0019254D" w:rsidRPr="0019254D" w:rsidRDefault="0019254D" w:rsidP="0019254D">
      <w:pPr>
        <w:pStyle w:val="ListParagraph"/>
        <w:numPr>
          <w:ilvl w:val="1"/>
          <w:numId w:val="14"/>
        </w:numPr>
      </w:pPr>
      <w:r w:rsidRPr="0019254D">
        <w:t>PGR Prospectus &amp; Factsheet: Prospectus ready pending design approval; printed copies expected for UG2PG in Feb. Admissions Factsheet complete and supporting consistent messaging.</w:t>
      </w:r>
    </w:p>
    <w:p w14:paraId="63EBBEFA" w14:textId="77777777" w:rsidR="0019254D" w:rsidRPr="0019254D" w:rsidRDefault="0019254D" w:rsidP="0019254D">
      <w:pPr>
        <w:pStyle w:val="ListParagraph"/>
        <w:numPr>
          <w:ilvl w:val="1"/>
          <w:numId w:val="14"/>
        </w:numPr>
      </w:pPr>
      <w:r w:rsidRPr="0019254D">
        <w:t>Design &amp; Web Review: New PGR visual identity agreed in principle; GA4 review completed with recommendations feeding into Q1 2026 updates.</w:t>
      </w:r>
    </w:p>
    <w:p w14:paraId="660A5828" w14:textId="77777777" w:rsidR="0019254D" w:rsidRPr="0019254D" w:rsidRDefault="0019254D" w:rsidP="0019254D">
      <w:pPr>
        <w:pStyle w:val="ListParagraph"/>
        <w:numPr>
          <w:ilvl w:val="1"/>
          <w:numId w:val="14"/>
        </w:numPr>
      </w:pPr>
      <w:r w:rsidRPr="0019254D">
        <w:t>Market Insight &amp; Testimonials: Sector trend analysis complete; seven testimonials submitted to support refreshed content.</w:t>
      </w:r>
    </w:p>
    <w:p w14:paraId="35E4E07B" w14:textId="77777777" w:rsidR="0019254D" w:rsidRPr="0019254D" w:rsidRDefault="0019254D" w:rsidP="0019254D">
      <w:pPr>
        <w:pStyle w:val="ListParagraph"/>
        <w:numPr>
          <w:ilvl w:val="1"/>
          <w:numId w:val="14"/>
        </w:numPr>
      </w:pPr>
      <w:r w:rsidRPr="0019254D">
        <w:t>Phase 2 (Feb–Apr 2026)</w:t>
      </w:r>
    </w:p>
    <w:p w14:paraId="2884A261" w14:textId="3ACBB2D2" w:rsidR="0019254D" w:rsidRPr="0019254D" w:rsidRDefault="0019254D" w:rsidP="009572A6">
      <w:pPr>
        <w:pStyle w:val="ListParagraph"/>
        <w:numPr>
          <w:ilvl w:val="2"/>
          <w:numId w:val="14"/>
        </w:numPr>
      </w:pPr>
      <w:r w:rsidRPr="0019254D">
        <w:t>UG2PG Event: Dedicated PGR presence confirmed</w:t>
      </w:r>
      <w:r w:rsidR="00AF2E8D">
        <w:t xml:space="preserve"> at University of Aberdeen UG</w:t>
      </w:r>
      <w:r w:rsidR="000867D6">
        <w:t>2PG event in Feb 2026</w:t>
      </w:r>
      <w:r w:rsidRPr="0019254D">
        <w:t>.</w:t>
      </w:r>
    </w:p>
    <w:p w14:paraId="035638F6" w14:textId="77777777" w:rsidR="0019254D" w:rsidRPr="0019254D" w:rsidRDefault="0019254D" w:rsidP="009572A6">
      <w:pPr>
        <w:pStyle w:val="ListParagraph"/>
        <w:numPr>
          <w:ilvl w:val="2"/>
          <w:numId w:val="14"/>
        </w:numPr>
      </w:pPr>
      <w:r w:rsidRPr="0019254D">
        <w:t>Campaign Launch: Paid digital campaign (Google, Meta, LinkedIn) plus Spotlight PGR Week.</w:t>
      </w:r>
    </w:p>
    <w:p w14:paraId="1DD3E10E" w14:textId="77777777" w:rsidR="0019254D" w:rsidRDefault="0019254D" w:rsidP="009572A6">
      <w:pPr>
        <w:pStyle w:val="ListParagraph"/>
        <w:numPr>
          <w:ilvl w:val="2"/>
          <w:numId w:val="14"/>
        </w:numPr>
      </w:pPr>
      <w:r w:rsidRPr="0019254D">
        <w:t>Content &amp; Toolkit: Continued case study development and creation of School marketing toolkit (templates, boilerplate text, social assets).</w:t>
      </w:r>
    </w:p>
    <w:p w14:paraId="1F1F0B34" w14:textId="3FD7EBAD" w:rsidR="00A53E96" w:rsidRPr="0019254D" w:rsidRDefault="00A53E96" w:rsidP="00F76624">
      <w:pPr>
        <w:pStyle w:val="ListParagraph"/>
        <w:ind w:left="1224"/>
      </w:pPr>
      <w:r>
        <w:t>7.6</w:t>
      </w:r>
      <w:r w:rsidR="00F76624">
        <w:t xml:space="preserve"> BH to update at next meeting</w:t>
      </w:r>
    </w:p>
    <w:p w14:paraId="6126DF77" w14:textId="4A52CEB3" w:rsidR="00570291" w:rsidRPr="00BC7959" w:rsidRDefault="00570291" w:rsidP="00C94CE4">
      <w:pPr>
        <w:pStyle w:val="ListParagraph"/>
        <w:numPr>
          <w:ilvl w:val="0"/>
          <w:numId w:val="14"/>
        </w:numPr>
        <w:rPr>
          <w:b/>
          <w:bCs/>
        </w:rPr>
      </w:pPr>
      <w:r w:rsidRPr="00BC7959">
        <w:rPr>
          <w:b/>
          <w:bCs/>
        </w:rPr>
        <w:t>Digital Archiving of PGR Theses</w:t>
      </w:r>
    </w:p>
    <w:p w14:paraId="77ABF833" w14:textId="52AF69D9" w:rsidR="00570291" w:rsidRPr="00570291" w:rsidRDefault="00570291" w:rsidP="002F25DD">
      <w:pPr>
        <w:numPr>
          <w:ilvl w:val="1"/>
          <w:numId w:val="14"/>
        </w:numPr>
      </w:pPr>
      <w:r w:rsidRPr="00570291">
        <w:t>SB reported system implementation underway; 22–25 theses deposited.</w:t>
      </w:r>
      <w:r w:rsidR="002F25DD">
        <w:t xml:space="preserve"> </w:t>
      </w:r>
      <w:r w:rsidRPr="00570291">
        <w:t xml:space="preserve">Work ongoing to consolidate retention references and develop a </w:t>
      </w:r>
      <w:r w:rsidR="002F25DD">
        <w:t xml:space="preserve">digital thesis </w:t>
      </w:r>
      <w:r w:rsidRPr="00570291">
        <w:t xml:space="preserve">preservation </w:t>
      </w:r>
      <w:r w:rsidR="002F25DD">
        <w:t xml:space="preserve">and retention </w:t>
      </w:r>
      <w:r w:rsidRPr="00570291">
        <w:t>policy.</w:t>
      </w:r>
      <w:r w:rsidR="002F25DD">
        <w:t xml:space="preserve"> </w:t>
      </w:r>
      <w:r w:rsidRPr="00570291">
        <w:t>No changes to access rules; focus on robust behind-the-scenes storage.</w:t>
      </w:r>
      <w:r w:rsidR="002F25DD">
        <w:t xml:space="preserve"> </w:t>
      </w:r>
      <w:r w:rsidRPr="00570291">
        <w:t>Further updates to follow.</w:t>
      </w:r>
    </w:p>
    <w:p w14:paraId="1B5DA49B" w14:textId="549A65F0" w:rsidR="00570291" w:rsidRPr="00BC7959" w:rsidRDefault="00570291" w:rsidP="00C94CE4">
      <w:pPr>
        <w:pStyle w:val="ListParagraph"/>
        <w:numPr>
          <w:ilvl w:val="0"/>
          <w:numId w:val="14"/>
        </w:numPr>
        <w:rPr>
          <w:b/>
          <w:bCs/>
        </w:rPr>
      </w:pPr>
      <w:r w:rsidRPr="00BC7959">
        <w:rPr>
          <w:b/>
          <w:bCs/>
        </w:rPr>
        <w:t>Doctoral Reps Group Update</w:t>
      </w:r>
    </w:p>
    <w:p w14:paraId="72808D52" w14:textId="77777777" w:rsidR="00570291" w:rsidRPr="00570291" w:rsidRDefault="00570291" w:rsidP="00C94CE4">
      <w:pPr>
        <w:numPr>
          <w:ilvl w:val="1"/>
          <w:numId w:val="14"/>
        </w:numPr>
      </w:pPr>
      <w:r w:rsidRPr="00570291">
        <w:t>Discussion on absence and family leave policies; practices vary across schools.</w:t>
      </w:r>
    </w:p>
    <w:p w14:paraId="48BA79C6" w14:textId="1C136302" w:rsidR="00570291" w:rsidRPr="00570291" w:rsidRDefault="002F25DD" w:rsidP="00C94CE4">
      <w:pPr>
        <w:numPr>
          <w:ilvl w:val="1"/>
          <w:numId w:val="14"/>
        </w:numPr>
      </w:pPr>
      <w:r>
        <w:t>A</w:t>
      </w:r>
      <w:r w:rsidR="003A1906">
        <w:t xml:space="preserve">W </w:t>
      </w:r>
      <w:r>
        <w:t xml:space="preserve">outlined different </w:t>
      </w:r>
      <w:r w:rsidR="00570291" w:rsidRPr="00570291">
        <w:t>Engagement initiatives</w:t>
      </w:r>
      <w:r>
        <w:t xml:space="preserve"> and channels different reps have with their constituents</w:t>
      </w:r>
      <w:r w:rsidR="00570291" w:rsidRPr="00570291">
        <w:t>: WhatsApp groups, coffee meet-ups, informal drop-ins, workshops, newsletters, and feedback mechanisms.</w:t>
      </w:r>
    </w:p>
    <w:p w14:paraId="34DE8BDA" w14:textId="41AEED7A" w:rsidR="00570291" w:rsidRPr="00570291" w:rsidRDefault="003A1906" w:rsidP="00C94CE4">
      <w:pPr>
        <w:numPr>
          <w:ilvl w:val="1"/>
          <w:numId w:val="14"/>
        </w:numPr>
      </w:pPr>
      <w:r>
        <w:t xml:space="preserve">AW highlighted that most of the reps have been funding these initiatives themselves and </w:t>
      </w:r>
      <w:r w:rsidR="001510D5">
        <w:t xml:space="preserve">queried potential funding options. </w:t>
      </w:r>
      <w:r w:rsidR="00570291" w:rsidRPr="00570291">
        <w:t>LL highlighted community fund support for student-led activities</w:t>
      </w:r>
      <w:r w:rsidR="001510D5">
        <w:t xml:space="preserve"> and </w:t>
      </w:r>
      <w:r w:rsidR="0091292F">
        <w:t>encouraged</w:t>
      </w:r>
      <w:r w:rsidR="00B1124A">
        <w:t xml:space="preserve"> </w:t>
      </w:r>
      <w:r w:rsidR="001510D5">
        <w:t>reps to use it</w:t>
      </w:r>
      <w:r w:rsidR="00570291" w:rsidRPr="00570291">
        <w:t>.</w:t>
      </w:r>
      <w:r w:rsidR="001510D5">
        <w:t xml:space="preserve"> It was also noted that reps should check within their schools for small financial support as well. </w:t>
      </w:r>
    </w:p>
    <w:p w14:paraId="58A80BC0" w14:textId="1D55EEF7" w:rsidR="00570291" w:rsidRPr="00B1124A" w:rsidRDefault="00570291" w:rsidP="00C94CE4">
      <w:pPr>
        <w:pStyle w:val="ListParagraph"/>
        <w:numPr>
          <w:ilvl w:val="0"/>
          <w:numId w:val="14"/>
        </w:numPr>
        <w:rPr>
          <w:b/>
          <w:bCs/>
        </w:rPr>
      </w:pPr>
      <w:r w:rsidRPr="00B1124A">
        <w:rPr>
          <w:b/>
          <w:bCs/>
        </w:rPr>
        <w:t>School/Directorate Updates</w:t>
      </w:r>
    </w:p>
    <w:p w14:paraId="41D7B19F" w14:textId="7BA938E6" w:rsidR="00570291" w:rsidRPr="00570291" w:rsidRDefault="00292766" w:rsidP="00712584">
      <w:pPr>
        <w:numPr>
          <w:ilvl w:val="1"/>
          <w:numId w:val="14"/>
        </w:numPr>
      </w:pPr>
      <w:r>
        <w:t xml:space="preserve">PC </w:t>
      </w:r>
      <w:r w:rsidR="00712584">
        <w:t>requested an update on</w:t>
      </w:r>
      <w:r>
        <w:t xml:space="preserve"> the </w:t>
      </w:r>
      <w:r w:rsidR="00570291" w:rsidRPr="00570291">
        <w:t>GenAI policy</w:t>
      </w:r>
      <w:r w:rsidR="00712584">
        <w:t>. Guidelines have</w:t>
      </w:r>
      <w:r w:rsidR="00570291" w:rsidRPr="00570291">
        <w:t xml:space="preserve"> launched on staff hub; to be shared with PGRs via portal.</w:t>
      </w:r>
      <w:r w:rsidR="00712584">
        <w:t xml:space="preserve"> </w:t>
      </w:r>
      <w:r w:rsidR="00712584" w:rsidRPr="00570291">
        <w:rPr>
          <w:b/>
          <w:bCs/>
        </w:rPr>
        <w:t>Action:</w:t>
      </w:r>
      <w:r w:rsidR="00712584" w:rsidRPr="00570291">
        <w:t xml:space="preserve"> Circulate GenAI policy link</w:t>
      </w:r>
      <w:r w:rsidR="00712584">
        <w:t xml:space="preserve"> to PGOs.</w:t>
      </w:r>
    </w:p>
    <w:p w14:paraId="0AC5F7AF" w14:textId="79EAF536" w:rsidR="00570291" w:rsidRPr="00570291" w:rsidRDefault="007B1749" w:rsidP="00C94CE4">
      <w:pPr>
        <w:numPr>
          <w:ilvl w:val="1"/>
          <w:numId w:val="14"/>
        </w:numPr>
      </w:pPr>
      <w:r>
        <w:t xml:space="preserve">JH </w:t>
      </w:r>
      <w:r w:rsidR="002665BC">
        <w:t>queried</w:t>
      </w:r>
      <w:r>
        <w:t xml:space="preserve"> if the any buildings will be open during </w:t>
      </w:r>
      <w:r w:rsidR="00570291" w:rsidRPr="00570291">
        <w:t>Winter closure</w:t>
      </w:r>
      <w:r>
        <w:t xml:space="preserve"> for PGRs. </w:t>
      </w:r>
      <w:r w:rsidR="00570291" w:rsidRPr="00570291">
        <w:t xml:space="preserve"> confirmed;</w:t>
      </w:r>
      <w:r w:rsidR="002665BC">
        <w:t xml:space="preserve"> This information will be circulated soon by Estates. </w:t>
      </w:r>
      <w:r w:rsidR="00570291" w:rsidRPr="00570291">
        <w:t>OOO messages from student support to be circulated</w:t>
      </w:r>
      <w:r w:rsidR="002665BC">
        <w:t xml:space="preserve"> </w:t>
      </w:r>
      <w:r w:rsidR="00060D53">
        <w:t xml:space="preserve">which </w:t>
      </w:r>
      <w:r w:rsidR="002665BC">
        <w:t>will have information about resources for students during the closure period</w:t>
      </w:r>
      <w:r w:rsidR="00570291" w:rsidRPr="00570291">
        <w:t>.</w:t>
      </w:r>
    </w:p>
    <w:p w14:paraId="67BB9CA9" w14:textId="38E463D5" w:rsidR="00570291" w:rsidRPr="00570291" w:rsidRDefault="002665BC" w:rsidP="00C94CE4">
      <w:pPr>
        <w:numPr>
          <w:ilvl w:val="1"/>
          <w:numId w:val="14"/>
        </w:numPr>
      </w:pPr>
      <w:r>
        <w:t>AG requested information on</w:t>
      </w:r>
      <w:r w:rsidR="00570291" w:rsidRPr="00570291">
        <w:t xml:space="preserve"> </w:t>
      </w:r>
      <w:r>
        <w:t xml:space="preserve">continues </w:t>
      </w:r>
      <w:r w:rsidR="00570291" w:rsidRPr="00570291">
        <w:t xml:space="preserve">deferral process </w:t>
      </w:r>
      <w:r>
        <w:t>and if there is a limit to the amount of time offer holders can defer entry</w:t>
      </w:r>
      <w:r w:rsidR="00570291" w:rsidRPr="00570291">
        <w:t>.</w:t>
      </w:r>
      <w:r>
        <w:t xml:space="preserve"> LL confirmed its unlimited. EDIT: </w:t>
      </w:r>
      <w:r w:rsidR="00653B19">
        <w:t xml:space="preserve">School of Education have been informed that it’s only possible to defer once after which offer holders will need to reapply. </w:t>
      </w:r>
      <w:r w:rsidR="00653B19" w:rsidRPr="00653B19">
        <w:rPr>
          <w:highlight w:val="yellow"/>
        </w:rPr>
        <w:t>ACTION: PGRC to investigate</w:t>
      </w:r>
      <w:r w:rsidR="00653B19">
        <w:t xml:space="preserve">. </w:t>
      </w:r>
    </w:p>
    <w:p w14:paraId="21890D09" w14:textId="4FDC1A61" w:rsidR="00570291" w:rsidRPr="00BC7959" w:rsidRDefault="00570291" w:rsidP="00C94CE4">
      <w:pPr>
        <w:pStyle w:val="ListParagraph"/>
        <w:numPr>
          <w:ilvl w:val="0"/>
          <w:numId w:val="14"/>
        </w:numPr>
        <w:rPr>
          <w:b/>
          <w:bCs/>
        </w:rPr>
      </w:pPr>
      <w:r w:rsidRPr="00BC7959">
        <w:rPr>
          <w:b/>
          <w:bCs/>
        </w:rPr>
        <w:t>Any Other Business</w:t>
      </w:r>
    </w:p>
    <w:p w14:paraId="352D091D" w14:textId="05191E45" w:rsidR="00D14122" w:rsidRDefault="00060D53">
      <w:r>
        <w:t>N/A</w:t>
      </w:r>
    </w:p>
    <w:sectPr w:rsidR="00D14122" w:rsidSect="0057029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2C8"/>
    <w:multiLevelType w:val="multilevel"/>
    <w:tmpl w:val="86C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357F"/>
    <w:multiLevelType w:val="multilevel"/>
    <w:tmpl w:val="1F4C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86C48"/>
    <w:multiLevelType w:val="multilevel"/>
    <w:tmpl w:val="CE9E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224E"/>
    <w:multiLevelType w:val="multilevel"/>
    <w:tmpl w:val="8510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A0EF2"/>
    <w:multiLevelType w:val="hybridMultilevel"/>
    <w:tmpl w:val="D500E94C"/>
    <w:lvl w:ilvl="0" w:tplc="0F1298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E344B98"/>
    <w:multiLevelType w:val="multilevel"/>
    <w:tmpl w:val="A59C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41BFD"/>
    <w:multiLevelType w:val="multilevel"/>
    <w:tmpl w:val="B954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87523"/>
    <w:multiLevelType w:val="multilevel"/>
    <w:tmpl w:val="2C4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14616"/>
    <w:multiLevelType w:val="multilevel"/>
    <w:tmpl w:val="D47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C708A"/>
    <w:multiLevelType w:val="multilevel"/>
    <w:tmpl w:val="653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0520F"/>
    <w:multiLevelType w:val="multilevel"/>
    <w:tmpl w:val="BA80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832CF"/>
    <w:multiLevelType w:val="multilevel"/>
    <w:tmpl w:val="C30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D1049"/>
    <w:multiLevelType w:val="multilevel"/>
    <w:tmpl w:val="DDB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B7D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55763F"/>
    <w:multiLevelType w:val="multilevel"/>
    <w:tmpl w:val="3074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018D2"/>
    <w:multiLevelType w:val="multilevel"/>
    <w:tmpl w:val="C142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61A70"/>
    <w:multiLevelType w:val="multilevel"/>
    <w:tmpl w:val="E3C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83803">
    <w:abstractNumId w:val="3"/>
  </w:num>
  <w:num w:numId="2" w16cid:durableId="1590650194">
    <w:abstractNumId w:val="8"/>
  </w:num>
  <w:num w:numId="3" w16cid:durableId="1515070846">
    <w:abstractNumId w:val="9"/>
  </w:num>
  <w:num w:numId="4" w16cid:durableId="650791254">
    <w:abstractNumId w:val="0"/>
  </w:num>
  <w:num w:numId="5" w16cid:durableId="1821190834">
    <w:abstractNumId w:val="6"/>
  </w:num>
  <w:num w:numId="6" w16cid:durableId="1888561356">
    <w:abstractNumId w:val="7"/>
  </w:num>
  <w:num w:numId="7" w16cid:durableId="1918394146">
    <w:abstractNumId w:val="12"/>
  </w:num>
  <w:num w:numId="8" w16cid:durableId="81680460">
    <w:abstractNumId w:val="16"/>
  </w:num>
  <w:num w:numId="9" w16cid:durableId="1244484373">
    <w:abstractNumId w:val="5"/>
  </w:num>
  <w:num w:numId="10" w16cid:durableId="272979008">
    <w:abstractNumId w:val="1"/>
  </w:num>
  <w:num w:numId="11" w16cid:durableId="1029792617">
    <w:abstractNumId w:val="11"/>
  </w:num>
  <w:num w:numId="12" w16cid:durableId="1415905305">
    <w:abstractNumId w:val="15"/>
  </w:num>
  <w:num w:numId="13" w16cid:durableId="572590163">
    <w:abstractNumId w:val="14"/>
  </w:num>
  <w:num w:numId="14" w16cid:durableId="593712673">
    <w:abstractNumId w:val="13"/>
  </w:num>
  <w:num w:numId="15" w16cid:durableId="747187913">
    <w:abstractNumId w:val="4"/>
  </w:num>
  <w:num w:numId="16" w16cid:durableId="1343046899">
    <w:abstractNumId w:val="2"/>
  </w:num>
  <w:num w:numId="17" w16cid:durableId="552153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Sheets w:val="1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1"/>
    <w:rsid w:val="00026B32"/>
    <w:rsid w:val="00060D53"/>
    <w:rsid w:val="000867D6"/>
    <w:rsid w:val="000D4E11"/>
    <w:rsid w:val="001510D5"/>
    <w:rsid w:val="00172657"/>
    <w:rsid w:val="0019254D"/>
    <w:rsid w:val="001C6D49"/>
    <w:rsid w:val="002054D4"/>
    <w:rsid w:val="00205815"/>
    <w:rsid w:val="00222582"/>
    <w:rsid w:val="00222DBE"/>
    <w:rsid w:val="0022431F"/>
    <w:rsid w:val="002525A8"/>
    <w:rsid w:val="002665BC"/>
    <w:rsid w:val="00292766"/>
    <w:rsid w:val="002C7A73"/>
    <w:rsid w:val="002D641A"/>
    <w:rsid w:val="002E1E4E"/>
    <w:rsid w:val="002F25DD"/>
    <w:rsid w:val="00305A1E"/>
    <w:rsid w:val="00361F9E"/>
    <w:rsid w:val="00367ECD"/>
    <w:rsid w:val="0039040C"/>
    <w:rsid w:val="003A1906"/>
    <w:rsid w:val="003D1E73"/>
    <w:rsid w:val="003F35B4"/>
    <w:rsid w:val="003F386B"/>
    <w:rsid w:val="00413E12"/>
    <w:rsid w:val="004400DF"/>
    <w:rsid w:val="004525B5"/>
    <w:rsid w:val="004612BD"/>
    <w:rsid w:val="004A1F87"/>
    <w:rsid w:val="004A45B5"/>
    <w:rsid w:val="004C21C0"/>
    <w:rsid w:val="004E4EE5"/>
    <w:rsid w:val="0053186A"/>
    <w:rsid w:val="00540EC2"/>
    <w:rsid w:val="0055441A"/>
    <w:rsid w:val="00570291"/>
    <w:rsid w:val="005825D3"/>
    <w:rsid w:val="00591953"/>
    <w:rsid w:val="005A04AE"/>
    <w:rsid w:val="005C5890"/>
    <w:rsid w:val="005F0C97"/>
    <w:rsid w:val="005F22A9"/>
    <w:rsid w:val="00611A86"/>
    <w:rsid w:val="006354D2"/>
    <w:rsid w:val="00653B19"/>
    <w:rsid w:val="0069149B"/>
    <w:rsid w:val="00694FA3"/>
    <w:rsid w:val="006D0A3A"/>
    <w:rsid w:val="006F5B32"/>
    <w:rsid w:val="00712584"/>
    <w:rsid w:val="00724B8B"/>
    <w:rsid w:val="00751293"/>
    <w:rsid w:val="00761B4C"/>
    <w:rsid w:val="007A3FC4"/>
    <w:rsid w:val="007B1749"/>
    <w:rsid w:val="007B185A"/>
    <w:rsid w:val="007C067A"/>
    <w:rsid w:val="007C0EAF"/>
    <w:rsid w:val="008564E5"/>
    <w:rsid w:val="00861389"/>
    <w:rsid w:val="0087666D"/>
    <w:rsid w:val="008F4A41"/>
    <w:rsid w:val="00900A7D"/>
    <w:rsid w:val="00907C72"/>
    <w:rsid w:val="00912218"/>
    <w:rsid w:val="0091292F"/>
    <w:rsid w:val="0092185C"/>
    <w:rsid w:val="00950296"/>
    <w:rsid w:val="009572A6"/>
    <w:rsid w:val="009A488E"/>
    <w:rsid w:val="009B0349"/>
    <w:rsid w:val="009E094F"/>
    <w:rsid w:val="00A40963"/>
    <w:rsid w:val="00A53E96"/>
    <w:rsid w:val="00A63D5D"/>
    <w:rsid w:val="00A77CD7"/>
    <w:rsid w:val="00AB6271"/>
    <w:rsid w:val="00AC721A"/>
    <w:rsid w:val="00AF2E8D"/>
    <w:rsid w:val="00B10C56"/>
    <w:rsid w:val="00B1124A"/>
    <w:rsid w:val="00B25570"/>
    <w:rsid w:val="00B90D6B"/>
    <w:rsid w:val="00BA620D"/>
    <w:rsid w:val="00BC7959"/>
    <w:rsid w:val="00C33151"/>
    <w:rsid w:val="00C7112F"/>
    <w:rsid w:val="00C714D7"/>
    <w:rsid w:val="00C94CE4"/>
    <w:rsid w:val="00CA4929"/>
    <w:rsid w:val="00CA537F"/>
    <w:rsid w:val="00CD7A8B"/>
    <w:rsid w:val="00CE0987"/>
    <w:rsid w:val="00CE12B5"/>
    <w:rsid w:val="00D14122"/>
    <w:rsid w:val="00D2143E"/>
    <w:rsid w:val="00D73347"/>
    <w:rsid w:val="00DA6A61"/>
    <w:rsid w:val="00DA7ACE"/>
    <w:rsid w:val="00DC026D"/>
    <w:rsid w:val="00DE4867"/>
    <w:rsid w:val="00DE5E69"/>
    <w:rsid w:val="00DF59D4"/>
    <w:rsid w:val="00E91481"/>
    <w:rsid w:val="00EB7BCD"/>
    <w:rsid w:val="00F74634"/>
    <w:rsid w:val="00F76624"/>
    <w:rsid w:val="00FE367F"/>
    <w:rsid w:val="00FF1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466D"/>
  <w15:chartTrackingRefBased/>
  <w15:docId w15:val="{3AE8D720-C050-4826-9DBC-24435538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1"/>
    <w:basedOn w:val="Normal"/>
    <w:uiPriority w:val="1"/>
    <w:qFormat/>
    <w:rsid w:val="00907C72"/>
    <w:pPr>
      <w:spacing w:before="120" w:after="120" w:line="720" w:lineRule="auto"/>
    </w:pPr>
  </w:style>
  <w:style w:type="character" w:customStyle="1" w:styleId="Heading1Char">
    <w:name w:val="Heading 1 Char"/>
    <w:basedOn w:val="DefaultParagraphFont"/>
    <w:link w:val="Heading1"/>
    <w:uiPriority w:val="9"/>
    <w:rsid w:val="00C33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151"/>
    <w:rPr>
      <w:rFonts w:eastAsiaTheme="majorEastAsia" w:cstheme="majorBidi"/>
      <w:color w:val="272727" w:themeColor="text1" w:themeTint="D8"/>
    </w:rPr>
  </w:style>
  <w:style w:type="paragraph" w:styleId="Title">
    <w:name w:val="Title"/>
    <w:basedOn w:val="Normal"/>
    <w:next w:val="Normal"/>
    <w:link w:val="TitleChar"/>
    <w:uiPriority w:val="10"/>
    <w:qFormat/>
    <w:rsid w:val="00C33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151"/>
    <w:pPr>
      <w:numPr>
        <w:ilvl w:val="1"/>
      </w:numPr>
      <w:spacing w:after="160"/>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151"/>
    <w:rPr>
      <w:i/>
      <w:iCs/>
      <w:color w:val="404040" w:themeColor="text1" w:themeTint="BF"/>
    </w:rPr>
  </w:style>
  <w:style w:type="paragraph" w:styleId="ListParagraph">
    <w:name w:val="List Paragraph"/>
    <w:basedOn w:val="Normal"/>
    <w:uiPriority w:val="34"/>
    <w:qFormat/>
    <w:rsid w:val="00C33151"/>
    <w:pPr>
      <w:ind w:left="720"/>
      <w:contextualSpacing/>
    </w:pPr>
  </w:style>
  <w:style w:type="character" w:styleId="IntenseEmphasis">
    <w:name w:val="Intense Emphasis"/>
    <w:basedOn w:val="DefaultParagraphFont"/>
    <w:uiPriority w:val="21"/>
    <w:qFormat/>
    <w:rsid w:val="00C33151"/>
    <w:rPr>
      <w:i/>
      <w:iCs/>
      <w:color w:val="0F4761" w:themeColor="accent1" w:themeShade="BF"/>
    </w:rPr>
  </w:style>
  <w:style w:type="paragraph" w:styleId="IntenseQuote">
    <w:name w:val="Intense Quote"/>
    <w:basedOn w:val="Normal"/>
    <w:next w:val="Normal"/>
    <w:link w:val="IntenseQuoteChar"/>
    <w:uiPriority w:val="30"/>
    <w:qFormat/>
    <w:rsid w:val="00C33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151"/>
    <w:rPr>
      <w:i/>
      <w:iCs/>
      <w:color w:val="0F4761" w:themeColor="accent1" w:themeShade="BF"/>
    </w:rPr>
  </w:style>
  <w:style w:type="character" w:styleId="IntenseReference">
    <w:name w:val="Intense Reference"/>
    <w:basedOn w:val="DefaultParagraphFont"/>
    <w:uiPriority w:val="32"/>
    <w:qFormat/>
    <w:rsid w:val="00C33151"/>
    <w:rPr>
      <w:b/>
      <w:bCs/>
      <w:smallCaps/>
      <w:color w:val="0F4761" w:themeColor="accent1" w:themeShade="BF"/>
      <w:spacing w:val="5"/>
    </w:rPr>
  </w:style>
  <w:style w:type="table" w:styleId="TableGrid">
    <w:name w:val="Table Grid"/>
    <w:basedOn w:val="TableNormal"/>
    <w:uiPriority w:val="39"/>
    <w:rsid w:val="009B0349"/>
    <w:pPr>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292F"/>
    <w:rPr>
      <w:sz w:val="16"/>
      <w:szCs w:val="16"/>
    </w:rPr>
  </w:style>
  <w:style w:type="paragraph" w:styleId="CommentText">
    <w:name w:val="annotation text"/>
    <w:basedOn w:val="Normal"/>
    <w:link w:val="CommentTextChar"/>
    <w:uiPriority w:val="99"/>
    <w:unhideWhenUsed/>
    <w:rsid w:val="0091292F"/>
    <w:rPr>
      <w:sz w:val="20"/>
      <w:szCs w:val="20"/>
    </w:rPr>
  </w:style>
  <w:style w:type="character" w:customStyle="1" w:styleId="CommentTextChar">
    <w:name w:val="Comment Text Char"/>
    <w:basedOn w:val="DefaultParagraphFont"/>
    <w:link w:val="CommentText"/>
    <w:uiPriority w:val="99"/>
    <w:rsid w:val="0091292F"/>
    <w:rPr>
      <w:sz w:val="20"/>
      <w:szCs w:val="20"/>
    </w:rPr>
  </w:style>
  <w:style w:type="paragraph" w:styleId="CommentSubject">
    <w:name w:val="annotation subject"/>
    <w:basedOn w:val="CommentText"/>
    <w:next w:val="CommentText"/>
    <w:link w:val="CommentSubjectChar"/>
    <w:uiPriority w:val="99"/>
    <w:semiHidden/>
    <w:unhideWhenUsed/>
    <w:rsid w:val="0091292F"/>
    <w:rPr>
      <w:b/>
      <w:bCs/>
    </w:rPr>
  </w:style>
  <w:style w:type="character" w:customStyle="1" w:styleId="CommentSubjectChar">
    <w:name w:val="Comment Subject Char"/>
    <w:basedOn w:val="CommentTextChar"/>
    <w:link w:val="CommentSubject"/>
    <w:uiPriority w:val="99"/>
    <w:semiHidden/>
    <w:rsid w:val="0091292F"/>
    <w:rPr>
      <w:b/>
      <w:bCs/>
      <w:sz w:val="20"/>
      <w:szCs w:val="20"/>
    </w:rPr>
  </w:style>
  <w:style w:type="paragraph" w:styleId="Revision">
    <w:name w:val="Revision"/>
    <w:hidden/>
    <w:uiPriority w:val="99"/>
    <w:semiHidden/>
    <w:rsid w:val="0091292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8D401B37A4A4DB69EDD3364F5D1AF" ma:contentTypeVersion="3" ma:contentTypeDescription="Create a new document." ma:contentTypeScope="" ma:versionID="27de940f155ed2f86c680e74f160614f">
  <xsd:schema xmlns:xsd="http://www.w3.org/2001/XMLSchema" xmlns:xs="http://www.w3.org/2001/XMLSchema" xmlns:p="http://schemas.microsoft.com/office/2006/metadata/properties" xmlns:ns2="5e105827-6549-475b-aa63-969a7b506758" targetNamespace="http://schemas.microsoft.com/office/2006/metadata/properties" ma:root="true" ma:fieldsID="24cfe901bae6d4cf473a8b0e2a5a83e4" ns2:_="">
    <xsd:import namespace="5e105827-6549-475b-aa63-969a7b5067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05827-6549-475b-aa63-969a7b506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907D7-BFC4-498C-9FD5-44DCD383CABD}"/>
</file>

<file path=customXml/itemProps2.xml><?xml version="1.0" encoding="utf-8"?>
<ds:datastoreItem xmlns:ds="http://schemas.openxmlformats.org/officeDocument/2006/customXml" ds:itemID="{BB28A3F5-D305-461A-A794-822C0517571F}"/>
</file>

<file path=customXml/itemProps3.xml><?xml version="1.0" encoding="utf-8"?>
<ds:datastoreItem xmlns:ds="http://schemas.openxmlformats.org/officeDocument/2006/customXml" ds:itemID="{50A81606-54F9-4452-9D82-9D7E55DDFDF7}"/>
</file>

<file path=docProps/app.xml><?xml version="1.0" encoding="utf-8"?>
<Properties xmlns="http://schemas.openxmlformats.org/officeDocument/2006/extended-properties" xmlns:vt="http://schemas.openxmlformats.org/officeDocument/2006/docPropsVTypes">
  <Template>Normal.dotm</Template>
  <TotalTime>20</TotalTime>
  <Pages>3</Pages>
  <Words>1338</Words>
  <Characters>7632</Characters>
  <Application>Microsoft Office Word</Application>
  <DocSecurity>0</DocSecurity>
  <Lines>63</Lines>
  <Paragraphs>17</Paragraphs>
  <ScaleCrop>false</ScaleCrop>
  <Company>University of Aberdeen</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Chichkov, Georgi</dc:creator>
  <cp:keywords/>
  <dc:description/>
  <cp:lastModifiedBy>Chichkov, Georgi</cp:lastModifiedBy>
  <cp:revision>17</cp:revision>
  <dcterms:created xsi:type="dcterms:W3CDTF">2026-02-04T08:54:00Z</dcterms:created>
  <dcterms:modified xsi:type="dcterms:W3CDTF">2026-02-04T12:53:00Z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0x0101000B48D401B37A4A4DB69EDD3364F5D1AF</vt:lpwstr>
  </property>
</Properties>
</file>