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91B4" w14:textId="77777777" w:rsidR="0071588A" w:rsidRPr="00F43BA8" w:rsidRDefault="0071588A" w:rsidP="0071588A">
      <w:pPr>
        <w:ind w:left="0"/>
        <w:rPr>
          <w:b/>
          <w:bCs/>
          <w:sz w:val="28"/>
          <w:szCs w:val="28"/>
        </w:rPr>
      </w:pPr>
      <w:r w:rsidRPr="00F43BA8">
        <w:rPr>
          <w:b/>
          <w:bCs/>
          <w:sz w:val="28"/>
          <w:szCs w:val="28"/>
        </w:rPr>
        <w:t>PGR Committee Meeting | 27 August 2025 | 10:05 – 12:00</w:t>
      </w:r>
    </w:p>
    <w:p w14:paraId="24100674" w14:textId="77777777" w:rsidR="00D14122" w:rsidRDefault="00D14122" w:rsidP="00571DC2">
      <w:pPr>
        <w:ind w:left="0"/>
      </w:pPr>
    </w:p>
    <w:p w14:paraId="0BD34252" w14:textId="79727840" w:rsidR="00F623DD" w:rsidRDefault="00F623DD" w:rsidP="00F623DD">
      <w:pPr>
        <w:ind w:left="0"/>
      </w:pPr>
      <w:r w:rsidRPr="00DB7568">
        <w:rPr>
          <w:b/>
          <w:bCs/>
        </w:rPr>
        <w:t>Chair</w:t>
      </w:r>
      <w:r>
        <w:t>: Stuart Pier</w:t>
      </w:r>
      <w:r w:rsidR="00AA7C8F">
        <w:t>t</w:t>
      </w:r>
      <w:r>
        <w:t xml:space="preserve">ney (SP) | </w:t>
      </w:r>
      <w:r w:rsidR="004B158E">
        <w:rPr>
          <w:b/>
          <w:bCs/>
        </w:rPr>
        <w:t>Clerk</w:t>
      </w:r>
      <w:r>
        <w:t>: Georgi Chichkov (GC)</w:t>
      </w:r>
    </w:p>
    <w:p w14:paraId="62257FCF" w14:textId="0A04449F" w:rsidR="0071588A" w:rsidRDefault="00F623DD" w:rsidP="00571DC2">
      <w:pPr>
        <w:ind w:left="0"/>
      </w:pPr>
      <w:r w:rsidRPr="006A2CDB">
        <w:rPr>
          <w:b/>
          <w:bCs/>
        </w:rPr>
        <w:t>Attending</w:t>
      </w:r>
      <w:r>
        <w:t xml:space="preserve">: Lucy Leiper (LL); Rhiannon Thompson (RT); Jie Wu (JW); Paul Hallett (PH); Ben Marsden (BM); </w:t>
      </w:r>
      <w:r w:rsidR="00AE08B8">
        <w:t xml:space="preserve">Archie Graham (AG); Charlotta Hillerdal (CH); Peter Cserne (PC); Sam Miller (SM); Laurent Trembleau (LT); </w:t>
      </w:r>
      <w:r w:rsidR="00206C3C">
        <w:t xml:space="preserve">Simon Bains (SB); Steve Tucker </w:t>
      </w:r>
      <w:r w:rsidR="006A2CDB">
        <w:t>/</w:t>
      </w:r>
      <w:r w:rsidR="00A6478F">
        <w:t>10-11am</w:t>
      </w:r>
      <w:r w:rsidR="006A2CDB">
        <w:t>/</w:t>
      </w:r>
      <w:r w:rsidR="00573710">
        <w:t xml:space="preserve"> (ST)</w:t>
      </w:r>
      <w:r w:rsidR="00206C3C">
        <w:t>; Robert Findlay (RF); Rhona Gibson</w:t>
      </w:r>
      <w:r w:rsidR="00573710">
        <w:t xml:space="preserve"> /</w:t>
      </w:r>
      <w:r w:rsidR="00A6478F">
        <w:t>11-12pm</w:t>
      </w:r>
      <w:r w:rsidR="00573710">
        <w:t>/</w:t>
      </w:r>
      <w:r w:rsidR="00206C3C">
        <w:t xml:space="preserve"> (RB)</w:t>
      </w:r>
      <w:r w:rsidR="00791601">
        <w:t>; Freya Juul Jensen; Anar</w:t>
      </w:r>
      <w:r w:rsidR="003B4AB7">
        <w:t xml:space="preserve"> </w:t>
      </w:r>
      <w:proofErr w:type="spellStart"/>
      <w:r w:rsidR="003B4AB7">
        <w:t>Alruwaie</w:t>
      </w:r>
      <w:proofErr w:type="spellEnd"/>
      <w:r w:rsidR="003B4AB7">
        <w:t xml:space="preserve"> (AA)</w:t>
      </w:r>
      <w:r w:rsidR="00892DC5">
        <w:t>; Julia K</w:t>
      </w:r>
      <w:r w:rsidR="004B158E">
        <w:t>o</w:t>
      </w:r>
      <w:r w:rsidR="00892DC5">
        <w:t>tzur (JK)</w:t>
      </w:r>
    </w:p>
    <w:p w14:paraId="2DDF96F4" w14:textId="377C3380" w:rsidR="00477543" w:rsidRDefault="00477543" w:rsidP="00571DC2">
      <w:pPr>
        <w:ind w:left="0"/>
      </w:pPr>
      <w:r w:rsidRPr="00477543">
        <w:rPr>
          <w:b/>
          <w:bCs/>
        </w:rPr>
        <w:t>Apologies</w:t>
      </w:r>
      <w:r>
        <w:t xml:space="preserve">: Mehmet Kartal (MK); </w:t>
      </w:r>
      <w:r w:rsidR="00892DC5">
        <w:t xml:space="preserve">Johannes Heim (JH); </w:t>
      </w:r>
      <w:r w:rsidR="002476A9">
        <w:t xml:space="preserve">Isabella Kasselstrand (IK); Jason Bohan (JB); </w:t>
      </w:r>
      <w:r w:rsidR="00547B33">
        <w:t>Brian Hussey (BH); Ann-Marie Johnston (AMJ); Melanie M</w:t>
      </w:r>
      <w:r w:rsidR="006C2361">
        <w:t xml:space="preserve">cCann (MM) </w:t>
      </w:r>
    </w:p>
    <w:p w14:paraId="575446FE" w14:textId="77777777" w:rsidR="007A2FFD" w:rsidRDefault="007A2FFD" w:rsidP="00571DC2">
      <w:pPr>
        <w:ind w:left="0"/>
      </w:pPr>
    </w:p>
    <w:p w14:paraId="0F3BF5AA" w14:textId="5FB7AB93" w:rsidR="007A2FFD" w:rsidRDefault="007A2FFD" w:rsidP="007A2FFD">
      <w:pPr>
        <w:pStyle w:val="ListParagraph"/>
        <w:numPr>
          <w:ilvl w:val="0"/>
          <w:numId w:val="1"/>
        </w:numPr>
      </w:pPr>
      <w:r w:rsidRPr="006D3921">
        <w:rPr>
          <w:b/>
          <w:bCs/>
        </w:rPr>
        <w:t>Welcome and Apologies</w:t>
      </w:r>
      <w:r>
        <w:t xml:space="preserve"> (SP)</w:t>
      </w:r>
    </w:p>
    <w:p w14:paraId="7C3CBDEE" w14:textId="51D57D96" w:rsidR="007A2FFD" w:rsidRDefault="001A5070" w:rsidP="001A5070">
      <w:pPr>
        <w:pStyle w:val="ListParagraph"/>
        <w:numPr>
          <w:ilvl w:val="1"/>
          <w:numId w:val="1"/>
        </w:numPr>
      </w:pPr>
      <w:r>
        <w:t>SP</w:t>
      </w:r>
      <w:r w:rsidR="000F00F3">
        <w:t xml:space="preserve">, </w:t>
      </w:r>
      <w:r w:rsidR="0079613E">
        <w:t xml:space="preserve">welcomed </w:t>
      </w:r>
      <w:r>
        <w:t xml:space="preserve">the committee, </w:t>
      </w:r>
      <w:r w:rsidR="0079613E">
        <w:t xml:space="preserve">introduced </w:t>
      </w:r>
      <w:r w:rsidR="0077667B">
        <w:t xml:space="preserve">LT </w:t>
      </w:r>
      <w:r w:rsidR="00AA7C8F">
        <w:t>to their</w:t>
      </w:r>
      <w:r w:rsidR="0077667B">
        <w:t xml:space="preserve"> first meeting,</w:t>
      </w:r>
      <w:r w:rsidR="000403CA">
        <w:t xml:space="preserve"> and</w:t>
      </w:r>
      <w:r w:rsidR="0077667B">
        <w:t xml:space="preserve"> JK who is substituting for JH</w:t>
      </w:r>
      <w:r w:rsidR="000403CA">
        <w:t xml:space="preserve">; SP </w:t>
      </w:r>
      <w:r w:rsidR="00BB194D">
        <w:t xml:space="preserve">thanked </w:t>
      </w:r>
      <w:r w:rsidR="000403CA">
        <w:t>Kate Smith</w:t>
      </w:r>
      <w:r w:rsidR="00BC79ED" w:rsidRPr="00BC79ED">
        <w:t xml:space="preserve"> </w:t>
      </w:r>
      <w:r w:rsidR="00BC79ED">
        <w:t>for her contribution to the committee</w:t>
      </w:r>
      <w:r w:rsidR="00354AD2">
        <w:t xml:space="preserve"> </w:t>
      </w:r>
      <w:r w:rsidR="00F6664F">
        <w:t>as</w:t>
      </w:r>
      <w:r w:rsidR="00354AD2">
        <w:t xml:space="preserve"> </w:t>
      </w:r>
      <w:r w:rsidR="00F6664F">
        <w:t xml:space="preserve">she </w:t>
      </w:r>
      <w:r w:rsidR="000A291B" w:rsidRPr="00A662BF">
        <w:t>demits</w:t>
      </w:r>
      <w:r w:rsidR="00A662BF">
        <w:t xml:space="preserve"> </w:t>
      </w:r>
      <w:r w:rsidR="00BC79ED">
        <w:t>the</w:t>
      </w:r>
      <w:r w:rsidR="00354AD2">
        <w:t xml:space="preserve"> </w:t>
      </w:r>
      <w:r w:rsidR="00BC79ED">
        <w:t>role</w:t>
      </w:r>
      <w:r w:rsidR="00354AD2">
        <w:t xml:space="preserve"> </w:t>
      </w:r>
      <w:r w:rsidR="00BC79ED">
        <w:t>of</w:t>
      </w:r>
      <w:r w:rsidR="00354AD2">
        <w:t xml:space="preserve"> SAM rep for PGRC</w:t>
      </w:r>
      <w:r w:rsidR="00BC79ED">
        <w:t xml:space="preserve">, and </w:t>
      </w:r>
      <w:r w:rsidR="00BB194D">
        <w:t xml:space="preserve">welcomed </w:t>
      </w:r>
      <w:r w:rsidR="00BC79ED">
        <w:t xml:space="preserve">MM who will be taking over </w:t>
      </w:r>
      <w:r w:rsidR="00E17F33">
        <w:t>the role</w:t>
      </w:r>
      <w:r w:rsidR="00BC79ED">
        <w:t>.</w:t>
      </w:r>
    </w:p>
    <w:p w14:paraId="6149F857" w14:textId="3E52373D" w:rsidR="0028366C" w:rsidRDefault="0028366C" w:rsidP="001A5070">
      <w:pPr>
        <w:pStyle w:val="ListParagraph"/>
        <w:numPr>
          <w:ilvl w:val="1"/>
          <w:numId w:val="1"/>
        </w:numPr>
      </w:pPr>
      <w:r>
        <w:t xml:space="preserve">SP </w:t>
      </w:r>
      <w:r w:rsidR="00BB194D">
        <w:t xml:space="preserve">invited </w:t>
      </w:r>
      <w:r>
        <w:t xml:space="preserve">GC to list </w:t>
      </w:r>
      <w:r w:rsidR="000819B1">
        <w:t>a</w:t>
      </w:r>
      <w:r>
        <w:t>pologies for the meeting (</w:t>
      </w:r>
      <w:r w:rsidR="000819B1">
        <w:t>listed</w:t>
      </w:r>
      <w:r w:rsidR="00BE1E37">
        <w:t xml:space="preserve"> above</w:t>
      </w:r>
      <w:r>
        <w:t>)</w:t>
      </w:r>
    </w:p>
    <w:p w14:paraId="291DB856" w14:textId="77777777" w:rsidR="00CB1434" w:rsidRDefault="00786577" w:rsidP="00F21E5E">
      <w:pPr>
        <w:pStyle w:val="ListParagraph"/>
        <w:numPr>
          <w:ilvl w:val="0"/>
          <w:numId w:val="1"/>
        </w:numPr>
      </w:pPr>
      <w:r w:rsidRPr="006D3921">
        <w:rPr>
          <w:b/>
          <w:bCs/>
        </w:rPr>
        <w:t>Minutes from Previous Meeting</w:t>
      </w:r>
      <w:r w:rsidRPr="00786577">
        <w:t xml:space="preserve"> (SP)</w:t>
      </w:r>
      <w:r w:rsidR="00F21E5E">
        <w:t xml:space="preserve"> </w:t>
      </w:r>
    </w:p>
    <w:p w14:paraId="12C606FF" w14:textId="46C35C52" w:rsidR="00F21E5E" w:rsidRDefault="00CB1434" w:rsidP="00CB1434">
      <w:pPr>
        <w:pStyle w:val="ListParagraph"/>
        <w:numPr>
          <w:ilvl w:val="1"/>
          <w:numId w:val="1"/>
        </w:numPr>
      </w:pPr>
      <w:r>
        <w:t>M</w:t>
      </w:r>
      <w:r w:rsidR="00F21E5E">
        <w:t xml:space="preserve">inutes approved with no amendments. </w:t>
      </w:r>
      <w:r>
        <w:t xml:space="preserve"> Action: GC to upload minutes to </w:t>
      </w:r>
      <w:proofErr w:type="spellStart"/>
      <w:r>
        <w:t>StaffNet</w:t>
      </w:r>
      <w:proofErr w:type="spellEnd"/>
      <w:r>
        <w:t xml:space="preserve">. </w:t>
      </w:r>
    </w:p>
    <w:p w14:paraId="1730D60B" w14:textId="1212578F" w:rsidR="00E75F81" w:rsidRPr="006D3921" w:rsidRDefault="00F704C6" w:rsidP="006D3921">
      <w:pPr>
        <w:pStyle w:val="ListParagraph"/>
        <w:numPr>
          <w:ilvl w:val="0"/>
          <w:numId w:val="1"/>
        </w:numPr>
        <w:rPr>
          <w:b/>
          <w:bCs/>
        </w:rPr>
      </w:pPr>
      <w:r w:rsidRPr="006D3921">
        <w:rPr>
          <w:b/>
          <w:bCs/>
        </w:rPr>
        <w:t xml:space="preserve">Outstanding Actions </w:t>
      </w:r>
    </w:p>
    <w:p w14:paraId="4897BCB9" w14:textId="77777777" w:rsidR="00E75F81" w:rsidRDefault="00E75F81" w:rsidP="00E75F81">
      <w:pPr>
        <w:jc w:val="center"/>
        <w:rPr>
          <w:b/>
          <w:bCs/>
        </w:rPr>
      </w:pPr>
    </w:p>
    <w:tbl>
      <w:tblPr>
        <w:tblStyle w:val="TableGrid"/>
        <w:tblpPr w:leftFromText="180" w:rightFromText="180" w:vertAnchor="text" w:tblpY="1"/>
        <w:tblOverlap w:val="never"/>
        <w:tblW w:w="9209" w:type="dxa"/>
        <w:tblLook w:val="04A0" w:firstRow="1" w:lastRow="0" w:firstColumn="1" w:lastColumn="0" w:noHBand="0" w:noVBand="1"/>
      </w:tblPr>
      <w:tblGrid>
        <w:gridCol w:w="1181"/>
        <w:gridCol w:w="793"/>
        <w:gridCol w:w="2544"/>
        <w:gridCol w:w="1463"/>
        <w:gridCol w:w="3228"/>
      </w:tblGrid>
      <w:tr w:rsidR="00E75F81" w:rsidRPr="000C5453" w14:paraId="4736A507" w14:textId="77777777" w:rsidTr="00A1443A">
        <w:tc>
          <w:tcPr>
            <w:tcW w:w="1980" w:type="dxa"/>
            <w:gridSpan w:val="2"/>
          </w:tcPr>
          <w:p w14:paraId="002FE56B" w14:textId="77777777" w:rsidR="00E75F81" w:rsidRPr="000C5453" w:rsidRDefault="00E75F81" w:rsidP="00A1443A">
            <w:pPr>
              <w:rPr>
                <w:b/>
                <w:bCs/>
              </w:rPr>
            </w:pPr>
            <w:r>
              <w:rPr>
                <w:b/>
                <w:bCs/>
              </w:rPr>
              <w:t>Minute Point</w:t>
            </w:r>
          </w:p>
        </w:tc>
        <w:tc>
          <w:tcPr>
            <w:tcW w:w="2561" w:type="dxa"/>
          </w:tcPr>
          <w:p w14:paraId="4880F60A" w14:textId="77777777" w:rsidR="00E75F81" w:rsidRPr="000C5453" w:rsidRDefault="00E75F81" w:rsidP="00A1443A">
            <w:pPr>
              <w:rPr>
                <w:b/>
                <w:bCs/>
              </w:rPr>
            </w:pPr>
            <w:r w:rsidRPr="000C5453">
              <w:rPr>
                <w:b/>
                <w:bCs/>
              </w:rPr>
              <w:t>Identified Action</w:t>
            </w:r>
          </w:p>
        </w:tc>
        <w:tc>
          <w:tcPr>
            <w:tcW w:w="1408" w:type="dxa"/>
          </w:tcPr>
          <w:p w14:paraId="166BB202" w14:textId="77777777" w:rsidR="00E75F81" w:rsidRPr="000C5453" w:rsidRDefault="00E75F81" w:rsidP="00A1443A">
            <w:pPr>
              <w:rPr>
                <w:b/>
                <w:bCs/>
              </w:rPr>
            </w:pPr>
            <w:r w:rsidRPr="000C5453">
              <w:rPr>
                <w:b/>
                <w:bCs/>
              </w:rPr>
              <w:t>Individual(s) Responsible</w:t>
            </w:r>
          </w:p>
        </w:tc>
        <w:tc>
          <w:tcPr>
            <w:tcW w:w="3260" w:type="dxa"/>
          </w:tcPr>
          <w:p w14:paraId="3C98A675" w14:textId="77777777" w:rsidR="00E75F81" w:rsidRPr="000C5453" w:rsidRDefault="00E75F81" w:rsidP="00A1443A">
            <w:pPr>
              <w:rPr>
                <w:b/>
                <w:bCs/>
              </w:rPr>
            </w:pPr>
            <w:r w:rsidRPr="000C5453">
              <w:rPr>
                <w:b/>
                <w:bCs/>
              </w:rPr>
              <w:t>Action Status/Update</w:t>
            </w:r>
          </w:p>
        </w:tc>
      </w:tr>
      <w:tr w:rsidR="00E75F81" w:rsidRPr="000C5453" w14:paraId="1035E7A4" w14:textId="77777777" w:rsidTr="00A1443A">
        <w:tc>
          <w:tcPr>
            <w:tcW w:w="1184" w:type="dxa"/>
            <w:vMerge w:val="restart"/>
            <w:textDirection w:val="btLr"/>
          </w:tcPr>
          <w:p w14:paraId="1665E52C" w14:textId="77777777" w:rsidR="00E75F81" w:rsidRPr="00E2354E" w:rsidRDefault="00E75F81" w:rsidP="00A1443A">
            <w:pPr>
              <w:ind w:left="113" w:right="113"/>
              <w:jc w:val="center"/>
              <w:rPr>
                <w:b/>
                <w:bCs/>
              </w:rPr>
            </w:pPr>
            <w:r w:rsidRPr="00E2354E">
              <w:rPr>
                <w:b/>
                <w:bCs/>
              </w:rPr>
              <w:t>12 June 2025</w:t>
            </w:r>
          </w:p>
          <w:p w14:paraId="5E15847A" w14:textId="77777777" w:rsidR="00E75F81" w:rsidRDefault="00E75F81" w:rsidP="00A1443A">
            <w:pPr>
              <w:ind w:left="113" w:right="113"/>
              <w:rPr>
                <w:b/>
                <w:bCs/>
              </w:rPr>
            </w:pPr>
          </w:p>
          <w:p w14:paraId="7A881EB3" w14:textId="77777777" w:rsidR="00E75F81" w:rsidRDefault="00E75F81" w:rsidP="00A1443A">
            <w:pPr>
              <w:ind w:left="113" w:right="113"/>
              <w:rPr>
                <w:b/>
                <w:bCs/>
              </w:rPr>
            </w:pPr>
          </w:p>
          <w:p w14:paraId="530EA5D3" w14:textId="77777777" w:rsidR="00E75F81" w:rsidRPr="00F50705" w:rsidRDefault="00E75F81" w:rsidP="00A1443A">
            <w:pPr>
              <w:ind w:left="113" w:right="113"/>
            </w:pPr>
          </w:p>
        </w:tc>
        <w:tc>
          <w:tcPr>
            <w:tcW w:w="796" w:type="dxa"/>
          </w:tcPr>
          <w:p w14:paraId="73FC5F99" w14:textId="77777777" w:rsidR="00E75F81" w:rsidRDefault="00E75F81" w:rsidP="00A1443A">
            <w:pPr>
              <w:rPr>
                <w:b/>
                <w:bCs/>
              </w:rPr>
            </w:pPr>
            <w:r>
              <w:rPr>
                <w:b/>
                <w:bCs/>
              </w:rPr>
              <w:t>4.17</w:t>
            </w:r>
          </w:p>
        </w:tc>
        <w:tc>
          <w:tcPr>
            <w:tcW w:w="2561" w:type="dxa"/>
          </w:tcPr>
          <w:p w14:paraId="33EC6984" w14:textId="77777777" w:rsidR="00E75F81" w:rsidRPr="0075163B" w:rsidRDefault="00E75F81" w:rsidP="00A1443A">
            <w:r w:rsidRPr="0075163B">
              <w:t xml:space="preserve">GC to send </w:t>
            </w:r>
            <w:r>
              <w:t xml:space="preserve">AI Guidelines </w:t>
            </w:r>
            <w:r w:rsidRPr="0075163B">
              <w:t xml:space="preserve">  to PGOs and PGR Admins for tracked edits.</w:t>
            </w:r>
          </w:p>
        </w:tc>
        <w:tc>
          <w:tcPr>
            <w:tcW w:w="1408" w:type="dxa"/>
          </w:tcPr>
          <w:p w14:paraId="0F98CD64" w14:textId="77777777" w:rsidR="00E75F81" w:rsidRPr="000C5453" w:rsidRDefault="00E75F81" w:rsidP="00A1443A">
            <w:pPr>
              <w:rPr>
                <w:b/>
                <w:bCs/>
              </w:rPr>
            </w:pPr>
            <w:r>
              <w:rPr>
                <w:b/>
                <w:bCs/>
              </w:rPr>
              <w:t>GC</w:t>
            </w:r>
          </w:p>
        </w:tc>
        <w:tc>
          <w:tcPr>
            <w:tcW w:w="3260" w:type="dxa"/>
          </w:tcPr>
          <w:p w14:paraId="740C2009" w14:textId="77777777" w:rsidR="00E75F81" w:rsidRPr="001D57EB" w:rsidRDefault="00E75F81" w:rsidP="00A1443A">
            <w:r w:rsidRPr="001D57EB">
              <w:t>Complete</w:t>
            </w:r>
          </w:p>
        </w:tc>
      </w:tr>
      <w:tr w:rsidR="00E75F81" w:rsidRPr="000C5453" w14:paraId="7EC912F2" w14:textId="77777777" w:rsidTr="00A1443A">
        <w:tc>
          <w:tcPr>
            <w:tcW w:w="1184" w:type="dxa"/>
            <w:vMerge/>
          </w:tcPr>
          <w:p w14:paraId="7F04477B" w14:textId="77777777" w:rsidR="00E75F81" w:rsidRDefault="00E75F81" w:rsidP="00A1443A">
            <w:pPr>
              <w:rPr>
                <w:b/>
                <w:bCs/>
              </w:rPr>
            </w:pPr>
          </w:p>
        </w:tc>
        <w:tc>
          <w:tcPr>
            <w:tcW w:w="796" w:type="dxa"/>
          </w:tcPr>
          <w:p w14:paraId="62372FC5" w14:textId="77777777" w:rsidR="00E75F81" w:rsidRDefault="00E75F81" w:rsidP="00A1443A">
            <w:pPr>
              <w:rPr>
                <w:b/>
                <w:bCs/>
              </w:rPr>
            </w:pPr>
            <w:r>
              <w:rPr>
                <w:b/>
                <w:bCs/>
              </w:rPr>
              <w:t>4.18</w:t>
            </w:r>
          </w:p>
        </w:tc>
        <w:tc>
          <w:tcPr>
            <w:tcW w:w="2561" w:type="dxa"/>
          </w:tcPr>
          <w:p w14:paraId="7A307C98" w14:textId="77777777" w:rsidR="00E75F81" w:rsidRPr="0075163B" w:rsidRDefault="00E75F81" w:rsidP="00A1443A">
            <w:r>
              <w:t>PGOs to circulate guidelines around their schools and return with comments by 30 June</w:t>
            </w:r>
          </w:p>
        </w:tc>
        <w:tc>
          <w:tcPr>
            <w:tcW w:w="1408" w:type="dxa"/>
          </w:tcPr>
          <w:p w14:paraId="3128BFDE" w14:textId="77777777" w:rsidR="00E75F81" w:rsidRDefault="00E75F81" w:rsidP="00A1443A">
            <w:pPr>
              <w:rPr>
                <w:b/>
                <w:bCs/>
              </w:rPr>
            </w:pPr>
            <w:r>
              <w:rPr>
                <w:b/>
                <w:bCs/>
              </w:rPr>
              <w:t>PGOs</w:t>
            </w:r>
          </w:p>
        </w:tc>
        <w:tc>
          <w:tcPr>
            <w:tcW w:w="3260" w:type="dxa"/>
          </w:tcPr>
          <w:p w14:paraId="035569D0" w14:textId="77777777" w:rsidR="00E75F81" w:rsidRPr="001C1AAF" w:rsidRDefault="00E75F81" w:rsidP="00A1443A">
            <w:r>
              <w:t xml:space="preserve">Complete </w:t>
            </w:r>
          </w:p>
        </w:tc>
      </w:tr>
      <w:tr w:rsidR="00E75F81" w:rsidRPr="000C5453" w14:paraId="50632EAC" w14:textId="77777777" w:rsidTr="00A1443A">
        <w:tc>
          <w:tcPr>
            <w:tcW w:w="1184" w:type="dxa"/>
            <w:vMerge/>
          </w:tcPr>
          <w:p w14:paraId="02E8CB93" w14:textId="77777777" w:rsidR="00E75F81" w:rsidRDefault="00E75F81" w:rsidP="00A1443A">
            <w:pPr>
              <w:rPr>
                <w:b/>
                <w:bCs/>
              </w:rPr>
            </w:pPr>
          </w:p>
        </w:tc>
        <w:tc>
          <w:tcPr>
            <w:tcW w:w="796" w:type="dxa"/>
          </w:tcPr>
          <w:p w14:paraId="37D681F9" w14:textId="77777777" w:rsidR="00E75F81" w:rsidRDefault="00E75F81" w:rsidP="00A1443A">
            <w:pPr>
              <w:rPr>
                <w:b/>
                <w:bCs/>
              </w:rPr>
            </w:pPr>
            <w:r>
              <w:rPr>
                <w:b/>
                <w:bCs/>
              </w:rPr>
              <w:t>5.9</w:t>
            </w:r>
          </w:p>
        </w:tc>
        <w:tc>
          <w:tcPr>
            <w:tcW w:w="2561" w:type="dxa"/>
          </w:tcPr>
          <w:p w14:paraId="3B44F072" w14:textId="77777777" w:rsidR="00E75F81" w:rsidRDefault="00E75F81" w:rsidP="00A1443A">
            <w:r w:rsidRPr="003C6EF5">
              <w:t>Form a working group to support ongoing implementation and cross-school coordination</w:t>
            </w:r>
            <w:r>
              <w:t xml:space="preserve"> for the PGR Marketing plan</w:t>
            </w:r>
          </w:p>
        </w:tc>
        <w:tc>
          <w:tcPr>
            <w:tcW w:w="1408" w:type="dxa"/>
          </w:tcPr>
          <w:p w14:paraId="5EC91EBA" w14:textId="77777777" w:rsidR="00E75F81" w:rsidRDefault="00E75F81" w:rsidP="00A1443A">
            <w:pPr>
              <w:rPr>
                <w:b/>
                <w:bCs/>
              </w:rPr>
            </w:pPr>
            <w:r>
              <w:rPr>
                <w:b/>
                <w:bCs/>
              </w:rPr>
              <w:t>BH/LL</w:t>
            </w:r>
          </w:p>
        </w:tc>
        <w:tc>
          <w:tcPr>
            <w:tcW w:w="3260" w:type="dxa"/>
          </w:tcPr>
          <w:p w14:paraId="64ACB330" w14:textId="0C6519CB" w:rsidR="00E75F81" w:rsidRPr="001C1AAF" w:rsidRDefault="00E75F81" w:rsidP="00A1443A">
            <w:r>
              <w:t>Ongoing</w:t>
            </w:r>
            <w:r w:rsidR="007E4A77">
              <w:t xml:space="preserve"> – BH sent an email update on Marketing Progress. GC to circulate post meeting. </w:t>
            </w:r>
            <w:r w:rsidR="002B2A3A">
              <w:t xml:space="preserve">LL highlighted the creation of a PGR Factsheet, </w:t>
            </w:r>
            <w:r w:rsidR="001D0A1E">
              <w:t xml:space="preserve">plans for collating student testimonials and photograph for marketing purposes. </w:t>
            </w:r>
            <w:r w:rsidR="00937DFA">
              <w:t>BH will provide a more robust update next committee meeting.</w:t>
            </w:r>
          </w:p>
        </w:tc>
      </w:tr>
      <w:tr w:rsidR="00E75F81" w:rsidRPr="000C5453" w14:paraId="4EF4FBB8" w14:textId="77777777" w:rsidTr="00A1443A">
        <w:tc>
          <w:tcPr>
            <w:tcW w:w="1184" w:type="dxa"/>
            <w:vMerge/>
          </w:tcPr>
          <w:p w14:paraId="08026E74" w14:textId="77777777" w:rsidR="00E75F81" w:rsidRDefault="00E75F81" w:rsidP="00A1443A">
            <w:pPr>
              <w:rPr>
                <w:b/>
                <w:bCs/>
              </w:rPr>
            </w:pPr>
          </w:p>
        </w:tc>
        <w:tc>
          <w:tcPr>
            <w:tcW w:w="796" w:type="dxa"/>
          </w:tcPr>
          <w:p w14:paraId="6054162E" w14:textId="77777777" w:rsidR="00E75F81" w:rsidRDefault="00E75F81" w:rsidP="00A1443A">
            <w:pPr>
              <w:rPr>
                <w:b/>
                <w:bCs/>
              </w:rPr>
            </w:pPr>
            <w:r>
              <w:rPr>
                <w:b/>
                <w:bCs/>
              </w:rPr>
              <w:t>6.10</w:t>
            </w:r>
          </w:p>
        </w:tc>
        <w:tc>
          <w:tcPr>
            <w:tcW w:w="2561" w:type="dxa"/>
          </w:tcPr>
          <w:p w14:paraId="14E3CBD7" w14:textId="77777777" w:rsidR="00E75F81" w:rsidRPr="003C6EF5" w:rsidRDefault="00E75F81" w:rsidP="00A1443A">
            <w:r>
              <w:t>Refine updated CoC process and create guidelines for schools</w:t>
            </w:r>
          </w:p>
        </w:tc>
        <w:tc>
          <w:tcPr>
            <w:tcW w:w="1408" w:type="dxa"/>
          </w:tcPr>
          <w:p w14:paraId="020FA484" w14:textId="77777777" w:rsidR="00E75F81" w:rsidRDefault="00E75F81" w:rsidP="00A1443A">
            <w:pPr>
              <w:rPr>
                <w:b/>
                <w:bCs/>
              </w:rPr>
            </w:pPr>
            <w:r>
              <w:rPr>
                <w:b/>
                <w:bCs/>
              </w:rPr>
              <w:t>RT</w:t>
            </w:r>
          </w:p>
        </w:tc>
        <w:tc>
          <w:tcPr>
            <w:tcW w:w="3260" w:type="dxa"/>
          </w:tcPr>
          <w:p w14:paraId="2D271247" w14:textId="3C499D5C" w:rsidR="00E75F81" w:rsidRPr="001C1AAF" w:rsidRDefault="00E75F81" w:rsidP="00A1443A">
            <w:r>
              <w:t>Ongoing</w:t>
            </w:r>
            <w:r w:rsidR="00DF7B51">
              <w:t xml:space="preserve"> – </w:t>
            </w:r>
            <w:r w:rsidR="00C6355F">
              <w:t>Meeting with PGOs occurred, Meeting with PGR Admin scheduled; process is being worked on; further updates tbc</w:t>
            </w:r>
          </w:p>
        </w:tc>
      </w:tr>
      <w:tr w:rsidR="00E75F81" w:rsidRPr="000C5453" w14:paraId="67DD4AEF" w14:textId="77777777" w:rsidTr="00A1443A">
        <w:tc>
          <w:tcPr>
            <w:tcW w:w="1184" w:type="dxa"/>
            <w:vMerge/>
          </w:tcPr>
          <w:p w14:paraId="2769AF17" w14:textId="77777777" w:rsidR="00E75F81" w:rsidRDefault="00E75F81" w:rsidP="00A1443A">
            <w:pPr>
              <w:rPr>
                <w:b/>
                <w:bCs/>
              </w:rPr>
            </w:pPr>
          </w:p>
        </w:tc>
        <w:tc>
          <w:tcPr>
            <w:tcW w:w="796" w:type="dxa"/>
          </w:tcPr>
          <w:p w14:paraId="1C6ED8C1" w14:textId="77777777" w:rsidR="00E75F81" w:rsidRDefault="00E75F81" w:rsidP="00A1443A">
            <w:pPr>
              <w:rPr>
                <w:b/>
                <w:bCs/>
              </w:rPr>
            </w:pPr>
            <w:r>
              <w:rPr>
                <w:b/>
                <w:bCs/>
              </w:rPr>
              <w:t>7.2</w:t>
            </w:r>
          </w:p>
        </w:tc>
        <w:tc>
          <w:tcPr>
            <w:tcW w:w="2561" w:type="dxa"/>
          </w:tcPr>
          <w:p w14:paraId="637E1DF5" w14:textId="77777777" w:rsidR="00E75F81" w:rsidRDefault="00E75F81" w:rsidP="00A1443A">
            <w:r>
              <w:t xml:space="preserve">Discuss the prominence of Primo Research Assistant with Library </w:t>
            </w:r>
          </w:p>
        </w:tc>
        <w:tc>
          <w:tcPr>
            <w:tcW w:w="1408" w:type="dxa"/>
          </w:tcPr>
          <w:p w14:paraId="78502288" w14:textId="77777777" w:rsidR="00E75F81" w:rsidRDefault="00E75F81" w:rsidP="00A1443A">
            <w:pPr>
              <w:rPr>
                <w:b/>
                <w:bCs/>
              </w:rPr>
            </w:pPr>
            <w:r>
              <w:rPr>
                <w:b/>
                <w:bCs/>
              </w:rPr>
              <w:t>LL</w:t>
            </w:r>
          </w:p>
        </w:tc>
        <w:tc>
          <w:tcPr>
            <w:tcW w:w="3260" w:type="dxa"/>
          </w:tcPr>
          <w:p w14:paraId="3549B624" w14:textId="112A075E" w:rsidR="00E75F81" w:rsidRPr="001C1AAF" w:rsidRDefault="00DF7B51" w:rsidP="00A1443A">
            <w:r>
              <w:t xml:space="preserve">Complete – LL passed the action to Library and Information Services who are doing a consultation on the matter and working towards a solution. ABDNAI will be consulted as well. </w:t>
            </w:r>
          </w:p>
        </w:tc>
      </w:tr>
      <w:tr w:rsidR="00E75F81" w:rsidRPr="000C5453" w14:paraId="5292E620" w14:textId="77777777" w:rsidTr="00A1443A">
        <w:tc>
          <w:tcPr>
            <w:tcW w:w="1184" w:type="dxa"/>
          </w:tcPr>
          <w:p w14:paraId="2F909415" w14:textId="77777777" w:rsidR="00E75F81" w:rsidRDefault="00E75F81" w:rsidP="00A1443A">
            <w:pPr>
              <w:rPr>
                <w:b/>
                <w:bCs/>
              </w:rPr>
            </w:pPr>
          </w:p>
        </w:tc>
        <w:tc>
          <w:tcPr>
            <w:tcW w:w="796" w:type="dxa"/>
          </w:tcPr>
          <w:p w14:paraId="588DBAA0" w14:textId="77777777" w:rsidR="00E75F81" w:rsidRDefault="00E75F81" w:rsidP="00A1443A">
            <w:pPr>
              <w:rPr>
                <w:b/>
                <w:bCs/>
              </w:rPr>
            </w:pPr>
          </w:p>
        </w:tc>
        <w:tc>
          <w:tcPr>
            <w:tcW w:w="2561" w:type="dxa"/>
          </w:tcPr>
          <w:p w14:paraId="503D7386" w14:textId="77777777" w:rsidR="00E75F81" w:rsidRDefault="00E75F81" w:rsidP="00A1443A"/>
        </w:tc>
        <w:tc>
          <w:tcPr>
            <w:tcW w:w="1408" w:type="dxa"/>
          </w:tcPr>
          <w:p w14:paraId="6085CEFE" w14:textId="77777777" w:rsidR="00E75F81" w:rsidRDefault="00E75F81" w:rsidP="00A1443A">
            <w:pPr>
              <w:rPr>
                <w:b/>
                <w:bCs/>
              </w:rPr>
            </w:pPr>
          </w:p>
        </w:tc>
        <w:tc>
          <w:tcPr>
            <w:tcW w:w="3260" w:type="dxa"/>
          </w:tcPr>
          <w:p w14:paraId="0862D505" w14:textId="77777777" w:rsidR="00E75F81" w:rsidRPr="001C1AAF" w:rsidRDefault="00E75F81" w:rsidP="00A1443A"/>
        </w:tc>
      </w:tr>
      <w:tr w:rsidR="00E75F81" w:rsidRPr="000C5453" w14:paraId="61752C43" w14:textId="77777777" w:rsidTr="00A1443A">
        <w:tc>
          <w:tcPr>
            <w:tcW w:w="1184" w:type="dxa"/>
            <w:vMerge w:val="restart"/>
            <w:textDirection w:val="btLr"/>
          </w:tcPr>
          <w:p w14:paraId="68933423" w14:textId="77777777" w:rsidR="00E75F81" w:rsidRDefault="00E75F81" w:rsidP="00D82CD7">
            <w:pPr>
              <w:ind w:left="113" w:right="113"/>
              <w:jc w:val="center"/>
              <w:rPr>
                <w:b/>
                <w:bCs/>
              </w:rPr>
            </w:pPr>
            <w:r>
              <w:rPr>
                <w:b/>
                <w:bCs/>
              </w:rPr>
              <w:t>27th March 2025</w:t>
            </w:r>
          </w:p>
        </w:tc>
        <w:tc>
          <w:tcPr>
            <w:tcW w:w="796" w:type="dxa"/>
          </w:tcPr>
          <w:p w14:paraId="72440CBC" w14:textId="77777777" w:rsidR="00E75F81" w:rsidRPr="00840044" w:rsidRDefault="00E75F81" w:rsidP="00A1443A">
            <w:pPr>
              <w:rPr>
                <w:b/>
                <w:bCs/>
              </w:rPr>
            </w:pPr>
            <w:r w:rsidRPr="00840044">
              <w:rPr>
                <w:b/>
                <w:bCs/>
              </w:rPr>
              <w:t>4.</w:t>
            </w:r>
            <w:r>
              <w:rPr>
                <w:b/>
                <w:bCs/>
              </w:rPr>
              <w:t>8</w:t>
            </w:r>
          </w:p>
        </w:tc>
        <w:tc>
          <w:tcPr>
            <w:tcW w:w="2561" w:type="dxa"/>
          </w:tcPr>
          <w:p w14:paraId="37A98953" w14:textId="77777777" w:rsidR="00E75F81" w:rsidRPr="00840044" w:rsidRDefault="00E75F81" w:rsidP="00A1443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LL to share UKRI paternity policy. </w:t>
            </w:r>
          </w:p>
        </w:tc>
        <w:tc>
          <w:tcPr>
            <w:tcW w:w="1408" w:type="dxa"/>
          </w:tcPr>
          <w:p w14:paraId="7E0606E5" w14:textId="77777777" w:rsidR="00E75F81" w:rsidRPr="00840044" w:rsidRDefault="00E75F81" w:rsidP="00A1443A">
            <w:pPr>
              <w:rPr>
                <w:b/>
                <w:bCs/>
              </w:rPr>
            </w:pPr>
            <w:r>
              <w:rPr>
                <w:b/>
                <w:bCs/>
              </w:rPr>
              <w:t>LL</w:t>
            </w:r>
          </w:p>
        </w:tc>
        <w:tc>
          <w:tcPr>
            <w:tcW w:w="3260" w:type="dxa"/>
          </w:tcPr>
          <w:p w14:paraId="484385EA" w14:textId="12C2999F" w:rsidR="00E75F81" w:rsidRPr="00DB4D85" w:rsidRDefault="005726D1" w:rsidP="00A1443A">
            <w:r>
              <w:t>Complete</w:t>
            </w:r>
          </w:p>
        </w:tc>
      </w:tr>
      <w:tr w:rsidR="00E75F81" w:rsidRPr="000C5453" w14:paraId="73C7104F" w14:textId="77777777" w:rsidTr="00A1443A">
        <w:trPr>
          <w:trHeight w:val="935"/>
        </w:trPr>
        <w:tc>
          <w:tcPr>
            <w:tcW w:w="1184" w:type="dxa"/>
            <w:vMerge/>
          </w:tcPr>
          <w:p w14:paraId="672FE067" w14:textId="77777777" w:rsidR="00E75F81" w:rsidRDefault="00E75F81" w:rsidP="00A1443A">
            <w:pPr>
              <w:rPr>
                <w:b/>
                <w:bCs/>
              </w:rPr>
            </w:pPr>
          </w:p>
        </w:tc>
        <w:tc>
          <w:tcPr>
            <w:tcW w:w="796" w:type="dxa"/>
          </w:tcPr>
          <w:p w14:paraId="32C0B5FF" w14:textId="77777777" w:rsidR="00E75F81" w:rsidRPr="00840044" w:rsidRDefault="00E75F81" w:rsidP="00A1443A">
            <w:pPr>
              <w:rPr>
                <w:b/>
                <w:bCs/>
              </w:rPr>
            </w:pPr>
            <w:r>
              <w:rPr>
                <w:b/>
                <w:bCs/>
              </w:rPr>
              <w:t>4.9</w:t>
            </w:r>
          </w:p>
        </w:tc>
        <w:tc>
          <w:tcPr>
            <w:tcW w:w="2561" w:type="dxa"/>
          </w:tcPr>
          <w:p w14:paraId="2612C4AA" w14:textId="77777777" w:rsidR="00E75F81" w:rsidRPr="00840044" w:rsidRDefault="00E75F81" w:rsidP="00A1443A">
            <w:r>
              <w:t>SP to progress Paternal Leave policy with Student Immigration Compliance and SMT.</w:t>
            </w:r>
          </w:p>
        </w:tc>
        <w:tc>
          <w:tcPr>
            <w:tcW w:w="1408" w:type="dxa"/>
          </w:tcPr>
          <w:p w14:paraId="390F7D1C" w14:textId="77777777" w:rsidR="00E75F81" w:rsidRPr="00230304" w:rsidRDefault="00E75F81" w:rsidP="00A1443A">
            <w:pPr>
              <w:rPr>
                <w:b/>
                <w:bCs/>
              </w:rPr>
            </w:pPr>
            <w:r w:rsidRPr="00230304">
              <w:rPr>
                <w:b/>
                <w:bCs/>
              </w:rPr>
              <w:t>SP</w:t>
            </w:r>
          </w:p>
        </w:tc>
        <w:tc>
          <w:tcPr>
            <w:tcW w:w="3260" w:type="dxa"/>
          </w:tcPr>
          <w:p w14:paraId="223F5C5D" w14:textId="04234BE8" w:rsidR="00E75F81" w:rsidRPr="00DB4D85" w:rsidRDefault="005726D1" w:rsidP="00A1443A">
            <w:r>
              <w:t>Complete</w:t>
            </w:r>
          </w:p>
        </w:tc>
      </w:tr>
      <w:tr w:rsidR="00E75F81" w:rsidRPr="000C5453" w14:paraId="20284BE2" w14:textId="77777777" w:rsidTr="00A1443A">
        <w:trPr>
          <w:trHeight w:val="806"/>
        </w:trPr>
        <w:tc>
          <w:tcPr>
            <w:tcW w:w="1184" w:type="dxa"/>
            <w:vMerge/>
          </w:tcPr>
          <w:p w14:paraId="36C98D34" w14:textId="77777777" w:rsidR="00E75F81" w:rsidRDefault="00E75F81" w:rsidP="00A1443A">
            <w:pPr>
              <w:rPr>
                <w:b/>
                <w:bCs/>
              </w:rPr>
            </w:pPr>
          </w:p>
        </w:tc>
        <w:tc>
          <w:tcPr>
            <w:tcW w:w="796" w:type="dxa"/>
          </w:tcPr>
          <w:p w14:paraId="6D3AC9F2" w14:textId="77777777" w:rsidR="00E75F81" w:rsidRPr="00840044" w:rsidRDefault="00E75F81" w:rsidP="00A1443A">
            <w:pPr>
              <w:rPr>
                <w:b/>
                <w:bCs/>
              </w:rPr>
            </w:pPr>
            <w:r>
              <w:rPr>
                <w:b/>
                <w:bCs/>
              </w:rPr>
              <w:t>5.9</w:t>
            </w:r>
          </w:p>
        </w:tc>
        <w:tc>
          <w:tcPr>
            <w:tcW w:w="2561" w:type="dxa"/>
          </w:tcPr>
          <w:p w14:paraId="036242C0" w14:textId="77777777" w:rsidR="00E75F81" w:rsidRPr="00230304" w:rsidRDefault="00E75F81" w:rsidP="00A1443A">
            <w:r>
              <w:t xml:space="preserve">RG to share link to proposed DMP software. </w:t>
            </w:r>
          </w:p>
        </w:tc>
        <w:tc>
          <w:tcPr>
            <w:tcW w:w="1408" w:type="dxa"/>
          </w:tcPr>
          <w:p w14:paraId="6BA780B6" w14:textId="77777777" w:rsidR="00E75F81" w:rsidRPr="00230304" w:rsidRDefault="00E75F81" w:rsidP="00A1443A">
            <w:pPr>
              <w:rPr>
                <w:b/>
                <w:bCs/>
              </w:rPr>
            </w:pPr>
            <w:r w:rsidRPr="00230304">
              <w:rPr>
                <w:b/>
                <w:bCs/>
              </w:rPr>
              <w:t>RG</w:t>
            </w:r>
          </w:p>
        </w:tc>
        <w:tc>
          <w:tcPr>
            <w:tcW w:w="3260" w:type="dxa"/>
          </w:tcPr>
          <w:p w14:paraId="1401B277" w14:textId="77777777" w:rsidR="00E75F81" w:rsidRPr="00DB4D85" w:rsidRDefault="00E75F81" w:rsidP="00A1443A">
            <w:r>
              <w:t>Ongoing</w:t>
            </w:r>
          </w:p>
        </w:tc>
      </w:tr>
      <w:tr w:rsidR="00E75F81" w:rsidRPr="000C5453" w14:paraId="183B1FB1" w14:textId="77777777" w:rsidTr="00A1443A">
        <w:tc>
          <w:tcPr>
            <w:tcW w:w="1184" w:type="dxa"/>
            <w:vMerge/>
            <w:textDirection w:val="btLr"/>
          </w:tcPr>
          <w:p w14:paraId="44F3EFF9" w14:textId="77777777" w:rsidR="00E75F81" w:rsidRDefault="00E75F81" w:rsidP="00A1443A">
            <w:pPr>
              <w:ind w:left="113" w:right="113"/>
              <w:jc w:val="center"/>
              <w:rPr>
                <w:b/>
                <w:bCs/>
              </w:rPr>
            </w:pPr>
          </w:p>
        </w:tc>
        <w:tc>
          <w:tcPr>
            <w:tcW w:w="796" w:type="dxa"/>
          </w:tcPr>
          <w:p w14:paraId="5D49F940" w14:textId="77777777" w:rsidR="00E75F81" w:rsidRPr="00840044" w:rsidRDefault="00E75F81" w:rsidP="00A1443A">
            <w:pPr>
              <w:rPr>
                <w:b/>
                <w:bCs/>
              </w:rPr>
            </w:pPr>
            <w:r>
              <w:rPr>
                <w:b/>
                <w:bCs/>
              </w:rPr>
              <w:t>6.3</w:t>
            </w:r>
          </w:p>
        </w:tc>
        <w:tc>
          <w:tcPr>
            <w:tcW w:w="2561" w:type="dxa"/>
          </w:tcPr>
          <w:p w14:paraId="79EBE543" w14:textId="77777777" w:rsidR="00E75F81" w:rsidRPr="00840044" w:rsidRDefault="00E75F81" w:rsidP="00A1443A">
            <w:pPr>
              <w:jc w:val="both"/>
            </w:pPr>
            <w:r>
              <w:t xml:space="preserve">SB to update on Digital Preservation of Electronic Theses paper progression. </w:t>
            </w:r>
          </w:p>
        </w:tc>
        <w:tc>
          <w:tcPr>
            <w:tcW w:w="1408" w:type="dxa"/>
          </w:tcPr>
          <w:p w14:paraId="69C73373" w14:textId="77777777" w:rsidR="00E75F81" w:rsidRPr="00840044" w:rsidRDefault="00E75F81" w:rsidP="00A1443A">
            <w:pPr>
              <w:rPr>
                <w:b/>
                <w:bCs/>
              </w:rPr>
            </w:pPr>
            <w:r>
              <w:rPr>
                <w:b/>
                <w:bCs/>
              </w:rPr>
              <w:t>SB</w:t>
            </w:r>
          </w:p>
        </w:tc>
        <w:tc>
          <w:tcPr>
            <w:tcW w:w="3260" w:type="dxa"/>
          </w:tcPr>
          <w:p w14:paraId="1A0DA336" w14:textId="77777777" w:rsidR="00E75F81" w:rsidRPr="00DB4D85" w:rsidRDefault="00E75F81" w:rsidP="00A1443A">
            <w:r>
              <w:t>Ongoing</w:t>
            </w:r>
          </w:p>
        </w:tc>
      </w:tr>
      <w:tr w:rsidR="00E75F81" w:rsidRPr="000C5453" w14:paraId="1AC639AD" w14:textId="77777777" w:rsidTr="00A1443A">
        <w:tc>
          <w:tcPr>
            <w:tcW w:w="1184" w:type="dxa"/>
            <w:vMerge/>
          </w:tcPr>
          <w:p w14:paraId="2F3B914F" w14:textId="77777777" w:rsidR="00E75F81" w:rsidRDefault="00E75F81" w:rsidP="00A1443A">
            <w:pPr>
              <w:rPr>
                <w:b/>
                <w:bCs/>
              </w:rPr>
            </w:pPr>
          </w:p>
        </w:tc>
        <w:tc>
          <w:tcPr>
            <w:tcW w:w="796" w:type="dxa"/>
          </w:tcPr>
          <w:p w14:paraId="1B424C88" w14:textId="77777777" w:rsidR="00E75F81" w:rsidRPr="00840044" w:rsidRDefault="00E75F81" w:rsidP="00A1443A">
            <w:pPr>
              <w:rPr>
                <w:b/>
                <w:bCs/>
              </w:rPr>
            </w:pPr>
            <w:r w:rsidRPr="00840044">
              <w:rPr>
                <w:b/>
                <w:bCs/>
              </w:rPr>
              <w:t>8.</w:t>
            </w:r>
            <w:r>
              <w:rPr>
                <w:b/>
                <w:bCs/>
              </w:rPr>
              <w:t>1</w:t>
            </w:r>
          </w:p>
        </w:tc>
        <w:tc>
          <w:tcPr>
            <w:tcW w:w="2561" w:type="dxa"/>
          </w:tcPr>
          <w:p w14:paraId="597EC629" w14:textId="77777777" w:rsidR="00E75F81" w:rsidRPr="00840044" w:rsidRDefault="00E75F81" w:rsidP="00A1443A">
            <w:r>
              <w:t xml:space="preserve">LL/SP to review Neuro-inclusive viva suggestion papers from Doctoral Reps group. </w:t>
            </w:r>
          </w:p>
        </w:tc>
        <w:tc>
          <w:tcPr>
            <w:tcW w:w="1408" w:type="dxa"/>
          </w:tcPr>
          <w:p w14:paraId="6F84FB0B" w14:textId="77777777" w:rsidR="00E75F81" w:rsidRPr="00840044" w:rsidRDefault="00E75F81" w:rsidP="00A1443A">
            <w:pPr>
              <w:rPr>
                <w:b/>
                <w:bCs/>
              </w:rPr>
            </w:pPr>
            <w:r>
              <w:rPr>
                <w:b/>
                <w:bCs/>
              </w:rPr>
              <w:t>LL/SP</w:t>
            </w:r>
          </w:p>
        </w:tc>
        <w:tc>
          <w:tcPr>
            <w:tcW w:w="3260" w:type="dxa"/>
          </w:tcPr>
          <w:p w14:paraId="5B9FC144" w14:textId="31621B07" w:rsidR="00E75F81" w:rsidRPr="00DB4D85" w:rsidRDefault="00E75F81" w:rsidP="00A1443A">
            <w:r>
              <w:t>Ongoing</w:t>
            </w:r>
            <w:r w:rsidR="00EB4A05">
              <w:t xml:space="preserve"> </w:t>
            </w:r>
            <w:r w:rsidR="00A470C3">
              <w:t>–</w:t>
            </w:r>
            <w:r w:rsidR="00EB4A05">
              <w:t xml:space="preserve"> </w:t>
            </w:r>
            <w:r w:rsidR="00A470C3">
              <w:t>this is a priority for 25/26</w:t>
            </w:r>
          </w:p>
        </w:tc>
      </w:tr>
      <w:tr w:rsidR="00E75F81" w:rsidRPr="000C5453" w14:paraId="72227A32" w14:textId="77777777" w:rsidTr="00A1443A">
        <w:tc>
          <w:tcPr>
            <w:tcW w:w="1184" w:type="dxa"/>
            <w:vMerge/>
          </w:tcPr>
          <w:p w14:paraId="419F71DF" w14:textId="77777777" w:rsidR="00E75F81" w:rsidRDefault="00E75F81" w:rsidP="00A1443A">
            <w:pPr>
              <w:rPr>
                <w:b/>
                <w:bCs/>
              </w:rPr>
            </w:pPr>
          </w:p>
        </w:tc>
        <w:tc>
          <w:tcPr>
            <w:tcW w:w="796" w:type="dxa"/>
          </w:tcPr>
          <w:p w14:paraId="1CE0518E" w14:textId="77777777" w:rsidR="00E75F81" w:rsidRPr="00840044" w:rsidRDefault="00E75F81" w:rsidP="00A1443A">
            <w:pPr>
              <w:rPr>
                <w:b/>
                <w:bCs/>
              </w:rPr>
            </w:pPr>
            <w:r>
              <w:rPr>
                <w:b/>
                <w:bCs/>
              </w:rPr>
              <w:t>9.2</w:t>
            </w:r>
          </w:p>
        </w:tc>
        <w:tc>
          <w:tcPr>
            <w:tcW w:w="2561" w:type="dxa"/>
          </w:tcPr>
          <w:p w14:paraId="64A56A62" w14:textId="77777777" w:rsidR="00E75F81" w:rsidRDefault="00E75F81" w:rsidP="00A1443A">
            <w:r>
              <w:t xml:space="preserve">RF to provide update on thesis through Turnitin trials. </w:t>
            </w:r>
          </w:p>
        </w:tc>
        <w:tc>
          <w:tcPr>
            <w:tcW w:w="1408" w:type="dxa"/>
          </w:tcPr>
          <w:p w14:paraId="38EF1B7A" w14:textId="77777777" w:rsidR="00E75F81" w:rsidRDefault="00E75F81" w:rsidP="00A1443A">
            <w:pPr>
              <w:rPr>
                <w:b/>
                <w:bCs/>
              </w:rPr>
            </w:pPr>
            <w:r>
              <w:rPr>
                <w:b/>
                <w:bCs/>
              </w:rPr>
              <w:t>RF</w:t>
            </w:r>
          </w:p>
        </w:tc>
        <w:tc>
          <w:tcPr>
            <w:tcW w:w="3260" w:type="dxa"/>
          </w:tcPr>
          <w:p w14:paraId="47FDE40C" w14:textId="23DF8C07" w:rsidR="00E75F81" w:rsidRPr="00DB4D85" w:rsidRDefault="00E75F81" w:rsidP="00A1443A">
            <w:r>
              <w:t>Ongoing</w:t>
            </w:r>
            <w:r w:rsidR="005726D1">
              <w:t xml:space="preserve"> -  RF will provide progress update (</w:t>
            </w:r>
            <w:r w:rsidR="00EB4A05">
              <w:t>Agenda Point 10</w:t>
            </w:r>
            <w:r w:rsidR="005726D1">
              <w:t>)</w:t>
            </w:r>
          </w:p>
        </w:tc>
      </w:tr>
      <w:tr w:rsidR="00E75F81" w:rsidRPr="000C5453" w14:paraId="023B15F8" w14:textId="77777777" w:rsidTr="00A1443A">
        <w:tc>
          <w:tcPr>
            <w:tcW w:w="1184" w:type="dxa"/>
            <w:vMerge/>
          </w:tcPr>
          <w:p w14:paraId="2FB6C833" w14:textId="77777777" w:rsidR="00E75F81" w:rsidRDefault="00E75F81" w:rsidP="00A1443A">
            <w:pPr>
              <w:rPr>
                <w:b/>
                <w:bCs/>
              </w:rPr>
            </w:pPr>
          </w:p>
        </w:tc>
        <w:tc>
          <w:tcPr>
            <w:tcW w:w="796" w:type="dxa"/>
          </w:tcPr>
          <w:p w14:paraId="122B2612" w14:textId="77777777" w:rsidR="00E75F81" w:rsidRDefault="00E75F81" w:rsidP="00A1443A">
            <w:pPr>
              <w:rPr>
                <w:b/>
                <w:bCs/>
              </w:rPr>
            </w:pPr>
            <w:r>
              <w:rPr>
                <w:b/>
                <w:bCs/>
              </w:rPr>
              <w:t>9.4</w:t>
            </w:r>
          </w:p>
        </w:tc>
        <w:tc>
          <w:tcPr>
            <w:tcW w:w="2561" w:type="dxa"/>
          </w:tcPr>
          <w:p w14:paraId="1C603657" w14:textId="77777777" w:rsidR="00E75F81" w:rsidRDefault="00E75F81" w:rsidP="00A1443A">
            <w:r>
              <w:t xml:space="preserve">RT to share link for IP opt out for data sharing. </w:t>
            </w:r>
          </w:p>
        </w:tc>
        <w:tc>
          <w:tcPr>
            <w:tcW w:w="1408" w:type="dxa"/>
          </w:tcPr>
          <w:p w14:paraId="32116B1E" w14:textId="77777777" w:rsidR="00E75F81" w:rsidRDefault="00E75F81" w:rsidP="00A1443A">
            <w:pPr>
              <w:rPr>
                <w:b/>
                <w:bCs/>
              </w:rPr>
            </w:pPr>
            <w:r>
              <w:rPr>
                <w:b/>
                <w:bCs/>
              </w:rPr>
              <w:t>RT</w:t>
            </w:r>
          </w:p>
        </w:tc>
        <w:tc>
          <w:tcPr>
            <w:tcW w:w="3260" w:type="dxa"/>
          </w:tcPr>
          <w:p w14:paraId="61472AA0" w14:textId="6D0E36F8" w:rsidR="00E75F81" w:rsidRPr="00DB4D85" w:rsidRDefault="00EB4A05" w:rsidP="00A1443A">
            <w:r>
              <w:t>Complete – link is available in CoC.</w:t>
            </w:r>
          </w:p>
        </w:tc>
      </w:tr>
    </w:tbl>
    <w:p w14:paraId="5032D164" w14:textId="77777777" w:rsidR="00E75F81" w:rsidRDefault="00E75F81" w:rsidP="00E75F81">
      <w:pPr>
        <w:ind w:left="0"/>
      </w:pPr>
    </w:p>
    <w:p w14:paraId="5335A76B" w14:textId="77777777" w:rsidR="00E75F81" w:rsidRDefault="00E75F81" w:rsidP="00E75F81">
      <w:pPr>
        <w:ind w:left="0"/>
      </w:pPr>
    </w:p>
    <w:p w14:paraId="4991A5CC" w14:textId="77777777" w:rsidR="00E75F81" w:rsidRDefault="00E75F81" w:rsidP="00E75F81">
      <w:pPr>
        <w:ind w:left="0"/>
      </w:pPr>
    </w:p>
    <w:p w14:paraId="3A5A6DA5" w14:textId="77777777" w:rsidR="009514F0" w:rsidRDefault="009514F0" w:rsidP="00E75F81">
      <w:pPr>
        <w:ind w:left="0"/>
      </w:pPr>
    </w:p>
    <w:p w14:paraId="6E811B4E" w14:textId="77777777" w:rsidR="009514F0" w:rsidRDefault="009514F0" w:rsidP="00E75F81">
      <w:pPr>
        <w:ind w:left="0"/>
      </w:pPr>
    </w:p>
    <w:p w14:paraId="524813C4" w14:textId="77777777" w:rsidR="009514F0" w:rsidRDefault="009514F0" w:rsidP="00E75F81">
      <w:pPr>
        <w:ind w:left="0"/>
      </w:pPr>
    </w:p>
    <w:p w14:paraId="3A2E868B" w14:textId="77777777" w:rsidR="009514F0" w:rsidRDefault="009514F0" w:rsidP="00E75F81">
      <w:pPr>
        <w:ind w:left="0"/>
      </w:pPr>
    </w:p>
    <w:p w14:paraId="73D66C7E" w14:textId="77777777" w:rsidR="009514F0" w:rsidRDefault="009514F0" w:rsidP="00E75F81">
      <w:pPr>
        <w:ind w:left="0"/>
      </w:pPr>
    </w:p>
    <w:p w14:paraId="075AA4F4" w14:textId="77777777" w:rsidR="009514F0" w:rsidRDefault="009514F0" w:rsidP="00E75F81">
      <w:pPr>
        <w:ind w:left="0"/>
      </w:pPr>
    </w:p>
    <w:p w14:paraId="56D28526" w14:textId="77777777" w:rsidR="009514F0" w:rsidRDefault="009514F0" w:rsidP="00E75F81">
      <w:pPr>
        <w:ind w:left="0"/>
      </w:pPr>
    </w:p>
    <w:p w14:paraId="082FA761" w14:textId="77777777" w:rsidR="009514F0" w:rsidRDefault="009514F0" w:rsidP="00E75F81">
      <w:pPr>
        <w:ind w:left="0"/>
      </w:pPr>
    </w:p>
    <w:p w14:paraId="33344E75" w14:textId="77777777" w:rsidR="009514F0" w:rsidRDefault="009514F0" w:rsidP="00E75F81">
      <w:pPr>
        <w:ind w:left="0"/>
      </w:pPr>
    </w:p>
    <w:p w14:paraId="60ED33CE" w14:textId="77777777" w:rsidR="006E4C34" w:rsidRDefault="006E4C34" w:rsidP="00E75F81">
      <w:pPr>
        <w:ind w:left="0"/>
      </w:pPr>
    </w:p>
    <w:p w14:paraId="3E6D53D0" w14:textId="77777777" w:rsidR="006E4C34" w:rsidRDefault="006E4C34" w:rsidP="00E75F81">
      <w:pPr>
        <w:ind w:left="0"/>
      </w:pPr>
    </w:p>
    <w:p w14:paraId="27AAD779" w14:textId="77777777" w:rsidR="006E4C34" w:rsidRDefault="006E4C34" w:rsidP="00E75F81">
      <w:pPr>
        <w:ind w:left="0"/>
      </w:pPr>
    </w:p>
    <w:p w14:paraId="3CFCBF40" w14:textId="77777777" w:rsidR="006E4C34" w:rsidRDefault="006E4C34" w:rsidP="00E75F81">
      <w:pPr>
        <w:ind w:left="0"/>
      </w:pPr>
    </w:p>
    <w:p w14:paraId="44275FE1" w14:textId="77777777" w:rsidR="006E4C34" w:rsidRDefault="006E4C34" w:rsidP="00E75F81">
      <w:pPr>
        <w:ind w:left="0"/>
      </w:pPr>
    </w:p>
    <w:p w14:paraId="5AE514D3" w14:textId="77777777" w:rsidR="006E4C34" w:rsidRDefault="006E4C34" w:rsidP="00E75F81">
      <w:pPr>
        <w:ind w:left="0"/>
      </w:pPr>
    </w:p>
    <w:p w14:paraId="7CDAA966" w14:textId="77777777" w:rsidR="006E4C34" w:rsidRDefault="006E4C34" w:rsidP="00E75F81">
      <w:pPr>
        <w:ind w:left="0"/>
      </w:pPr>
    </w:p>
    <w:p w14:paraId="36253A73" w14:textId="77777777" w:rsidR="006E4C34" w:rsidRDefault="006E4C34" w:rsidP="00E75F81">
      <w:pPr>
        <w:ind w:left="0"/>
      </w:pPr>
    </w:p>
    <w:p w14:paraId="2F87BDBB" w14:textId="77777777" w:rsidR="006E4C34" w:rsidRDefault="006E4C34" w:rsidP="00E75F81">
      <w:pPr>
        <w:ind w:left="0"/>
      </w:pPr>
    </w:p>
    <w:p w14:paraId="114BD2DE" w14:textId="77777777" w:rsidR="006E4C34" w:rsidRDefault="006E4C34" w:rsidP="00E75F81">
      <w:pPr>
        <w:ind w:left="0"/>
      </w:pPr>
    </w:p>
    <w:p w14:paraId="46851EF6" w14:textId="77777777" w:rsidR="006E4C34" w:rsidRDefault="006E4C34" w:rsidP="00E75F81">
      <w:pPr>
        <w:ind w:left="0"/>
      </w:pPr>
    </w:p>
    <w:p w14:paraId="2E4E4E32" w14:textId="73401AE1" w:rsidR="00DE4B58" w:rsidRDefault="00DE4B58" w:rsidP="006D3921">
      <w:pPr>
        <w:pStyle w:val="ListParagraph"/>
        <w:numPr>
          <w:ilvl w:val="0"/>
          <w:numId w:val="1"/>
        </w:numPr>
      </w:pPr>
      <w:r w:rsidRPr="00DC3951">
        <w:rPr>
          <w:b/>
          <w:bCs/>
        </w:rPr>
        <w:t>Committee Remi</w:t>
      </w:r>
      <w:r w:rsidR="00AA7C8F">
        <w:rPr>
          <w:b/>
          <w:bCs/>
        </w:rPr>
        <w:t>t</w:t>
      </w:r>
      <w:r w:rsidRPr="00DC3951">
        <w:rPr>
          <w:b/>
          <w:bCs/>
        </w:rPr>
        <w:t xml:space="preserve"> and Composition</w:t>
      </w:r>
      <w:r>
        <w:t xml:space="preserve"> (SP/LL)</w:t>
      </w:r>
    </w:p>
    <w:p w14:paraId="3BC23D14" w14:textId="29364D0D" w:rsidR="006D3921" w:rsidRDefault="00AA7C8F" w:rsidP="006D3921">
      <w:pPr>
        <w:pStyle w:val="ListParagraph"/>
        <w:numPr>
          <w:ilvl w:val="1"/>
          <w:numId w:val="1"/>
        </w:numPr>
      </w:pPr>
      <w:r>
        <w:t>The a</w:t>
      </w:r>
      <w:r w:rsidR="00FE6394">
        <w:t>nnual review</w:t>
      </w:r>
      <w:r>
        <w:t xml:space="preserve"> of remit and composition the PGRC</w:t>
      </w:r>
      <w:r w:rsidR="00FE6394">
        <w:t xml:space="preserve"> </w:t>
      </w:r>
      <w:r>
        <w:t xml:space="preserve">was discussed and </w:t>
      </w:r>
      <w:r w:rsidR="00FE6394">
        <w:t>approv</w:t>
      </w:r>
      <w:r>
        <w:t>ed</w:t>
      </w:r>
      <w:r w:rsidR="00FE6394">
        <w:t xml:space="preserve"> </w:t>
      </w:r>
      <w:r>
        <w:t xml:space="preserve">with </w:t>
      </w:r>
      <w:r w:rsidR="00FE6394">
        <w:t xml:space="preserve">no major changes to </w:t>
      </w:r>
      <w:r w:rsidR="008A506F">
        <w:t>remit</w:t>
      </w:r>
      <w:r w:rsidR="005C6E2C">
        <w:t xml:space="preserve"> from last year</w:t>
      </w:r>
      <w:r>
        <w:t>.</w:t>
      </w:r>
      <w:r w:rsidR="005C6E2C">
        <w:t xml:space="preserve"> LL highlighted </w:t>
      </w:r>
      <w:r w:rsidR="00BB43BF">
        <w:t>section 7: if members cannot attend a meeting, they should nominate a delegate</w:t>
      </w:r>
      <w:r w:rsidR="00AF7642">
        <w:t xml:space="preserve"> from their school</w:t>
      </w:r>
      <w:r w:rsidR="00BB43BF">
        <w:t xml:space="preserve"> to attend in their stead. </w:t>
      </w:r>
      <w:r w:rsidR="00AF7642">
        <w:t xml:space="preserve">Delegate should be </w:t>
      </w:r>
      <w:r w:rsidR="00495DD7">
        <w:t xml:space="preserve">pre-briefed about the agenda and proceedings of the committee. </w:t>
      </w:r>
    </w:p>
    <w:p w14:paraId="66587D8D" w14:textId="747FEC96" w:rsidR="00D65330" w:rsidRDefault="00C87220" w:rsidP="006D3921">
      <w:pPr>
        <w:pStyle w:val="ListParagraph"/>
        <w:numPr>
          <w:ilvl w:val="1"/>
          <w:numId w:val="1"/>
        </w:numPr>
      </w:pPr>
      <w:r>
        <w:t>M</w:t>
      </w:r>
      <w:r w:rsidR="00D65330">
        <w:t>inor corrections:</w:t>
      </w:r>
      <w:r w:rsidR="00574861">
        <w:t xml:space="preserve"> </w:t>
      </w:r>
      <w:r w:rsidR="007305E1">
        <w:t xml:space="preserve"> name </w:t>
      </w:r>
      <w:r w:rsidR="00574861">
        <w:t>change of Doctoral Reps to PGR Reps is not reflected in the new version (highlighted by BM and FJJ);</w:t>
      </w:r>
      <w:r w:rsidR="00D65330">
        <w:t xml:space="preserve"> </w:t>
      </w:r>
      <w:r w:rsidR="00574861">
        <w:t>u</w:t>
      </w:r>
      <w:r w:rsidR="00D65330">
        <w:t>pdate membership list for 25/26 to reflect changes noted in section 1.1 of the minutes</w:t>
      </w:r>
      <w:r w:rsidR="009F3FE8">
        <w:t>; update title of Dead for Quality Assurance and Enhancement</w:t>
      </w:r>
      <w:r w:rsidR="00F4601C">
        <w:t xml:space="preserve">. </w:t>
      </w:r>
      <w:r w:rsidR="00F4601C" w:rsidRPr="00291164">
        <w:t>ACTION</w:t>
      </w:r>
      <w:r w:rsidR="00F4601C">
        <w:t>: GC</w:t>
      </w:r>
    </w:p>
    <w:p w14:paraId="5A3650E5" w14:textId="6ADA6B2F" w:rsidR="00753451" w:rsidRDefault="00753451" w:rsidP="006D3921">
      <w:pPr>
        <w:pStyle w:val="ListParagraph"/>
        <w:numPr>
          <w:ilvl w:val="1"/>
          <w:numId w:val="1"/>
        </w:numPr>
      </w:pPr>
      <w:r>
        <w:t xml:space="preserve">Remit approved by </w:t>
      </w:r>
      <w:r w:rsidR="00574861">
        <w:t>C</w:t>
      </w:r>
      <w:r>
        <w:t>ommittee</w:t>
      </w:r>
      <w:r w:rsidR="00574861">
        <w:t>.</w:t>
      </w:r>
      <w:r>
        <w:t xml:space="preserve"> </w:t>
      </w:r>
      <w:r w:rsidRPr="00291164">
        <w:t>ACTION</w:t>
      </w:r>
      <w:r>
        <w:t xml:space="preserve">: GC to upload </w:t>
      </w:r>
      <w:r w:rsidR="000E67F3">
        <w:t xml:space="preserve">remit to </w:t>
      </w:r>
      <w:proofErr w:type="spellStart"/>
      <w:r w:rsidR="000E67F3">
        <w:t>StaffNet</w:t>
      </w:r>
      <w:proofErr w:type="spellEnd"/>
      <w:r w:rsidR="000E67F3">
        <w:t>.</w:t>
      </w:r>
    </w:p>
    <w:p w14:paraId="2233E847" w14:textId="426B18B2" w:rsidR="00DE4B58" w:rsidRDefault="00C11694" w:rsidP="00DE4B58">
      <w:pPr>
        <w:pStyle w:val="ListParagraph"/>
        <w:numPr>
          <w:ilvl w:val="0"/>
          <w:numId w:val="1"/>
        </w:numPr>
      </w:pPr>
      <w:r w:rsidRPr="002269BE">
        <w:rPr>
          <w:b/>
          <w:bCs/>
        </w:rPr>
        <w:t>Changes to UKRI Grants Terms and Conditions</w:t>
      </w:r>
      <w:r>
        <w:t xml:space="preserve"> (AMJ/LL)</w:t>
      </w:r>
    </w:p>
    <w:p w14:paraId="7D757560" w14:textId="195C5BD2" w:rsidR="00C6782A" w:rsidRDefault="00C6782A" w:rsidP="00C6782A">
      <w:pPr>
        <w:pStyle w:val="ListParagraph"/>
        <w:numPr>
          <w:ilvl w:val="1"/>
          <w:numId w:val="1"/>
        </w:numPr>
      </w:pPr>
      <w:r>
        <w:t>Cover paper</w:t>
      </w:r>
      <w:r w:rsidR="00283F60">
        <w:t xml:space="preserve"> provided by AMJ highlights most relevant changes</w:t>
      </w:r>
      <w:r w:rsidR="0020143C">
        <w:t xml:space="preserve"> for </w:t>
      </w:r>
      <w:r w:rsidR="00973984">
        <w:t>PGRC and</w:t>
      </w:r>
      <w:r w:rsidR="0020143C">
        <w:t xml:space="preserve"> directly points to appended document. </w:t>
      </w:r>
      <w:r w:rsidR="00973984">
        <w:t>Committee noted UKRI as the</w:t>
      </w:r>
      <w:r w:rsidR="00BC079C" w:rsidRPr="00BC079C">
        <w:t xml:space="preserve"> “gold standard” for student </w:t>
      </w:r>
      <w:r w:rsidR="00BC079C">
        <w:t>provisions and support</w:t>
      </w:r>
      <w:r w:rsidR="00BC079C" w:rsidRPr="00BC079C">
        <w:t>, which the University seeks to emulate.</w:t>
      </w:r>
      <w:r w:rsidR="00973984">
        <w:t xml:space="preserve"> </w:t>
      </w:r>
      <w:r w:rsidRPr="00C6782A">
        <w:t>LL summarised changes</w:t>
      </w:r>
      <w:r w:rsidR="00E07C02">
        <w:t xml:space="preserve"> that will have the h</w:t>
      </w:r>
      <w:r w:rsidR="008F002D">
        <w:t>ighest level of impact for School</w:t>
      </w:r>
      <w:r w:rsidRPr="00C6782A">
        <w:t xml:space="preserve"> from UKRI T&amp;Cs</w:t>
      </w:r>
      <w:r w:rsidR="00123DA9">
        <w:t>;</w:t>
      </w:r>
      <w:r w:rsidR="00973984">
        <w:t xml:space="preserve"> </w:t>
      </w:r>
    </w:p>
    <w:p w14:paraId="4F374077" w14:textId="77777777" w:rsidR="000D48AA" w:rsidRDefault="000D48AA" w:rsidP="000D48AA">
      <w:pPr>
        <w:pStyle w:val="ListParagraph"/>
        <w:numPr>
          <w:ilvl w:val="2"/>
          <w:numId w:val="3"/>
        </w:numPr>
      </w:pPr>
      <w:r w:rsidRPr="00E74F9B">
        <w:t>A stipend may be drawn for Medical Leave for up to 28 weeks in a rolling 12-month period. The total cumulative amount of medical leave must not exceed 52 weeks across the whole studentship.</w:t>
      </w:r>
    </w:p>
    <w:p w14:paraId="15B0F511" w14:textId="77777777" w:rsidR="000D48AA" w:rsidRDefault="000D48AA" w:rsidP="000D48AA">
      <w:pPr>
        <w:pStyle w:val="ListParagraph"/>
        <w:numPr>
          <w:ilvl w:val="2"/>
          <w:numId w:val="3"/>
        </w:numPr>
      </w:pPr>
      <w:r>
        <w:t xml:space="preserve">Students can now change their registration status more than once. </w:t>
      </w:r>
    </w:p>
    <w:p w14:paraId="0FC33790" w14:textId="65404AA5" w:rsidR="000D48AA" w:rsidRDefault="000D48AA" w:rsidP="000D48AA">
      <w:pPr>
        <w:pStyle w:val="ListParagraph"/>
        <w:numPr>
          <w:ilvl w:val="2"/>
          <w:numId w:val="3"/>
        </w:numPr>
      </w:pPr>
      <w:r>
        <w:t xml:space="preserve">Schools are responsible for ensuring reasonable adjustments for supporting disabled students are met. </w:t>
      </w:r>
    </w:p>
    <w:p w14:paraId="50704B37" w14:textId="299AF52E" w:rsidR="002269BE" w:rsidRDefault="00216342" w:rsidP="000D48AA">
      <w:pPr>
        <w:pStyle w:val="ListParagraph"/>
        <w:numPr>
          <w:ilvl w:val="1"/>
          <w:numId w:val="1"/>
        </w:numPr>
      </w:pPr>
      <w:r>
        <w:t xml:space="preserve">The committee noted that </w:t>
      </w:r>
      <w:r w:rsidR="00374B2F">
        <w:t xml:space="preserve">UK </w:t>
      </w:r>
      <w:r w:rsidR="000D48AA">
        <w:t>Immigration</w:t>
      </w:r>
      <w:r w:rsidR="00374B2F">
        <w:t xml:space="preserve"> and Visa rules overrule UKRI and </w:t>
      </w:r>
      <w:r w:rsidR="000D48AA">
        <w:t>University</w:t>
      </w:r>
      <w:r w:rsidR="00374B2F">
        <w:t xml:space="preserve"> policies on leave; Visa </w:t>
      </w:r>
      <w:r w:rsidR="00AA7C8F">
        <w:t>s</w:t>
      </w:r>
      <w:r w:rsidR="00374B2F">
        <w:t xml:space="preserve">tudents </w:t>
      </w:r>
      <w:r w:rsidR="006F7DFA">
        <w:t xml:space="preserve">will need to discuss leave options with </w:t>
      </w:r>
      <w:r w:rsidR="000D48AA">
        <w:t>Immigration</w:t>
      </w:r>
      <w:r w:rsidR="006F7DFA">
        <w:t xml:space="preserve"> Team in order to understand </w:t>
      </w:r>
      <w:r w:rsidR="004B158E">
        <w:t>what this means for them</w:t>
      </w:r>
      <w:r w:rsidR="000D48AA">
        <w:t>.</w:t>
      </w:r>
    </w:p>
    <w:p w14:paraId="065A1E8D" w14:textId="11E570F6" w:rsidR="00C87220" w:rsidRDefault="002E3911" w:rsidP="00DE4B58">
      <w:pPr>
        <w:pStyle w:val="ListParagraph"/>
        <w:numPr>
          <w:ilvl w:val="0"/>
          <w:numId w:val="1"/>
        </w:numPr>
      </w:pPr>
      <w:r w:rsidRPr="00A43836">
        <w:rPr>
          <w:b/>
          <w:bCs/>
        </w:rPr>
        <w:t>Update to University of Aberdeen Policies based on UKRI changes</w:t>
      </w:r>
      <w:r>
        <w:t xml:space="preserve"> (RT)</w:t>
      </w:r>
      <w:r w:rsidR="00A43836">
        <w:t xml:space="preserve"> </w:t>
      </w:r>
    </w:p>
    <w:p w14:paraId="033CE5FD" w14:textId="5F01B7B4" w:rsidR="002A5CB2" w:rsidRDefault="006E28FD" w:rsidP="004D24B8">
      <w:pPr>
        <w:pStyle w:val="ListParagraph"/>
        <w:numPr>
          <w:ilvl w:val="1"/>
          <w:numId w:val="1"/>
        </w:numPr>
      </w:pPr>
      <w:r w:rsidRPr="00A43836">
        <w:rPr>
          <w:b/>
          <w:bCs/>
        </w:rPr>
        <w:t>Absence Policy</w:t>
      </w:r>
      <w:r w:rsidR="007D29AF">
        <w:t xml:space="preserve"> - </w:t>
      </w:r>
      <w:r w:rsidR="007D29AF" w:rsidRPr="007D29AF">
        <w:t>Seeks to harmonise leave entitlement across all students, regardless of funding source.</w:t>
      </w:r>
      <w:r w:rsidR="004D24B8" w:rsidRPr="004D24B8">
        <w:rPr>
          <w:rFonts w:ascii="Times New Roman" w:eastAsia="Times New Roman" w:hAnsi="Symbol" w:cs="Times New Roman"/>
          <w:kern w:val="0"/>
          <w:sz w:val="24"/>
          <w:szCs w:val="24"/>
          <w:lang w:eastAsia="en-GB"/>
          <w14:ligatures w14:val="none"/>
        </w:rPr>
        <w:t xml:space="preserve"> </w:t>
      </w:r>
      <w:r w:rsidR="004D24B8" w:rsidRPr="004D24B8">
        <w:t>Current practice already sees some schools matching UKRI entitlements; policy aims to embed this expectation.</w:t>
      </w:r>
      <w:r w:rsidR="004D24B8">
        <w:t xml:space="preserve"> Updates </w:t>
      </w:r>
      <w:r w:rsidR="00A43836">
        <w:t>clarify new med</w:t>
      </w:r>
      <w:r w:rsidR="004D24B8" w:rsidRPr="004D24B8">
        <w:t>ical and family leave entitlements.</w:t>
      </w:r>
    </w:p>
    <w:p w14:paraId="0FF64397" w14:textId="02E65EEA" w:rsidR="006E28FD" w:rsidRDefault="006E28FD" w:rsidP="00A33FB1">
      <w:pPr>
        <w:pStyle w:val="ListParagraph"/>
        <w:numPr>
          <w:ilvl w:val="1"/>
          <w:numId w:val="1"/>
        </w:numPr>
      </w:pPr>
      <w:r w:rsidRPr="009F6838">
        <w:rPr>
          <w:b/>
          <w:bCs/>
        </w:rPr>
        <w:t>Family Leave Policy</w:t>
      </w:r>
      <w:r w:rsidR="00A43836">
        <w:t xml:space="preserve"> - </w:t>
      </w:r>
      <w:r w:rsidR="00C31473">
        <w:t>Developed in line with UKRI T&amp;Cs. Comprehensive</w:t>
      </w:r>
      <w:r w:rsidR="009F6838">
        <w:t xml:space="preserve"> and</w:t>
      </w:r>
      <w:r w:rsidR="00C31473">
        <w:t xml:space="preserve"> covering maternity, paternity, adoption, carers’ leave, and childcare.</w:t>
      </w:r>
      <w:r w:rsidR="009E087A">
        <w:t xml:space="preserve"> The policy asks schools to plan funding accordingly to cover such needs </w:t>
      </w:r>
      <w:r w:rsidR="00AA7C8F">
        <w:t xml:space="preserve">for </w:t>
      </w:r>
      <w:r w:rsidR="009E087A">
        <w:t>school funded studentships</w:t>
      </w:r>
      <w:r w:rsidR="00C31473">
        <w:t>.</w:t>
      </w:r>
      <w:r w:rsidR="0002341C" w:rsidRPr="0002341C">
        <w:t xml:space="preserve"> </w:t>
      </w:r>
      <w:r w:rsidR="0002341C">
        <w:t>F</w:t>
      </w:r>
      <w:r w:rsidR="0002341C" w:rsidRPr="0002341C">
        <w:t>or externally funded students arrangements will depend on funder conditions</w:t>
      </w:r>
      <w:r w:rsidR="0002341C">
        <w:t xml:space="preserve">. Self-funded students will have to rely on the hardship fund at this stage as no other central </w:t>
      </w:r>
      <w:r w:rsidR="00A33FB1">
        <w:t xml:space="preserve">funding pot exists that covers these needs. </w:t>
      </w:r>
    </w:p>
    <w:p w14:paraId="5D05EC55" w14:textId="52E78C33" w:rsidR="006E28FD" w:rsidRDefault="006E28FD" w:rsidP="006E28FD">
      <w:pPr>
        <w:pStyle w:val="ListParagraph"/>
        <w:numPr>
          <w:ilvl w:val="1"/>
          <w:numId w:val="1"/>
        </w:numPr>
      </w:pPr>
      <w:r w:rsidRPr="00A43836">
        <w:rPr>
          <w:b/>
          <w:bCs/>
        </w:rPr>
        <w:t>PGR Code of Practice</w:t>
      </w:r>
      <w:r w:rsidR="007D29AF">
        <w:t xml:space="preserve"> - </w:t>
      </w:r>
      <w:r w:rsidR="007D29AF" w:rsidRPr="007D29AF">
        <w:t>Minor updates only, reflecting previously approved committee changes.</w:t>
      </w:r>
    </w:p>
    <w:p w14:paraId="7F65E81E" w14:textId="48F61E35" w:rsidR="00A33FB1" w:rsidRDefault="00A33FB1" w:rsidP="006E28FD">
      <w:pPr>
        <w:pStyle w:val="ListParagraph"/>
        <w:numPr>
          <w:ilvl w:val="1"/>
          <w:numId w:val="1"/>
        </w:numPr>
      </w:pPr>
      <w:r>
        <w:rPr>
          <w:b/>
          <w:bCs/>
        </w:rPr>
        <w:lastRenderedPageBreak/>
        <w:t>Discussion</w:t>
      </w:r>
      <w:r w:rsidRPr="00A33FB1">
        <w:t>:</w:t>
      </w:r>
      <w:r>
        <w:t xml:space="preserve"> </w:t>
      </w:r>
    </w:p>
    <w:p w14:paraId="66494138" w14:textId="731DFDCB" w:rsidR="00A33FB1" w:rsidRDefault="00297918" w:rsidP="00A33FB1">
      <w:pPr>
        <w:pStyle w:val="ListParagraph"/>
        <w:numPr>
          <w:ilvl w:val="2"/>
          <w:numId w:val="1"/>
        </w:numPr>
      </w:pPr>
      <w:r w:rsidRPr="00297918">
        <w:t xml:space="preserve">BM: Concern that PGR Directors can advise Heads of School but cannot enforce </w:t>
      </w:r>
      <w:r w:rsidR="0042511B">
        <w:t>budget allocations</w:t>
      </w:r>
      <w:r w:rsidRPr="00297918">
        <w:t>. Risk that unequal school budgets could lead to inequities.</w:t>
      </w:r>
      <w:r w:rsidR="002F6211">
        <w:t xml:space="preserve"> RT </w:t>
      </w:r>
      <w:r w:rsidR="005C0B46">
        <w:t xml:space="preserve">highlighted </w:t>
      </w:r>
      <w:r w:rsidR="002F6211">
        <w:t>this inequality already exists and the policy aims to reduce the gap by setting an expectation for schools early on.</w:t>
      </w:r>
    </w:p>
    <w:p w14:paraId="3ECBFAD5" w14:textId="08DA0FE2" w:rsidR="00297918" w:rsidRDefault="0074052C" w:rsidP="00A33FB1">
      <w:pPr>
        <w:pStyle w:val="ListParagraph"/>
        <w:numPr>
          <w:ilvl w:val="2"/>
          <w:numId w:val="1"/>
        </w:numPr>
      </w:pPr>
      <w:r>
        <w:t xml:space="preserve">SP </w:t>
      </w:r>
      <w:r w:rsidR="005C0B46">
        <w:t xml:space="preserve">informed </w:t>
      </w:r>
      <w:r>
        <w:t xml:space="preserve">the committee that </w:t>
      </w:r>
      <w:r w:rsidR="00AA7C8F">
        <w:t xml:space="preserve">equivalent </w:t>
      </w:r>
      <w:r>
        <w:t xml:space="preserve">policies in </w:t>
      </w:r>
      <w:proofErr w:type="spellStart"/>
      <w:r>
        <w:t>UoE</w:t>
      </w:r>
      <w:proofErr w:type="spellEnd"/>
      <w:r>
        <w:t xml:space="preserve">, </w:t>
      </w:r>
      <w:proofErr w:type="spellStart"/>
      <w:r>
        <w:t>UoG</w:t>
      </w:r>
      <w:proofErr w:type="spellEnd"/>
      <w:r>
        <w:t xml:space="preserve">, and </w:t>
      </w:r>
      <w:proofErr w:type="spellStart"/>
      <w:r>
        <w:t>UoStA</w:t>
      </w:r>
      <w:proofErr w:type="spellEnd"/>
      <w:r w:rsidR="00833149">
        <w:t xml:space="preserve"> </w:t>
      </w:r>
      <w:r w:rsidR="00AA7C8F">
        <w:t>stipulate a match to UKRI</w:t>
      </w:r>
      <w:r w:rsidR="00216A9F">
        <w:t xml:space="preserve"> while our wording allows for some </w:t>
      </w:r>
      <w:r w:rsidR="00AA7C8F">
        <w:t>flexibility in Schools</w:t>
      </w:r>
      <w:r w:rsidR="00BF068D">
        <w:t xml:space="preserve">. SP also </w:t>
      </w:r>
      <w:r w:rsidR="00E370C7">
        <w:t xml:space="preserve">clarified </w:t>
      </w:r>
      <w:r w:rsidR="00BF068D">
        <w:t xml:space="preserve">that PGRC </w:t>
      </w:r>
      <w:r w:rsidR="00BF068D" w:rsidRPr="00BF068D">
        <w:t xml:space="preserve">cannot </w:t>
      </w:r>
      <w:r w:rsidR="00BF068D">
        <w:t>approve and enact</w:t>
      </w:r>
      <w:r w:rsidR="00BF068D" w:rsidRPr="00BF068D">
        <w:t xml:space="preserve"> University policy; SMT </w:t>
      </w:r>
      <w:r w:rsidR="00BF068D">
        <w:t xml:space="preserve">are the ones who </w:t>
      </w:r>
      <w:r w:rsidR="00833030">
        <w:t>approve,</w:t>
      </w:r>
      <w:r w:rsidR="00BF068D">
        <w:t xml:space="preserve"> and they </w:t>
      </w:r>
      <w:r w:rsidR="00B80013">
        <w:t>were the ones who pushed for us to emulate UKRI changes</w:t>
      </w:r>
      <w:r w:rsidR="00BF068D" w:rsidRPr="00BF068D">
        <w:t xml:space="preserve">. </w:t>
      </w:r>
    </w:p>
    <w:p w14:paraId="3A077C5A" w14:textId="0E64E552" w:rsidR="00833030" w:rsidRDefault="00833030" w:rsidP="00A33FB1">
      <w:pPr>
        <w:pStyle w:val="ListParagraph"/>
        <w:numPr>
          <w:ilvl w:val="2"/>
          <w:numId w:val="1"/>
        </w:numPr>
      </w:pPr>
      <w:r>
        <w:t xml:space="preserve">RT </w:t>
      </w:r>
      <w:r w:rsidR="00E370C7">
        <w:t xml:space="preserve">provided </w:t>
      </w:r>
      <w:r>
        <w:t xml:space="preserve">data to the committee of Family leave </w:t>
      </w:r>
      <w:r w:rsidR="005A1211">
        <w:t xml:space="preserve">request from PGR in the last AY – 5 in total, 1 paternity 4 maternity, </w:t>
      </w:r>
      <w:r w:rsidR="00E43596">
        <w:t xml:space="preserve">3 self-funded, one internal funding and one external. </w:t>
      </w:r>
      <w:r w:rsidR="00D04616" w:rsidRPr="00291164">
        <w:t>ACTION</w:t>
      </w:r>
      <w:r w:rsidR="00D04616">
        <w:t xml:space="preserve">: RT to circulate more detailed breakdown of current family leave data for distribution to </w:t>
      </w:r>
      <w:proofErr w:type="spellStart"/>
      <w:r w:rsidR="00D04616">
        <w:t>HoS</w:t>
      </w:r>
      <w:r w:rsidR="00AA2250">
        <w:t>’s</w:t>
      </w:r>
      <w:proofErr w:type="spellEnd"/>
      <w:r w:rsidR="00AA2250">
        <w:t>.</w:t>
      </w:r>
    </w:p>
    <w:p w14:paraId="2D608CF4" w14:textId="5A27A27D" w:rsidR="00F11EE2" w:rsidRDefault="00F56D12" w:rsidP="00A33FB1">
      <w:pPr>
        <w:pStyle w:val="ListParagraph"/>
        <w:numPr>
          <w:ilvl w:val="2"/>
          <w:numId w:val="1"/>
        </w:numPr>
      </w:pPr>
      <w:r>
        <w:t xml:space="preserve">SM and PC </w:t>
      </w:r>
      <w:r w:rsidR="002559BC">
        <w:t>ask</w:t>
      </w:r>
      <w:r w:rsidR="00E370C7">
        <w:t>ed</w:t>
      </w:r>
      <w:r w:rsidR="002559BC">
        <w:t xml:space="preserve"> for clarity on what ‘rolling </w:t>
      </w:r>
      <w:r w:rsidR="00F67755">
        <w:t>period</w:t>
      </w:r>
      <w:r w:rsidR="002559BC">
        <w:t>’</w:t>
      </w:r>
      <w:r w:rsidR="00F67755">
        <w:t xml:space="preserve"> means in practice. RT will </w:t>
      </w:r>
      <w:r w:rsidR="000C495A">
        <w:t>clarify in the policy that the rolling period counts from the day the student begins their studies. (</w:t>
      </w:r>
      <w:r w:rsidR="000C495A" w:rsidRPr="00291164">
        <w:t>ACTION</w:t>
      </w:r>
      <w:r w:rsidR="000C495A">
        <w:t>)</w:t>
      </w:r>
    </w:p>
    <w:p w14:paraId="35EE44F3" w14:textId="4FBE4318" w:rsidR="00B80013" w:rsidRDefault="00F85B1C" w:rsidP="00A33FB1">
      <w:pPr>
        <w:pStyle w:val="ListParagraph"/>
        <w:numPr>
          <w:ilvl w:val="2"/>
          <w:numId w:val="1"/>
        </w:numPr>
      </w:pPr>
      <w:r>
        <w:t xml:space="preserve">ST </w:t>
      </w:r>
      <w:r w:rsidR="00E370C7">
        <w:t xml:space="preserve">suggested </w:t>
      </w:r>
      <w:r>
        <w:t xml:space="preserve">the policies are reviewed annually once introduced, at least for the first year, to ensure they are fit for purpose early on. Committee Agrees. </w:t>
      </w:r>
      <w:r w:rsidRPr="00291164">
        <w:t>ACTION</w:t>
      </w:r>
      <w:r>
        <w:t xml:space="preserve">: RT to </w:t>
      </w:r>
      <w:r w:rsidR="008B54F4">
        <w:t>update</w:t>
      </w:r>
      <w:r>
        <w:t xml:space="preserve"> </w:t>
      </w:r>
      <w:r w:rsidR="008B54F4">
        <w:t xml:space="preserve">policy docs in accordance. </w:t>
      </w:r>
    </w:p>
    <w:p w14:paraId="5876369F" w14:textId="3A6ED87D" w:rsidR="002E3911" w:rsidRDefault="009A6934" w:rsidP="00DE4B58">
      <w:pPr>
        <w:pStyle w:val="ListParagraph"/>
        <w:numPr>
          <w:ilvl w:val="0"/>
          <w:numId w:val="1"/>
        </w:numPr>
      </w:pPr>
      <w:r w:rsidRPr="00E822CB">
        <w:rPr>
          <w:b/>
          <w:bCs/>
        </w:rPr>
        <w:t>Postgraduate Research Experience Survey (PRES) Results</w:t>
      </w:r>
      <w:r w:rsidRPr="009A6934">
        <w:t xml:space="preserve"> (SP)</w:t>
      </w:r>
    </w:p>
    <w:p w14:paraId="1E732727" w14:textId="5120D46C" w:rsidR="005456D9" w:rsidRDefault="006E27A7" w:rsidP="00890838">
      <w:pPr>
        <w:pStyle w:val="ListParagraph"/>
        <w:numPr>
          <w:ilvl w:val="1"/>
          <w:numId w:val="1"/>
        </w:numPr>
      </w:pPr>
      <w:r>
        <w:t xml:space="preserve">Initial report </w:t>
      </w:r>
      <w:r w:rsidR="00BC7C71">
        <w:t xml:space="preserve">showed </w:t>
      </w:r>
      <w:r>
        <w:t>positive outcomes compared with 2023 data, though return rates were lower.</w:t>
      </w:r>
      <w:r w:rsidR="00890838">
        <w:t xml:space="preserve"> </w:t>
      </w:r>
      <w:r w:rsidR="00D3797C">
        <w:t xml:space="preserve">SP and LL to work with Student Experience Team in creating a plan for </w:t>
      </w:r>
      <w:r w:rsidR="00577D52">
        <w:t xml:space="preserve">a more </w:t>
      </w:r>
      <w:r w:rsidR="00D3797C">
        <w:t xml:space="preserve">targeted </w:t>
      </w:r>
      <w:r w:rsidR="00577D52">
        <w:t>approach to advertisement of the survey once it opens</w:t>
      </w:r>
      <w:r w:rsidR="00D131CF">
        <w:t xml:space="preserve"> to attempt increasing engagement</w:t>
      </w:r>
      <w:r w:rsidR="00577D52">
        <w:t xml:space="preserve"> (</w:t>
      </w:r>
      <w:r w:rsidR="00577D52" w:rsidRPr="00291164">
        <w:t>ACTION</w:t>
      </w:r>
      <w:r w:rsidR="00577D52">
        <w:t xml:space="preserve">). </w:t>
      </w:r>
    </w:p>
    <w:p w14:paraId="2BF9CABF" w14:textId="241DE515" w:rsidR="006E27A7" w:rsidRDefault="006E27A7" w:rsidP="005E7B26">
      <w:pPr>
        <w:pStyle w:val="ListParagraph"/>
        <w:numPr>
          <w:ilvl w:val="1"/>
          <w:numId w:val="1"/>
        </w:numPr>
      </w:pPr>
      <w:r>
        <w:t xml:space="preserve">Sector-wide comparative data </w:t>
      </w:r>
      <w:r w:rsidR="000B1049">
        <w:t xml:space="preserve">for 2025 </w:t>
      </w:r>
      <w:r>
        <w:t>not yet available</w:t>
      </w:r>
      <w:r w:rsidR="000B1049">
        <w:t xml:space="preserve"> but benchmarking with previously available data </w:t>
      </w:r>
      <w:r w:rsidR="00BC7C71">
        <w:t xml:space="preserve">showed </w:t>
      </w:r>
      <w:r w:rsidR="000B1049">
        <w:t xml:space="preserve">we are </w:t>
      </w:r>
      <w:r w:rsidR="00716A3D">
        <w:t>above sector</w:t>
      </w:r>
      <w:r w:rsidR="00F74FAF">
        <w:t xml:space="preserve"> in </w:t>
      </w:r>
      <w:r w:rsidR="00DE635C">
        <w:t>satisfaction</w:t>
      </w:r>
      <w:r>
        <w:t>.</w:t>
      </w:r>
      <w:r w:rsidR="00DE635C">
        <w:t xml:space="preserve"> Full comparison with 2025 will be conducted when the data becomes available</w:t>
      </w:r>
      <w:r w:rsidR="005E7B26">
        <w:t xml:space="preserve">. </w:t>
      </w:r>
      <w:r w:rsidR="00AA183F">
        <w:t xml:space="preserve">The uptick in </w:t>
      </w:r>
      <w:r>
        <w:t xml:space="preserve">Community engagement scores </w:t>
      </w:r>
      <w:r w:rsidR="00AA183F">
        <w:t xml:space="preserve">was highlighted </w:t>
      </w:r>
      <w:r>
        <w:t>as a success</w:t>
      </w:r>
      <w:r w:rsidR="00AA183F">
        <w:t>, and reflects effort from PGRC</w:t>
      </w:r>
      <w:r>
        <w:t>.</w:t>
      </w:r>
      <w:r w:rsidR="004B1BC4">
        <w:t xml:space="preserve"> </w:t>
      </w:r>
      <w:r>
        <w:t>Committee</w:t>
      </w:r>
      <w:r w:rsidR="004B1BC4">
        <w:t xml:space="preserve"> noted the delay in data distribution </w:t>
      </w:r>
      <w:r w:rsidR="000008A3">
        <w:t xml:space="preserve">doesn’t allow us to implement changes on highlighted issues in time for next survey. </w:t>
      </w:r>
      <w:r>
        <w:t xml:space="preserve"> </w:t>
      </w:r>
    </w:p>
    <w:p w14:paraId="4578731C" w14:textId="335AF369" w:rsidR="006E27A7" w:rsidRDefault="00AA183F" w:rsidP="006E27A7">
      <w:pPr>
        <w:pStyle w:val="ListParagraph"/>
        <w:numPr>
          <w:ilvl w:val="1"/>
          <w:numId w:val="1"/>
        </w:numPr>
      </w:pPr>
      <w:r>
        <w:t>The r</w:t>
      </w:r>
      <w:r w:rsidR="006E27A7">
        <w:t>isk of declining community scores with expansion of distance learning</w:t>
      </w:r>
      <w:r>
        <w:t xml:space="preserve"> was noted</w:t>
      </w:r>
      <w:r w:rsidR="006E27A7">
        <w:t>.</w:t>
      </w:r>
      <w:r w:rsidR="005E7B26">
        <w:t xml:space="preserve"> PGRC is </w:t>
      </w:r>
      <w:r w:rsidR="00C43234">
        <w:t xml:space="preserve">running activities for distance </w:t>
      </w:r>
      <w:r w:rsidR="00552EA4">
        <w:t>learners,</w:t>
      </w:r>
      <w:r w:rsidR="00C43234">
        <w:t xml:space="preserve"> and most community events are hybrid. DHPA has a strong history of good distance learning satisfaction so </w:t>
      </w:r>
      <w:r w:rsidR="00552EA4">
        <w:t>it’s</w:t>
      </w:r>
      <w:r w:rsidR="00C43234">
        <w:t xml:space="preserve"> important to continue </w:t>
      </w:r>
      <w:r w:rsidR="00BA6748">
        <w:t xml:space="preserve">with activities that integrate online students into the overall PGR community. </w:t>
      </w:r>
    </w:p>
    <w:p w14:paraId="4636637D" w14:textId="602AEC63" w:rsidR="00796E50" w:rsidRDefault="00796E50" w:rsidP="006E27A7">
      <w:pPr>
        <w:pStyle w:val="ListParagraph"/>
        <w:numPr>
          <w:ilvl w:val="1"/>
          <w:numId w:val="1"/>
        </w:numPr>
      </w:pPr>
      <w:r w:rsidRPr="00796E50">
        <w:t>It was noted that PGRs with trans history score significantly lower for their overall satisfaction, sitting only at 50%</w:t>
      </w:r>
      <w:r w:rsidR="00AA183F">
        <w:t xml:space="preserve"> (cf</w:t>
      </w:r>
      <w:r w:rsidRPr="00796E50">
        <w:t>. PGRs with no trans history at 84%</w:t>
      </w:r>
      <w:r w:rsidR="00AA183F">
        <w:t>)</w:t>
      </w:r>
      <w:r w:rsidRPr="00796E50">
        <w:t>. In the gender breakdown of overall satisfaction, non-binary PGRs score significantly lower as well: nonbinary 63%, women 82%, men 88%. This was noted by the Committee as an area needing improvement.</w:t>
      </w:r>
    </w:p>
    <w:p w14:paraId="73030927" w14:textId="10940656" w:rsidR="00223FF2" w:rsidRDefault="006E27A7" w:rsidP="00223FF2">
      <w:pPr>
        <w:pStyle w:val="ListParagraph"/>
        <w:numPr>
          <w:ilvl w:val="1"/>
          <w:numId w:val="1"/>
        </w:numPr>
      </w:pPr>
      <w:r>
        <w:t>Need for careful management of limited resources in response to survey findings</w:t>
      </w:r>
      <w:r w:rsidR="00BA6748">
        <w:t xml:space="preserve"> highlighted by </w:t>
      </w:r>
      <w:r w:rsidR="00AA183F">
        <w:t xml:space="preserve">the </w:t>
      </w:r>
      <w:r w:rsidR="00552EA4">
        <w:t>committee</w:t>
      </w:r>
      <w:r>
        <w:t>.</w:t>
      </w:r>
    </w:p>
    <w:p w14:paraId="4CD91FF5" w14:textId="5510420C" w:rsidR="00223FF2" w:rsidRDefault="003135BD" w:rsidP="00223FF2">
      <w:pPr>
        <w:pStyle w:val="ListParagraph"/>
        <w:numPr>
          <w:ilvl w:val="0"/>
          <w:numId w:val="1"/>
        </w:numPr>
      </w:pPr>
      <w:r w:rsidRPr="00E822CB">
        <w:rPr>
          <w:b/>
          <w:bCs/>
        </w:rPr>
        <w:t>SFC: Research Accountability and Assurance Process</w:t>
      </w:r>
      <w:r w:rsidRPr="003135BD">
        <w:t xml:space="preserve"> (LL/SP)</w:t>
      </w:r>
    </w:p>
    <w:p w14:paraId="24211ADB" w14:textId="48A8BD5E" w:rsidR="003135BD" w:rsidRDefault="00303498" w:rsidP="00303498">
      <w:pPr>
        <w:pStyle w:val="ListParagraph"/>
        <w:numPr>
          <w:ilvl w:val="1"/>
          <w:numId w:val="1"/>
        </w:numPr>
      </w:pPr>
      <w:r>
        <w:t xml:space="preserve">LL </w:t>
      </w:r>
      <w:r w:rsidR="00BC7C71">
        <w:t xml:space="preserve">outlined </w:t>
      </w:r>
      <w:r w:rsidR="00AF0B0E">
        <w:t xml:space="preserve">changes to </w:t>
      </w:r>
      <w:r w:rsidR="00C04962">
        <w:t xml:space="preserve">the </w:t>
      </w:r>
      <w:r w:rsidR="00AF0B0E">
        <w:t>SFC reporting</w:t>
      </w:r>
      <w:r w:rsidR="00AD299C">
        <w:t xml:space="preserve">, </w:t>
      </w:r>
      <w:r w:rsidR="00C04962">
        <w:t>with</w:t>
      </w:r>
      <w:r w:rsidR="00AA183F">
        <w:t xml:space="preserve"> a description of</w:t>
      </w:r>
      <w:r w:rsidR="00AD299C">
        <w:t xml:space="preserve"> </w:t>
      </w:r>
      <w:r w:rsidR="00AA183F">
        <w:t>four</w:t>
      </w:r>
      <w:r w:rsidR="00AD299C">
        <w:t xml:space="preserve"> high-level outcomes </w:t>
      </w:r>
      <w:r w:rsidR="00C04962">
        <w:t xml:space="preserve">now being </w:t>
      </w:r>
      <w:r w:rsidR="00AA183F">
        <w:t xml:space="preserve">required </w:t>
      </w:r>
      <w:r w:rsidR="00C04962">
        <w:t xml:space="preserve">part of the </w:t>
      </w:r>
      <w:r w:rsidR="00AA183F">
        <w:t>submission</w:t>
      </w:r>
      <w:r w:rsidR="00C04962">
        <w:t xml:space="preserve">. </w:t>
      </w:r>
      <w:r w:rsidR="005A6FCF">
        <w:t>UoA needs to submit its report in October</w:t>
      </w:r>
      <w:r w:rsidR="00BC500B">
        <w:t xml:space="preserve">; schools and directorates will be contacted for information and case studies/testimonials. </w:t>
      </w:r>
      <w:r w:rsidR="00F31A44">
        <w:t xml:space="preserve">SB Identified  a contact for the Digital Services Directorate. </w:t>
      </w:r>
    </w:p>
    <w:p w14:paraId="1839C15C" w14:textId="4CEB7E89" w:rsidR="008C7924" w:rsidRDefault="008C7924" w:rsidP="00303498">
      <w:pPr>
        <w:pStyle w:val="ListParagraph"/>
        <w:numPr>
          <w:ilvl w:val="1"/>
          <w:numId w:val="1"/>
        </w:numPr>
      </w:pPr>
      <w:r w:rsidRPr="008C7924">
        <w:t>PH: Requested more accessible resources for EDI and support for neurodiverse students. RT confirmed this is a future priority.</w:t>
      </w:r>
    </w:p>
    <w:p w14:paraId="33CC722D" w14:textId="77777777" w:rsidR="00D06196" w:rsidRDefault="00D06196" w:rsidP="00223FF2">
      <w:pPr>
        <w:pStyle w:val="ListParagraph"/>
        <w:numPr>
          <w:ilvl w:val="0"/>
          <w:numId w:val="1"/>
        </w:numPr>
      </w:pPr>
      <w:r w:rsidRPr="00E822CB">
        <w:rPr>
          <w:b/>
          <w:bCs/>
        </w:rPr>
        <w:t>Use of Generative AI Guidelines for PGRs</w:t>
      </w:r>
      <w:r w:rsidRPr="00D06196">
        <w:t xml:space="preserve"> (SP)</w:t>
      </w:r>
    </w:p>
    <w:p w14:paraId="022CEBBA" w14:textId="2EA8B735" w:rsidR="00D06196" w:rsidRDefault="00AA183F" w:rsidP="00D720D9">
      <w:pPr>
        <w:pStyle w:val="ListParagraph"/>
        <w:numPr>
          <w:ilvl w:val="1"/>
          <w:numId w:val="1"/>
        </w:numPr>
      </w:pPr>
      <w:r>
        <w:t xml:space="preserve">The </w:t>
      </w:r>
      <w:r w:rsidR="00076DB9">
        <w:t xml:space="preserve">Second </w:t>
      </w:r>
      <w:r>
        <w:t>d</w:t>
      </w:r>
      <w:r w:rsidR="00076DB9">
        <w:t xml:space="preserve">raft of the guidelines </w:t>
      </w:r>
      <w:r>
        <w:t>was</w:t>
      </w:r>
      <w:r w:rsidR="00076DB9">
        <w:t xml:space="preserve"> presented to the committee, </w:t>
      </w:r>
      <w:r>
        <w:t xml:space="preserve">with </w:t>
      </w:r>
      <w:r w:rsidR="00076DB9">
        <w:t xml:space="preserve">most feedback provided </w:t>
      </w:r>
      <w:r w:rsidR="00A119B8">
        <w:t>by Schools ha</w:t>
      </w:r>
      <w:r>
        <w:t>ving</w:t>
      </w:r>
      <w:r w:rsidR="00A119B8">
        <w:t xml:space="preserve"> been incorporated; </w:t>
      </w:r>
      <w:r w:rsidR="006E7B3A">
        <w:t xml:space="preserve">SP </w:t>
      </w:r>
      <w:r w:rsidR="00BC7C71">
        <w:t xml:space="preserve">invited </w:t>
      </w:r>
      <w:r w:rsidR="006E7B3A">
        <w:t xml:space="preserve">the committee to comment if there are any additional points they wish to raise; The paper will now go for approval to </w:t>
      </w:r>
      <w:r w:rsidR="00AF5198">
        <w:t>UR</w:t>
      </w:r>
      <w:r>
        <w:t>C</w:t>
      </w:r>
      <w:r w:rsidR="00AF5198">
        <w:t>.</w:t>
      </w:r>
      <w:r w:rsidR="0059155F">
        <w:t xml:space="preserve"> SP </w:t>
      </w:r>
      <w:r w:rsidR="00BC7C71">
        <w:t xml:space="preserve">highlighted </w:t>
      </w:r>
      <w:r w:rsidR="0059155F">
        <w:t xml:space="preserve">that document is not a training resource on how to use GenAI but </w:t>
      </w:r>
      <w:r w:rsidR="00A36899">
        <w:t>guidelines</w:t>
      </w:r>
      <w:r w:rsidR="0059155F">
        <w:t xml:space="preserve"> on acceptable use within the context of research degrees at UoA. </w:t>
      </w:r>
      <w:r w:rsidR="00C52405">
        <w:t xml:space="preserve">Colleagues from Library, Digital </w:t>
      </w:r>
      <w:r w:rsidR="00A36899">
        <w:t>services</w:t>
      </w:r>
      <w:r w:rsidR="00C52405">
        <w:t xml:space="preserve"> and others are working on building a training resource bank and FAQs </w:t>
      </w:r>
      <w:r w:rsidR="00A36899">
        <w:t>to accompany the Guidelines before the start of term</w:t>
      </w:r>
      <w:r w:rsidR="00E31D4C" w:rsidRPr="00E31D4C">
        <w:t>.</w:t>
      </w:r>
      <w:r w:rsidR="006D0830">
        <w:t xml:space="preserve"> </w:t>
      </w:r>
      <w:r w:rsidR="006D0830" w:rsidRPr="006D0830">
        <w:t xml:space="preserve">Document approved for </w:t>
      </w:r>
      <w:r w:rsidR="006D0830">
        <w:t>progression to next approval stage</w:t>
      </w:r>
      <w:r w:rsidR="006D0830" w:rsidRPr="006D0830">
        <w:t>, with ongoing refinement expected</w:t>
      </w:r>
      <w:r w:rsidR="006D0830">
        <w:t xml:space="preserve"> when it</w:t>
      </w:r>
      <w:r>
        <w:t xml:space="preserve"> i</w:t>
      </w:r>
      <w:r w:rsidR="006D0830">
        <w:t>s reviewed by additional stakeholders</w:t>
      </w:r>
      <w:r w:rsidR="006D0830" w:rsidRPr="006D0830">
        <w:t>.</w:t>
      </w:r>
    </w:p>
    <w:p w14:paraId="341E628B" w14:textId="5EFCE163" w:rsidR="00F74D33" w:rsidRDefault="00D720D9" w:rsidP="00A34B2B">
      <w:pPr>
        <w:pStyle w:val="ListParagraph"/>
        <w:numPr>
          <w:ilvl w:val="0"/>
          <w:numId w:val="1"/>
        </w:numPr>
      </w:pPr>
      <w:r w:rsidRPr="00E822CB">
        <w:rPr>
          <w:b/>
          <w:bCs/>
        </w:rPr>
        <w:t>Turnitin Draft Submissions Trial</w:t>
      </w:r>
      <w:r w:rsidRPr="00D720D9">
        <w:t xml:space="preserve"> (RF)</w:t>
      </w:r>
    </w:p>
    <w:p w14:paraId="3576712A" w14:textId="172C1B58" w:rsidR="00A34B2B" w:rsidRDefault="00AA183F" w:rsidP="0018300A">
      <w:pPr>
        <w:pStyle w:val="ListParagraph"/>
        <w:numPr>
          <w:ilvl w:val="1"/>
          <w:numId w:val="1"/>
        </w:numPr>
        <w:ind w:left="567"/>
      </w:pPr>
      <w:r>
        <w:t xml:space="preserve">The committee was informed that </w:t>
      </w:r>
      <w:r w:rsidR="00A34B2B">
        <w:t>PGR Thesis submission process</w:t>
      </w:r>
      <w:r>
        <w:t>es</w:t>
      </w:r>
      <w:r w:rsidR="00A34B2B">
        <w:t xml:space="preserve"> will change,</w:t>
      </w:r>
      <w:r>
        <w:t xml:space="preserve"> with</w:t>
      </w:r>
      <w:r w:rsidR="00A34B2B">
        <w:t xml:space="preserve"> PGRs submit</w:t>
      </w:r>
      <w:r>
        <w:t>ting</w:t>
      </w:r>
      <w:r w:rsidR="00A34B2B">
        <w:t xml:space="preserve"> directly to Turnit</w:t>
      </w:r>
      <w:r>
        <w:t>i</w:t>
      </w:r>
      <w:r w:rsidR="00A34B2B">
        <w:t>n instead of emailing to Registry</w:t>
      </w:r>
      <w:r>
        <w:t>.</w:t>
      </w:r>
      <w:r w:rsidR="00E20B1B">
        <w:t xml:space="preserve"> </w:t>
      </w:r>
      <w:r>
        <w:t>S</w:t>
      </w:r>
      <w:r w:rsidR="00A34B2B">
        <w:t xml:space="preserve">upervisors will have direct access to </w:t>
      </w:r>
      <w:r w:rsidR="00A34B2B">
        <w:lastRenderedPageBreak/>
        <w:t xml:space="preserve">their students Turnitin similarity reports. </w:t>
      </w:r>
      <w:r w:rsidR="0018300A">
        <w:t xml:space="preserve">Registry will also be able to access the thesis from the submission portal. </w:t>
      </w:r>
      <w:r w:rsidR="002D48A4">
        <w:t xml:space="preserve">The central </w:t>
      </w:r>
      <w:proofErr w:type="spellStart"/>
      <w:r w:rsidR="002D48A4">
        <w:t>MyPGR</w:t>
      </w:r>
      <w:proofErr w:type="spellEnd"/>
      <w:r w:rsidR="002D48A4">
        <w:t xml:space="preserve"> area on </w:t>
      </w:r>
      <w:proofErr w:type="spellStart"/>
      <w:r w:rsidR="002D48A4">
        <w:t>MyAberdeen</w:t>
      </w:r>
      <w:proofErr w:type="spellEnd"/>
      <w:r w:rsidR="002D48A4">
        <w:t xml:space="preserve"> will be deleted</w:t>
      </w:r>
      <w:r>
        <w:t xml:space="preserve"> imminently</w:t>
      </w:r>
      <w:r w:rsidR="002D48A4">
        <w:t xml:space="preserve">, </w:t>
      </w:r>
      <w:r>
        <w:t xml:space="preserve">and </w:t>
      </w:r>
      <w:r w:rsidR="002D48A4">
        <w:t xml:space="preserve">Registry will create new </w:t>
      </w:r>
      <w:r w:rsidR="00323A6D">
        <w:t xml:space="preserve">areas for each of the schools; training will be provided to schools on how to manage this. </w:t>
      </w:r>
    </w:p>
    <w:p w14:paraId="10AB8262" w14:textId="2C2C9D42" w:rsidR="00323A6D" w:rsidRDefault="00C20FFE" w:rsidP="0018300A">
      <w:pPr>
        <w:pStyle w:val="ListParagraph"/>
        <w:numPr>
          <w:ilvl w:val="1"/>
          <w:numId w:val="1"/>
        </w:numPr>
        <w:ind w:left="567" w:hanging="425"/>
      </w:pPr>
      <w:r>
        <w:t xml:space="preserve">Training modules and materials that were available on </w:t>
      </w:r>
      <w:proofErr w:type="spellStart"/>
      <w:r>
        <w:t>MyPGR</w:t>
      </w:r>
      <w:proofErr w:type="spellEnd"/>
      <w:r>
        <w:t xml:space="preserve"> have all been moved and can be accessed via </w:t>
      </w:r>
      <w:r w:rsidR="003E76C8">
        <w:t>PORTAL.</w:t>
      </w:r>
    </w:p>
    <w:p w14:paraId="4D582F63" w14:textId="74E956AD" w:rsidR="00B02438" w:rsidRDefault="00B02438" w:rsidP="0018300A">
      <w:pPr>
        <w:pStyle w:val="ListParagraph"/>
        <w:numPr>
          <w:ilvl w:val="1"/>
          <w:numId w:val="1"/>
        </w:numPr>
        <w:ind w:hanging="650"/>
      </w:pPr>
      <w:r>
        <w:t xml:space="preserve">The process was piloted with MMSN and Business Schools successfully with </w:t>
      </w:r>
      <w:r w:rsidR="0022691A">
        <w:t>minor tweaks</w:t>
      </w:r>
      <w:r w:rsidR="0018300A">
        <w:t xml:space="preserve"> and updates.</w:t>
      </w:r>
      <w:r w:rsidR="0022691A">
        <w:t xml:space="preserve"> Concerns were raised that similarity repor</w:t>
      </w:r>
      <w:r w:rsidR="00657A35">
        <w:t>t scores might be high due to previous versions</w:t>
      </w:r>
      <w:r w:rsidR="00DB0878">
        <w:t xml:space="preserve">, drafts, and APE documents being submitted via Turnitin, RF will check if the confidential option for those submissions is turned on, which will not store the information in the system for future comparisons with the same work. </w:t>
      </w:r>
    </w:p>
    <w:p w14:paraId="69E1F119" w14:textId="6B9B0DA5" w:rsidR="00F74D33" w:rsidRPr="00E822CB" w:rsidRDefault="003E76C8" w:rsidP="00223FF2">
      <w:pPr>
        <w:pStyle w:val="ListParagraph"/>
        <w:numPr>
          <w:ilvl w:val="0"/>
          <w:numId w:val="1"/>
        </w:numPr>
        <w:rPr>
          <w:b/>
          <w:bCs/>
        </w:rPr>
      </w:pPr>
      <w:r w:rsidRPr="00E822CB">
        <w:rPr>
          <w:b/>
          <w:bCs/>
        </w:rPr>
        <w:t>Doctoral Reps Group Items</w:t>
      </w:r>
    </w:p>
    <w:p w14:paraId="3674B549" w14:textId="5C40B0F7" w:rsidR="003E76C8" w:rsidRDefault="00C96499" w:rsidP="003E76C8">
      <w:pPr>
        <w:pStyle w:val="ListParagraph"/>
        <w:numPr>
          <w:ilvl w:val="1"/>
          <w:numId w:val="1"/>
        </w:numPr>
      </w:pPr>
      <w:r>
        <w:t>The group met on the 21</w:t>
      </w:r>
      <w:r w:rsidRPr="00C96499">
        <w:rPr>
          <w:vertAlign w:val="superscript"/>
        </w:rPr>
        <w:t>st</w:t>
      </w:r>
      <w:r>
        <w:t xml:space="preserve"> to discuss the agenda for PGRC</w:t>
      </w:r>
      <w:r w:rsidR="00BE3EB8">
        <w:t xml:space="preserve">, policies will be shared with group once they are approved by PGRC. </w:t>
      </w:r>
    </w:p>
    <w:p w14:paraId="63ED8A07" w14:textId="063427DF" w:rsidR="00BE3EB8" w:rsidRDefault="00BE3EB8" w:rsidP="003E76C8">
      <w:pPr>
        <w:pStyle w:val="ListParagraph"/>
        <w:numPr>
          <w:ilvl w:val="1"/>
          <w:numId w:val="1"/>
        </w:numPr>
      </w:pPr>
      <w:r>
        <w:t>Concer</w:t>
      </w:r>
      <w:r w:rsidR="00B46B31">
        <w:t>ns were raised about functionality of the Ethics Approval process especially in relation to SHAPE disciplines. The Group will discuss this in more details in the</w:t>
      </w:r>
      <w:r w:rsidR="006B25E2">
        <w:t xml:space="preserve">ir next meeting. </w:t>
      </w:r>
      <w:r w:rsidR="006B25E2" w:rsidRPr="00291164">
        <w:t>ACTION</w:t>
      </w:r>
      <w:r w:rsidR="006B25E2">
        <w:t xml:space="preserve">: Ethics Team to be invited to the Reps Meeting. </w:t>
      </w:r>
    </w:p>
    <w:p w14:paraId="5679977A" w14:textId="5380DB98" w:rsidR="00F74D33" w:rsidRPr="00E822CB" w:rsidRDefault="006B25E2" w:rsidP="00223FF2">
      <w:pPr>
        <w:pStyle w:val="ListParagraph"/>
        <w:numPr>
          <w:ilvl w:val="0"/>
          <w:numId w:val="1"/>
        </w:numPr>
        <w:rPr>
          <w:b/>
          <w:bCs/>
        </w:rPr>
      </w:pPr>
      <w:r w:rsidRPr="00E822CB">
        <w:rPr>
          <w:b/>
          <w:bCs/>
        </w:rPr>
        <w:t>School/Directorate Items</w:t>
      </w:r>
    </w:p>
    <w:p w14:paraId="0DE7BE38" w14:textId="6794C3AE" w:rsidR="00136255" w:rsidRDefault="00136255" w:rsidP="00136255">
      <w:pPr>
        <w:pStyle w:val="ListParagraph"/>
        <w:numPr>
          <w:ilvl w:val="1"/>
          <w:numId w:val="1"/>
        </w:numPr>
      </w:pPr>
      <w:r>
        <w:t xml:space="preserve">PH passed concerns from SBS PGO re new CoC process and the potential increase in workload pressure for PGOs. RT highlighted solutions that are being discussed, like the use of </w:t>
      </w:r>
      <w:r w:rsidR="009E14B1">
        <w:t>deputies</w:t>
      </w:r>
      <w:r>
        <w:t>, triaging system within schools. RT highlights that the move to online form wil</w:t>
      </w:r>
      <w:r w:rsidR="004B158E">
        <w:t>l</w:t>
      </w:r>
      <w:r>
        <w:t xml:space="preserve"> increase accessibility </w:t>
      </w:r>
      <w:r w:rsidR="00C02363">
        <w:t xml:space="preserve">to the process and reduce overall admin burden. </w:t>
      </w:r>
    </w:p>
    <w:p w14:paraId="09FAAB73" w14:textId="39664B9B" w:rsidR="009E14B1" w:rsidRDefault="009E14B1" w:rsidP="00136255">
      <w:pPr>
        <w:pStyle w:val="ListParagraph"/>
        <w:numPr>
          <w:ilvl w:val="1"/>
          <w:numId w:val="1"/>
        </w:numPr>
      </w:pPr>
      <w:r>
        <w:t xml:space="preserve">JW </w:t>
      </w:r>
      <w:r w:rsidR="00461A9E">
        <w:t xml:space="preserve">highlighted </w:t>
      </w:r>
      <w:r>
        <w:t>upcoming Business School Symposium</w:t>
      </w:r>
      <w:r w:rsidR="00A74920">
        <w:t xml:space="preserve"> on 7</w:t>
      </w:r>
      <w:r w:rsidR="00A74920" w:rsidRPr="00A74920">
        <w:rPr>
          <w:vertAlign w:val="superscript"/>
        </w:rPr>
        <w:t>th</w:t>
      </w:r>
      <w:r w:rsidR="00A74920">
        <w:t xml:space="preserve"> Oct</w:t>
      </w:r>
      <w:r>
        <w:t xml:space="preserve"> in partnership with other Scottish H</w:t>
      </w:r>
      <w:r w:rsidR="00A459CD">
        <w:t xml:space="preserve">EI. </w:t>
      </w:r>
    </w:p>
    <w:p w14:paraId="1E878A3B" w14:textId="1DFAA4DD" w:rsidR="00A74920" w:rsidRDefault="00A74920" w:rsidP="00136255">
      <w:pPr>
        <w:pStyle w:val="ListParagraph"/>
        <w:numPr>
          <w:ilvl w:val="1"/>
          <w:numId w:val="1"/>
        </w:numPr>
      </w:pPr>
      <w:r>
        <w:t xml:space="preserve">BM </w:t>
      </w:r>
      <w:r w:rsidR="00461A9E">
        <w:t xml:space="preserve">highlighted </w:t>
      </w:r>
      <w:r>
        <w:t>that DHPA is planned an induction event for the same date and received information that SGSA</w:t>
      </w:r>
      <w:r w:rsidR="001D6BBA">
        <w:t>H</w:t>
      </w:r>
      <w:r>
        <w:t xml:space="preserve"> funded students have a funder induction in Dundee the same. </w:t>
      </w:r>
      <w:r w:rsidR="00280678">
        <w:t xml:space="preserve">Highlights lack of early communication about the event from </w:t>
      </w:r>
      <w:r w:rsidR="00E20B1B">
        <w:t>SGSAH</w:t>
      </w:r>
      <w:r w:rsidR="00561564">
        <w:t xml:space="preserve">. AMJ is lead </w:t>
      </w:r>
      <w:r w:rsidR="000E524A">
        <w:t>liaison</w:t>
      </w:r>
      <w:r w:rsidR="00561564">
        <w:t xml:space="preserve"> for </w:t>
      </w:r>
      <w:r w:rsidR="00817A1E">
        <w:t xml:space="preserve">SGSAH </w:t>
      </w:r>
      <w:r w:rsidR="00561564">
        <w:t xml:space="preserve">in UoA, committee will ask check with her </w:t>
      </w:r>
      <w:r w:rsidR="000E524A">
        <w:t xml:space="preserve">if there is a way for </w:t>
      </w:r>
      <w:r w:rsidR="00817A1E">
        <w:t xml:space="preserve">SGSAH </w:t>
      </w:r>
      <w:r w:rsidR="000E524A">
        <w:t>to inform us in advance of their event dates in future years. (</w:t>
      </w:r>
      <w:r w:rsidR="000E524A" w:rsidRPr="00291164">
        <w:t>ACTION</w:t>
      </w:r>
      <w:r w:rsidR="000E524A">
        <w:t>)</w:t>
      </w:r>
    </w:p>
    <w:p w14:paraId="042B20F0" w14:textId="3A3F9837" w:rsidR="000901FE" w:rsidRPr="00E822CB" w:rsidRDefault="000901FE" w:rsidP="000901FE">
      <w:pPr>
        <w:pStyle w:val="ListParagraph"/>
        <w:numPr>
          <w:ilvl w:val="0"/>
          <w:numId w:val="1"/>
        </w:numPr>
        <w:rPr>
          <w:b/>
          <w:bCs/>
        </w:rPr>
      </w:pPr>
      <w:r w:rsidRPr="00E822CB">
        <w:rPr>
          <w:b/>
          <w:bCs/>
        </w:rPr>
        <w:t>AOB</w:t>
      </w:r>
    </w:p>
    <w:p w14:paraId="2DED9E6E" w14:textId="62E856B3" w:rsidR="00C12DE5" w:rsidRDefault="00C12DE5" w:rsidP="004C7D4D">
      <w:pPr>
        <w:pStyle w:val="ListParagraph"/>
        <w:numPr>
          <w:ilvl w:val="1"/>
          <w:numId w:val="1"/>
        </w:numPr>
      </w:pPr>
      <w:r>
        <w:t xml:space="preserve">Registry is looking into when the use of internal moderators for </w:t>
      </w:r>
      <w:proofErr w:type="spellStart"/>
      <w:r>
        <w:t>vivas</w:t>
      </w:r>
      <w:proofErr w:type="spellEnd"/>
      <w:r>
        <w:t xml:space="preserve"> is appropriate</w:t>
      </w:r>
      <w:r w:rsidR="00243429">
        <w:t>,</w:t>
      </w:r>
      <w:r w:rsidR="00817A1E">
        <w:t xml:space="preserve"> with</w:t>
      </w:r>
      <w:r w:rsidR="00243429">
        <w:t xml:space="preserve"> some </w:t>
      </w:r>
      <w:r w:rsidR="000212AC">
        <w:t>schools</w:t>
      </w:r>
      <w:r w:rsidR="00243429">
        <w:t xml:space="preserve"> using internal moderators in all their </w:t>
      </w:r>
      <w:proofErr w:type="spellStart"/>
      <w:r w:rsidR="00243429">
        <w:t>vivas</w:t>
      </w:r>
      <w:proofErr w:type="spellEnd"/>
      <w:r w:rsidR="00243429">
        <w:t xml:space="preserve"> which is </w:t>
      </w:r>
      <w:r w:rsidR="00595058">
        <w:t xml:space="preserve">not </w:t>
      </w:r>
      <w:r w:rsidR="00243429">
        <w:t>current UoA policy. More information to come next meeting</w:t>
      </w:r>
      <w:r w:rsidR="000E38DD">
        <w:t xml:space="preserve">. </w:t>
      </w:r>
      <w:r w:rsidR="000E38DD" w:rsidRPr="000E38DD">
        <w:rPr>
          <w:b/>
          <w:bCs/>
        </w:rPr>
        <w:t>ACTION</w:t>
      </w:r>
      <w:r w:rsidR="000E38DD">
        <w:t xml:space="preserve">: Add to agenda for December. </w:t>
      </w:r>
    </w:p>
    <w:p w14:paraId="279A60EC" w14:textId="5F7677B9" w:rsidR="00F74D33" w:rsidRDefault="000901FE" w:rsidP="004C7D4D">
      <w:pPr>
        <w:pStyle w:val="ListParagraph"/>
        <w:numPr>
          <w:ilvl w:val="1"/>
          <w:numId w:val="1"/>
        </w:numPr>
      </w:pPr>
      <w:r>
        <w:t xml:space="preserve">SP </w:t>
      </w:r>
      <w:r w:rsidR="00461A9E">
        <w:t xml:space="preserve">thanked </w:t>
      </w:r>
      <w:r>
        <w:t xml:space="preserve">FJJ for her contribution to the Reps Group and to the Committee as this is her last meeting before </w:t>
      </w:r>
      <w:r w:rsidR="004C7D4D">
        <w:t>her programme end-date.</w:t>
      </w:r>
    </w:p>
    <w:p w14:paraId="51446E52" w14:textId="59618ACB" w:rsidR="000E38DD" w:rsidRDefault="000E38DD" w:rsidP="004C7D4D">
      <w:pPr>
        <w:pStyle w:val="ListParagraph"/>
        <w:numPr>
          <w:ilvl w:val="1"/>
          <w:numId w:val="1"/>
        </w:numPr>
      </w:pPr>
      <w:r w:rsidRPr="000212AC">
        <w:rPr>
          <w:b/>
          <w:bCs/>
        </w:rPr>
        <w:t>Next committee meeting</w:t>
      </w:r>
      <w:r>
        <w:t xml:space="preserve">: </w:t>
      </w:r>
      <w:r w:rsidR="000212AC">
        <w:t>03 December 2025 – 10:05am</w:t>
      </w:r>
    </w:p>
    <w:p w14:paraId="086087E2" w14:textId="2236851A" w:rsidR="004C7D4D" w:rsidRDefault="004C7D4D" w:rsidP="004C7D4D">
      <w:pPr>
        <w:pStyle w:val="ListParagraph"/>
        <w:numPr>
          <w:ilvl w:val="1"/>
          <w:numId w:val="1"/>
        </w:numPr>
      </w:pPr>
      <w:r>
        <w:t>No other AOB</w:t>
      </w:r>
      <w:r w:rsidR="00877E3C">
        <w:t>, meeting end @ 11:50</w:t>
      </w:r>
    </w:p>
    <w:p w14:paraId="293741FC" w14:textId="77777777" w:rsidR="00223FF2" w:rsidRDefault="00223FF2" w:rsidP="00F74D33"/>
    <w:sectPr w:rsidR="00223FF2" w:rsidSect="00571DC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37C2"/>
    <w:multiLevelType w:val="multilevel"/>
    <w:tmpl w:val="D21AC66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CD527A"/>
    <w:multiLevelType w:val="multilevel"/>
    <w:tmpl w:val="C6F8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44CD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4410C"/>
    <w:multiLevelType w:val="multilevel"/>
    <w:tmpl w:val="D21AC66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773873">
    <w:abstractNumId w:val="2"/>
  </w:num>
  <w:num w:numId="2" w16cid:durableId="593587192">
    <w:abstractNumId w:val="3"/>
  </w:num>
  <w:num w:numId="3" w16cid:durableId="1530411292">
    <w:abstractNumId w:val="0"/>
  </w:num>
  <w:num w:numId="4" w16cid:durableId="106425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bookFoldPrintingSheets w:val="1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6"/>
    <w:rsid w:val="000008A3"/>
    <w:rsid w:val="000212AC"/>
    <w:rsid w:val="000216B0"/>
    <w:rsid w:val="0002341C"/>
    <w:rsid w:val="00025268"/>
    <w:rsid w:val="000403CA"/>
    <w:rsid w:val="00076DB9"/>
    <w:rsid w:val="000819B1"/>
    <w:rsid w:val="000901FE"/>
    <w:rsid w:val="000A291B"/>
    <w:rsid w:val="000B1049"/>
    <w:rsid w:val="000C495A"/>
    <w:rsid w:val="000D48AA"/>
    <w:rsid w:val="000E38DD"/>
    <w:rsid w:val="000E524A"/>
    <w:rsid w:val="000E67F3"/>
    <w:rsid w:val="000F00F3"/>
    <w:rsid w:val="000F751D"/>
    <w:rsid w:val="001222A5"/>
    <w:rsid w:val="00123DA9"/>
    <w:rsid w:val="00130DB3"/>
    <w:rsid w:val="00136255"/>
    <w:rsid w:val="0018300A"/>
    <w:rsid w:val="00191295"/>
    <w:rsid w:val="001A5070"/>
    <w:rsid w:val="001B3CF6"/>
    <w:rsid w:val="001D0A1E"/>
    <w:rsid w:val="001D6BBA"/>
    <w:rsid w:val="0020143C"/>
    <w:rsid w:val="002054D4"/>
    <w:rsid w:val="00206C3C"/>
    <w:rsid w:val="00216342"/>
    <w:rsid w:val="00216A9F"/>
    <w:rsid w:val="00223FF2"/>
    <w:rsid w:val="0022691A"/>
    <w:rsid w:val="002269BE"/>
    <w:rsid w:val="00243429"/>
    <w:rsid w:val="002476A9"/>
    <w:rsid w:val="002559BC"/>
    <w:rsid w:val="00280678"/>
    <w:rsid w:val="0028366C"/>
    <w:rsid w:val="00283F60"/>
    <w:rsid w:val="00291164"/>
    <w:rsid w:val="002956F6"/>
    <w:rsid w:val="00297918"/>
    <w:rsid w:val="002A5CB2"/>
    <w:rsid w:val="002B2A3A"/>
    <w:rsid w:val="002D48A4"/>
    <w:rsid w:val="002E3911"/>
    <w:rsid w:val="002F6211"/>
    <w:rsid w:val="00303498"/>
    <w:rsid w:val="003135BD"/>
    <w:rsid w:val="00323A6D"/>
    <w:rsid w:val="00354AD2"/>
    <w:rsid w:val="00372337"/>
    <w:rsid w:val="00374B2F"/>
    <w:rsid w:val="00376F23"/>
    <w:rsid w:val="00384F56"/>
    <w:rsid w:val="0038556E"/>
    <w:rsid w:val="003A3CAC"/>
    <w:rsid w:val="003B4AB7"/>
    <w:rsid w:val="003E76C8"/>
    <w:rsid w:val="003F2141"/>
    <w:rsid w:val="0042511B"/>
    <w:rsid w:val="00461A9E"/>
    <w:rsid w:val="00477543"/>
    <w:rsid w:val="00484820"/>
    <w:rsid w:val="00495DD7"/>
    <w:rsid w:val="004B158E"/>
    <w:rsid w:val="004B1BC4"/>
    <w:rsid w:val="004C7D4D"/>
    <w:rsid w:val="004D24B8"/>
    <w:rsid w:val="005456D9"/>
    <w:rsid w:val="00547B33"/>
    <w:rsid w:val="00551C7E"/>
    <w:rsid w:val="00552EA4"/>
    <w:rsid w:val="00561564"/>
    <w:rsid w:val="00571DC2"/>
    <w:rsid w:val="005726D1"/>
    <w:rsid w:val="00573710"/>
    <w:rsid w:val="00574861"/>
    <w:rsid w:val="00577D52"/>
    <w:rsid w:val="005825D3"/>
    <w:rsid w:val="0059155F"/>
    <w:rsid w:val="00595058"/>
    <w:rsid w:val="00595B18"/>
    <w:rsid w:val="005A04AE"/>
    <w:rsid w:val="005A1211"/>
    <w:rsid w:val="005A6FCF"/>
    <w:rsid w:val="005C0B46"/>
    <w:rsid w:val="005C22FD"/>
    <w:rsid w:val="005C6E2C"/>
    <w:rsid w:val="005D6246"/>
    <w:rsid w:val="005E7B26"/>
    <w:rsid w:val="00657A35"/>
    <w:rsid w:val="006A2CDB"/>
    <w:rsid w:val="006B25E2"/>
    <w:rsid w:val="006B7728"/>
    <w:rsid w:val="006C2361"/>
    <w:rsid w:val="006D0830"/>
    <w:rsid w:val="006D3921"/>
    <w:rsid w:val="006D6800"/>
    <w:rsid w:val="006E27A7"/>
    <w:rsid w:val="006E28FD"/>
    <w:rsid w:val="006E4C34"/>
    <w:rsid w:val="006E7B3A"/>
    <w:rsid w:val="006F7DFA"/>
    <w:rsid w:val="0071588A"/>
    <w:rsid w:val="00716A3D"/>
    <w:rsid w:val="00724B8B"/>
    <w:rsid w:val="007305E1"/>
    <w:rsid w:val="0074052C"/>
    <w:rsid w:val="0075340A"/>
    <w:rsid w:val="00753451"/>
    <w:rsid w:val="0077667B"/>
    <w:rsid w:val="00781EB8"/>
    <w:rsid w:val="00786577"/>
    <w:rsid w:val="00791601"/>
    <w:rsid w:val="0079613E"/>
    <w:rsid w:val="00796E50"/>
    <w:rsid w:val="007A2FFD"/>
    <w:rsid w:val="007D29AF"/>
    <w:rsid w:val="007E4A77"/>
    <w:rsid w:val="00817A1E"/>
    <w:rsid w:val="00833030"/>
    <w:rsid w:val="00833149"/>
    <w:rsid w:val="0087666D"/>
    <w:rsid w:val="00877E3C"/>
    <w:rsid w:val="00890838"/>
    <w:rsid w:val="00892DC5"/>
    <w:rsid w:val="008A506F"/>
    <w:rsid w:val="008B54F4"/>
    <w:rsid w:val="008C7924"/>
    <w:rsid w:val="008F002D"/>
    <w:rsid w:val="008F2C28"/>
    <w:rsid w:val="00907C72"/>
    <w:rsid w:val="00937DFA"/>
    <w:rsid w:val="009514F0"/>
    <w:rsid w:val="00973984"/>
    <w:rsid w:val="009A2832"/>
    <w:rsid w:val="009A6934"/>
    <w:rsid w:val="009E087A"/>
    <w:rsid w:val="009E14B1"/>
    <w:rsid w:val="009F3FE8"/>
    <w:rsid w:val="009F6838"/>
    <w:rsid w:val="00A119B8"/>
    <w:rsid w:val="00A33FB1"/>
    <w:rsid w:val="00A34B2B"/>
    <w:rsid w:val="00A36899"/>
    <w:rsid w:val="00A43836"/>
    <w:rsid w:val="00A459CD"/>
    <w:rsid w:val="00A470C3"/>
    <w:rsid w:val="00A6478F"/>
    <w:rsid w:val="00A662BF"/>
    <w:rsid w:val="00A739C6"/>
    <w:rsid w:val="00A74920"/>
    <w:rsid w:val="00A966FE"/>
    <w:rsid w:val="00AA183F"/>
    <w:rsid w:val="00AA2250"/>
    <w:rsid w:val="00AA7C8F"/>
    <w:rsid w:val="00AD299C"/>
    <w:rsid w:val="00AE08B8"/>
    <w:rsid w:val="00AF0B0E"/>
    <w:rsid w:val="00AF260E"/>
    <w:rsid w:val="00AF5198"/>
    <w:rsid w:val="00AF7642"/>
    <w:rsid w:val="00B02438"/>
    <w:rsid w:val="00B2091C"/>
    <w:rsid w:val="00B46B31"/>
    <w:rsid w:val="00B80013"/>
    <w:rsid w:val="00BA2EC6"/>
    <w:rsid w:val="00BA6748"/>
    <w:rsid w:val="00BB194D"/>
    <w:rsid w:val="00BB43BF"/>
    <w:rsid w:val="00BC079C"/>
    <w:rsid w:val="00BC500B"/>
    <w:rsid w:val="00BC79ED"/>
    <w:rsid w:val="00BC7C71"/>
    <w:rsid w:val="00BE1E37"/>
    <w:rsid w:val="00BE3EB8"/>
    <w:rsid w:val="00BF068D"/>
    <w:rsid w:val="00C02363"/>
    <w:rsid w:val="00C04962"/>
    <w:rsid w:val="00C11694"/>
    <w:rsid w:val="00C12DE5"/>
    <w:rsid w:val="00C20FFE"/>
    <w:rsid w:val="00C31473"/>
    <w:rsid w:val="00C43234"/>
    <w:rsid w:val="00C52405"/>
    <w:rsid w:val="00C6355F"/>
    <w:rsid w:val="00C6782A"/>
    <w:rsid w:val="00C87220"/>
    <w:rsid w:val="00C96499"/>
    <w:rsid w:val="00CB1434"/>
    <w:rsid w:val="00D04616"/>
    <w:rsid w:val="00D06196"/>
    <w:rsid w:val="00D131CF"/>
    <w:rsid w:val="00D14122"/>
    <w:rsid w:val="00D25A5A"/>
    <w:rsid w:val="00D3797C"/>
    <w:rsid w:val="00D40E26"/>
    <w:rsid w:val="00D65330"/>
    <w:rsid w:val="00D720D9"/>
    <w:rsid w:val="00D75DF5"/>
    <w:rsid w:val="00D82CD7"/>
    <w:rsid w:val="00DA6A61"/>
    <w:rsid w:val="00DB0878"/>
    <w:rsid w:val="00DC3951"/>
    <w:rsid w:val="00DE0CE9"/>
    <w:rsid w:val="00DE4B58"/>
    <w:rsid w:val="00DE635C"/>
    <w:rsid w:val="00DF7B51"/>
    <w:rsid w:val="00E023E8"/>
    <w:rsid w:val="00E06F62"/>
    <w:rsid w:val="00E07C02"/>
    <w:rsid w:val="00E17F33"/>
    <w:rsid w:val="00E20B1B"/>
    <w:rsid w:val="00E31D4C"/>
    <w:rsid w:val="00E370C7"/>
    <w:rsid w:val="00E43596"/>
    <w:rsid w:val="00E74F9B"/>
    <w:rsid w:val="00E75F81"/>
    <w:rsid w:val="00E822CB"/>
    <w:rsid w:val="00EB4A05"/>
    <w:rsid w:val="00F11EE2"/>
    <w:rsid w:val="00F21E5E"/>
    <w:rsid w:val="00F31A44"/>
    <w:rsid w:val="00F4601C"/>
    <w:rsid w:val="00F56D12"/>
    <w:rsid w:val="00F623DD"/>
    <w:rsid w:val="00F6664F"/>
    <w:rsid w:val="00F67755"/>
    <w:rsid w:val="00F704C6"/>
    <w:rsid w:val="00F74D33"/>
    <w:rsid w:val="00F74FAF"/>
    <w:rsid w:val="00F85B1C"/>
    <w:rsid w:val="00F977A9"/>
    <w:rsid w:val="00FE6394"/>
    <w:rsid w:val="00FF1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DDDE"/>
  <w15:chartTrackingRefBased/>
  <w15:docId w15:val="{87AC1BA9-6F24-4B22-87AE-83A8A695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567"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88A"/>
  </w:style>
  <w:style w:type="paragraph" w:styleId="Heading1">
    <w:name w:val="heading 1"/>
    <w:basedOn w:val="Normal"/>
    <w:next w:val="Normal"/>
    <w:link w:val="Heading1Char"/>
    <w:uiPriority w:val="9"/>
    <w:qFormat/>
    <w:rsid w:val="00D40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1"/>
    <w:basedOn w:val="Normal"/>
    <w:uiPriority w:val="1"/>
    <w:qFormat/>
    <w:rsid w:val="00907C72"/>
    <w:pPr>
      <w:spacing w:before="120" w:after="120" w:line="720" w:lineRule="auto"/>
    </w:pPr>
  </w:style>
  <w:style w:type="character" w:customStyle="1" w:styleId="Heading1Char">
    <w:name w:val="Heading 1 Char"/>
    <w:basedOn w:val="DefaultParagraphFont"/>
    <w:link w:val="Heading1"/>
    <w:uiPriority w:val="9"/>
    <w:rsid w:val="00D40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26"/>
    <w:rPr>
      <w:rFonts w:eastAsiaTheme="majorEastAsia" w:cstheme="majorBidi"/>
      <w:color w:val="272727" w:themeColor="text1" w:themeTint="D8"/>
    </w:rPr>
  </w:style>
  <w:style w:type="paragraph" w:styleId="Title">
    <w:name w:val="Title"/>
    <w:basedOn w:val="Normal"/>
    <w:next w:val="Normal"/>
    <w:link w:val="TitleChar"/>
    <w:uiPriority w:val="10"/>
    <w:qFormat/>
    <w:rsid w:val="00D40E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26"/>
    <w:pPr>
      <w:numPr>
        <w:ilvl w:val="1"/>
      </w:numPr>
      <w:spacing w:after="160"/>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0E26"/>
    <w:rPr>
      <w:i/>
      <w:iCs/>
      <w:color w:val="404040" w:themeColor="text1" w:themeTint="BF"/>
    </w:rPr>
  </w:style>
  <w:style w:type="paragraph" w:styleId="ListParagraph">
    <w:name w:val="List Paragraph"/>
    <w:basedOn w:val="Normal"/>
    <w:uiPriority w:val="34"/>
    <w:qFormat/>
    <w:rsid w:val="00D40E26"/>
    <w:pPr>
      <w:ind w:left="720"/>
      <w:contextualSpacing/>
    </w:pPr>
  </w:style>
  <w:style w:type="character" w:styleId="IntenseEmphasis">
    <w:name w:val="Intense Emphasis"/>
    <w:basedOn w:val="DefaultParagraphFont"/>
    <w:uiPriority w:val="21"/>
    <w:qFormat/>
    <w:rsid w:val="00D40E26"/>
    <w:rPr>
      <w:i/>
      <w:iCs/>
      <w:color w:val="0F4761" w:themeColor="accent1" w:themeShade="BF"/>
    </w:rPr>
  </w:style>
  <w:style w:type="paragraph" w:styleId="IntenseQuote">
    <w:name w:val="Intense Quote"/>
    <w:basedOn w:val="Normal"/>
    <w:next w:val="Normal"/>
    <w:link w:val="IntenseQuoteChar"/>
    <w:uiPriority w:val="30"/>
    <w:qFormat/>
    <w:rsid w:val="00D40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26"/>
    <w:rPr>
      <w:i/>
      <w:iCs/>
      <w:color w:val="0F4761" w:themeColor="accent1" w:themeShade="BF"/>
    </w:rPr>
  </w:style>
  <w:style w:type="character" w:styleId="IntenseReference">
    <w:name w:val="Intense Reference"/>
    <w:basedOn w:val="DefaultParagraphFont"/>
    <w:uiPriority w:val="32"/>
    <w:qFormat/>
    <w:rsid w:val="00D40E26"/>
    <w:rPr>
      <w:b/>
      <w:bCs/>
      <w:smallCaps/>
      <w:color w:val="0F4761" w:themeColor="accent1" w:themeShade="BF"/>
      <w:spacing w:val="5"/>
    </w:rPr>
  </w:style>
  <w:style w:type="table" w:styleId="TableGrid">
    <w:name w:val="Table Grid"/>
    <w:basedOn w:val="TableNormal"/>
    <w:uiPriority w:val="39"/>
    <w:rsid w:val="00E75F81"/>
    <w:pPr>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F81"/>
    <w:pPr>
      <w:spacing w:before="100" w:beforeAutospacing="1" w:after="100" w:afterAutospacing="1"/>
      <w:ind w:left="0" w:right="0"/>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E31D4C"/>
    <w:rPr>
      <w:rFonts w:ascii="Times New Roman" w:hAnsi="Times New Roman" w:cs="Times New Roman"/>
      <w:sz w:val="24"/>
      <w:szCs w:val="24"/>
    </w:rPr>
  </w:style>
  <w:style w:type="paragraph" w:styleId="Revision">
    <w:name w:val="Revision"/>
    <w:hidden/>
    <w:uiPriority w:val="99"/>
    <w:semiHidden/>
    <w:rsid w:val="004B158E"/>
    <w:pPr>
      <w:ind w:left="0" w:right="0"/>
    </w:pPr>
  </w:style>
  <w:style w:type="character" w:styleId="CommentReference">
    <w:name w:val="annotation reference"/>
    <w:basedOn w:val="DefaultParagraphFont"/>
    <w:uiPriority w:val="99"/>
    <w:semiHidden/>
    <w:unhideWhenUsed/>
    <w:rsid w:val="004B158E"/>
    <w:rPr>
      <w:sz w:val="16"/>
      <w:szCs w:val="16"/>
    </w:rPr>
  </w:style>
  <w:style w:type="paragraph" w:styleId="CommentText">
    <w:name w:val="annotation text"/>
    <w:basedOn w:val="Normal"/>
    <w:link w:val="CommentTextChar"/>
    <w:uiPriority w:val="99"/>
    <w:unhideWhenUsed/>
    <w:rsid w:val="004B158E"/>
    <w:rPr>
      <w:sz w:val="20"/>
      <w:szCs w:val="20"/>
    </w:rPr>
  </w:style>
  <w:style w:type="character" w:customStyle="1" w:styleId="CommentTextChar">
    <w:name w:val="Comment Text Char"/>
    <w:basedOn w:val="DefaultParagraphFont"/>
    <w:link w:val="CommentText"/>
    <w:uiPriority w:val="99"/>
    <w:rsid w:val="004B158E"/>
    <w:rPr>
      <w:sz w:val="20"/>
      <w:szCs w:val="20"/>
    </w:rPr>
  </w:style>
  <w:style w:type="paragraph" w:styleId="CommentSubject">
    <w:name w:val="annotation subject"/>
    <w:basedOn w:val="CommentText"/>
    <w:next w:val="CommentText"/>
    <w:link w:val="CommentSubjectChar"/>
    <w:uiPriority w:val="99"/>
    <w:semiHidden/>
    <w:unhideWhenUsed/>
    <w:rsid w:val="004B158E"/>
    <w:rPr>
      <w:b/>
      <w:bCs/>
    </w:rPr>
  </w:style>
  <w:style w:type="character" w:customStyle="1" w:styleId="CommentSubjectChar">
    <w:name w:val="Comment Subject Char"/>
    <w:basedOn w:val="CommentTextChar"/>
    <w:link w:val="CommentSubject"/>
    <w:uiPriority w:val="99"/>
    <w:semiHidden/>
    <w:rsid w:val="004B15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Chichkov, Georgi</dc:creator>
  <cp:keywords/>
  <dc:description/>
  <cp:lastModifiedBy>Chichkov, Georgi</cp:lastModifiedBy>
  <cp:revision>22</cp:revision>
  <dcterms:created xsi:type="dcterms:W3CDTF">2025-10-14T09:02:00Z</dcterms:created>
  <dcterms:modified xsi:type="dcterms:W3CDTF">2026-03-24T11:11:00Z</dcterms:modified>
</cp:coreProperties>
</file>