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60D4" w14:textId="5D332583" w:rsidR="00F06652" w:rsidRPr="00243F47" w:rsidRDefault="00CF4544">
      <w:pPr>
        <w:rPr>
          <w:b/>
          <w:bCs/>
          <w:color w:val="215E99" w:themeColor="text2" w:themeTint="BF"/>
          <w:sz w:val="32"/>
          <w:szCs w:val="32"/>
        </w:rPr>
      </w:pPr>
      <w:r w:rsidRPr="00243F47">
        <w:rPr>
          <w:b/>
          <w:bCs/>
          <w:color w:val="215E99" w:themeColor="text2" w:themeTint="BF"/>
          <w:sz w:val="32"/>
          <w:szCs w:val="32"/>
        </w:rPr>
        <w:t>Submission</w:t>
      </w:r>
      <w:r w:rsidR="002E45AC">
        <w:rPr>
          <w:b/>
          <w:bCs/>
          <w:color w:val="215E99" w:themeColor="text2" w:themeTint="BF"/>
          <w:sz w:val="32"/>
          <w:szCs w:val="32"/>
        </w:rPr>
        <w:t xml:space="preserve"> </w:t>
      </w:r>
      <w:r w:rsidR="00FA40AE">
        <w:rPr>
          <w:b/>
          <w:bCs/>
          <w:color w:val="215E99" w:themeColor="text2" w:themeTint="BF"/>
          <w:sz w:val="32"/>
          <w:szCs w:val="32"/>
        </w:rPr>
        <w:t xml:space="preserve">and Examination </w:t>
      </w:r>
      <w:r w:rsidRPr="00243F47">
        <w:rPr>
          <w:b/>
          <w:bCs/>
          <w:color w:val="215E99" w:themeColor="text2" w:themeTint="BF"/>
          <w:sz w:val="32"/>
          <w:szCs w:val="32"/>
        </w:rPr>
        <w:t xml:space="preserve">of </w:t>
      </w:r>
      <w:r w:rsidR="002E45AC">
        <w:rPr>
          <w:b/>
          <w:bCs/>
          <w:color w:val="215E99" w:themeColor="text2" w:themeTint="BF"/>
          <w:sz w:val="32"/>
          <w:szCs w:val="32"/>
        </w:rPr>
        <w:t>Research Thesis</w:t>
      </w:r>
    </w:p>
    <w:p w14:paraId="753AEE7F" w14:textId="77777777" w:rsidR="001C7AD0" w:rsidRDefault="00F06652" w:rsidP="007C6300">
      <w:pPr>
        <w:spacing w:after="0" w:line="240" w:lineRule="auto"/>
        <w:jc w:val="both"/>
        <w:rPr>
          <w:bCs/>
        </w:rPr>
      </w:pPr>
      <w:r w:rsidRPr="00A14DD4">
        <w:t xml:space="preserve">The following notes set out the University's regulations governing the submission of </w:t>
      </w:r>
      <w:r w:rsidR="00243F47">
        <w:t xml:space="preserve">research degree </w:t>
      </w:r>
      <w:r w:rsidRPr="00A14DD4">
        <w:t>theses</w:t>
      </w:r>
      <w:r w:rsidR="004C14FB">
        <w:t xml:space="preserve"> for examination</w:t>
      </w:r>
      <w:r w:rsidRPr="00A14DD4">
        <w:t xml:space="preserve">. They apply to all postgraduate research students. </w:t>
      </w:r>
    </w:p>
    <w:p w14:paraId="556EE6C8" w14:textId="77777777" w:rsidR="001C7AD0" w:rsidRDefault="001C7AD0" w:rsidP="007C6300">
      <w:pPr>
        <w:spacing w:after="0" w:line="240" w:lineRule="auto"/>
        <w:jc w:val="both"/>
        <w:rPr>
          <w:bCs/>
        </w:rPr>
      </w:pPr>
    </w:p>
    <w:p w14:paraId="4729B560" w14:textId="77777777" w:rsidR="001C7AD0" w:rsidRDefault="001C7AD0" w:rsidP="007C6300">
      <w:pPr>
        <w:spacing w:after="0" w:line="240" w:lineRule="auto"/>
        <w:jc w:val="both"/>
      </w:pPr>
      <w:r w:rsidRPr="001C7AD0">
        <w:t xml:space="preserve">Section 10 of the Code of Practice provides all the information necessary for thesis preparation and submission. This includes guidance for a </w:t>
      </w:r>
      <w:proofErr w:type="gramStart"/>
      <w:r w:rsidRPr="001C7AD0">
        <w:t>Thesis</w:t>
      </w:r>
      <w:proofErr w:type="gramEnd"/>
      <w:r w:rsidRPr="001C7AD0">
        <w:t xml:space="preserve"> with/by Publication.</w:t>
      </w:r>
    </w:p>
    <w:p w14:paraId="35213DF9" w14:textId="77777777" w:rsidR="001C7AD0" w:rsidRDefault="001C7AD0" w:rsidP="007C6300">
      <w:pPr>
        <w:spacing w:after="0" w:line="240" w:lineRule="auto"/>
        <w:jc w:val="both"/>
      </w:pPr>
    </w:p>
    <w:p w14:paraId="72B1E1C6" w14:textId="26200309" w:rsidR="007C6300" w:rsidRPr="007C6300" w:rsidRDefault="00E86B86" w:rsidP="007C6300">
      <w:pPr>
        <w:spacing w:after="0" w:line="240" w:lineRule="auto"/>
        <w:jc w:val="both"/>
      </w:pPr>
      <w:r w:rsidRPr="00371A5F">
        <w:t xml:space="preserve">If you require more information, please contact Registry at </w:t>
      </w:r>
      <w:hyperlink r:id="rId5" w:history="1">
        <w:r w:rsidRPr="00B66496">
          <w:rPr>
            <w:rStyle w:val="Hyperlink"/>
          </w:rPr>
          <w:t>postgraduate@abdn.ac.uk</w:t>
        </w:r>
      </w:hyperlink>
      <w:r>
        <w:t xml:space="preserve"> .</w:t>
      </w:r>
    </w:p>
    <w:p w14:paraId="10715F67" w14:textId="77777777" w:rsidR="007C6300" w:rsidRDefault="007C6300" w:rsidP="00816CDC">
      <w:pPr>
        <w:spacing w:after="0" w:line="240" w:lineRule="auto"/>
      </w:pPr>
    </w:p>
    <w:p w14:paraId="2559E3E7" w14:textId="7465C879" w:rsidR="00F06652" w:rsidRPr="008B68C1" w:rsidRDefault="00F06652" w:rsidP="00816CDC">
      <w:pPr>
        <w:spacing w:after="0" w:line="240" w:lineRule="auto"/>
        <w:rPr>
          <w:b/>
          <w:bCs/>
          <w:color w:val="215E99" w:themeColor="text2" w:themeTint="BF"/>
          <w:sz w:val="28"/>
          <w:szCs w:val="28"/>
        </w:rPr>
      </w:pPr>
      <w:r w:rsidRPr="008B68C1">
        <w:rPr>
          <w:b/>
          <w:bCs/>
          <w:color w:val="215E99" w:themeColor="text2" w:themeTint="BF"/>
          <w:sz w:val="28"/>
          <w:szCs w:val="28"/>
        </w:rPr>
        <w:t xml:space="preserve">Notice of intention to submit </w:t>
      </w:r>
    </w:p>
    <w:p w14:paraId="15BA82EB" w14:textId="5AC1B9F4" w:rsidR="00816CDC" w:rsidRDefault="00F06652" w:rsidP="00371A5F">
      <w:pPr>
        <w:spacing w:after="0" w:line="240" w:lineRule="auto"/>
      </w:pPr>
      <w:r w:rsidRPr="00A14DD4">
        <w:t xml:space="preserve">Not less than one month before your intended date of submission, and 4 months before intended graduation, you must give notice of intention to submit a thesis by emailing postgraduate@abdn.ac.uk. The intention to submit form </w:t>
      </w:r>
      <w:hyperlink r:id="rId6" w:history="1">
        <w:r w:rsidR="00065B25" w:rsidRPr="00110AA8">
          <w:rPr>
            <w:rStyle w:val="Hyperlink"/>
          </w:rPr>
          <w:t>is available online</w:t>
        </w:r>
      </w:hyperlink>
      <w:r w:rsidR="00065B25">
        <w:t>.</w:t>
      </w:r>
    </w:p>
    <w:p w14:paraId="5643D1D8" w14:textId="77777777" w:rsidR="007C6300" w:rsidRDefault="007C6300" w:rsidP="00371A5F">
      <w:pPr>
        <w:spacing w:after="0" w:line="240" w:lineRule="auto"/>
      </w:pPr>
    </w:p>
    <w:p w14:paraId="5BA80F3B" w14:textId="77777777" w:rsidR="00DF1208" w:rsidRDefault="007C6300" w:rsidP="00371A5F">
      <w:pPr>
        <w:spacing w:after="0" w:line="240" w:lineRule="auto"/>
        <w:rPr>
          <w:b/>
          <w:bCs/>
          <w:color w:val="215E99" w:themeColor="text2" w:themeTint="BF"/>
          <w:sz w:val="28"/>
          <w:szCs w:val="28"/>
        </w:rPr>
      </w:pPr>
      <w:r w:rsidRPr="008B68C1">
        <w:rPr>
          <w:b/>
          <w:bCs/>
          <w:color w:val="215E99" w:themeColor="text2" w:themeTint="BF"/>
          <w:sz w:val="28"/>
          <w:szCs w:val="28"/>
        </w:rPr>
        <w:t>Submission requirements</w:t>
      </w:r>
    </w:p>
    <w:p w14:paraId="6639B81B" w14:textId="77777777" w:rsidR="00DF1208" w:rsidRDefault="00DF1208" w:rsidP="00371A5F">
      <w:pPr>
        <w:spacing w:after="0" w:line="240" w:lineRule="auto"/>
        <w:rPr>
          <w:b/>
          <w:bCs/>
          <w:color w:val="215E99" w:themeColor="text2" w:themeTint="BF"/>
          <w:sz w:val="28"/>
          <w:szCs w:val="28"/>
        </w:rPr>
      </w:pPr>
    </w:p>
    <w:p w14:paraId="0AFFAA15" w14:textId="595D2AA4" w:rsidR="007C6300" w:rsidRPr="00DF1208" w:rsidRDefault="007C6300" w:rsidP="00371A5F">
      <w:pPr>
        <w:spacing w:after="0" w:line="240" w:lineRule="auto"/>
        <w:rPr>
          <w:b/>
          <w:bCs/>
          <w:color w:val="215E99" w:themeColor="text2" w:themeTint="BF"/>
          <w:sz w:val="28"/>
          <w:szCs w:val="28"/>
        </w:rPr>
      </w:pPr>
      <w:r w:rsidRPr="008B68C1">
        <w:rPr>
          <w:b/>
          <w:bCs/>
          <w:sz w:val="24"/>
          <w:szCs w:val="24"/>
        </w:rPr>
        <w:t>The thesis must:</w:t>
      </w:r>
    </w:p>
    <w:p w14:paraId="21F9107C" w14:textId="77777777" w:rsidR="007C6300" w:rsidRPr="00D853B4" w:rsidRDefault="007C6300" w:rsidP="007C6300">
      <w:pPr>
        <w:numPr>
          <w:ilvl w:val="0"/>
          <w:numId w:val="5"/>
        </w:numPr>
        <w:spacing w:after="52" w:line="249" w:lineRule="auto"/>
        <w:ind w:hanging="286"/>
        <w:jc w:val="both"/>
      </w:pPr>
      <w:r w:rsidRPr="00D853B4">
        <w:rPr>
          <w:rFonts w:eastAsia="Arial" w:cs="Arial"/>
        </w:rPr>
        <w:t xml:space="preserve">Contain a summary of its salient points </w:t>
      </w:r>
    </w:p>
    <w:p w14:paraId="6AFA20C3" w14:textId="77777777" w:rsidR="007C6300" w:rsidRPr="00D853B4" w:rsidRDefault="007C6300" w:rsidP="007C6300">
      <w:pPr>
        <w:numPr>
          <w:ilvl w:val="0"/>
          <w:numId w:val="5"/>
        </w:numPr>
        <w:spacing w:after="109" w:line="249" w:lineRule="auto"/>
        <w:ind w:hanging="286"/>
        <w:jc w:val="both"/>
      </w:pPr>
      <w:r w:rsidRPr="00D853B4">
        <w:rPr>
          <w:rFonts w:eastAsia="Arial" w:cs="Arial"/>
        </w:rPr>
        <w:t xml:space="preserve">Contain a signed declaration stating that: </w:t>
      </w:r>
    </w:p>
    <w:p w14:paraId="18C7D021" w14:textId="77777777" w:rsidR="007C6300" w:rsidRPr="00D853B4" w:rsidRDefault="007C6300" w:rsidP="007C6300">
      <w:pPr>
        <w:numPr>
          <w:ilvl w:val="1"/>
          <w:numId w:val="5"/>
        </w:numPr>
        <w:spacing w:after="0" w:line="249" w:lineRule="auto"/>
        <w:ind w:hanging="298"/>
        <w:jc w:val="both"/>
      </w:pPr>
      <w:r w:rsidRPr="00D853B4">
        <w:rPr>
          <w:rFonts w:eastAsia="Arial" w:cs="Arial"/>
        </w:rPr>
        <w:t xml:space="preserve">the thesis has been composed by the candidate </w:t>
      </w:r>
    </w:p>
    <w:p w14:paraId="44883C0F" w14:textId="77777777" w:rsidR="007C6300" w:rsidRPr="00D853B4" w:rsidRDefault="007C6300" w:rsidP="007C6300">
      <w:pPr>
        <w:numPr>
          <w:ilvl w:val="1"/>
          <w:numId w:val="5"/>
        </w:numPr>
        <w:spacing w:after="0" w:line="249" w:lineRule="auto"/>
        <w:ind w:hanging="298"/>
        <w:jc w:val="both"/>
      </w:pPr>
      <w:r w:rsidRPr="00D853B4">
        <w:rPr>
          <w:rFonts w:eastAsia="Arial" w:cs="Arial"/>
        </w:rPr>
        <w:t xml:space="preserve">it has not been accepted in any previous application for a degree </w:t>
      </w:r>
    </w:p>
    <w:p w14:paraId="3974DC86" w14:textId="77777777" w:rsidR="007C6300" w:rsidRPr="00D853B4" w:rsidRDefault="007C6300" w:rsidP="007C6300">
      <w:pPr>
        <w:numPr>
          <w:ilvl w:val="1"/>
          <w:numId w:val="5"/>
        </w:numPr>
        <w:spacing w:after="109" w:line="249" w:lineRule="auto"/>
        <w:ind w:hanging="298"/>
        <w:jc w:val="both"/>
      </w:pPr>
      <w:r w:rsidRPr="00D853B4">
        <w:rPr>
          <w:rFonts w:eastAsia="Arial" w:cs="Arial"/>
        </w:rPr>
        <w:t xml:space="preserve">the work has been done by the candidate </w:t>
      </w:r>
    </w:p>
    <w:p w14:paraId="533CC8AF" w14:textId="77777777" w:rsidR="007C6300" w:rsidRPr="00D853B4" w:rsidRDefault="007C6300" w:rsidP="007C6300">
      <w:pPr>
        <w:spacing w:after="109" w:line="249" w:lineRule="auto"/>
        <w:ind w:left="107" w:hanging="9"/>
        <w:jc w:val="both"/>
      </w:pPr>
      <w:r w:rsidRPr="00D853B4">
        <w:rPr>
          <w:rFonts w:eastAsia="Arial" w:cs="Arial"/>
        </w:rPr>
        <w:t xml:space="preserve">(if joint work, it should be clearly indicated which part is the candidate's independent contribution) </w:t>
      </w:r>
    </w:p>
    <w:p w14:paraId="5DEBD0C4" w14:textId="77777777" w:rsidR="007C6300" w:rsidRPr="00D853B4" w:rsidRDefault="007C6300" w:rsidP="007C6300">
      <w:pPr>
        <w:numPr>
          <w:ilvl w:val="1"/>
          <w:numId w:val="5"/>
        </w:numPr>
        <w:spacing w:after="109" w:line="249" w:lineRule="auto"/>
        <w:ind w:hanging="298"/>
        <w:jc w:val="both"/>
      </w:pPr>
      <w:r w:rsidRPr="00D853B4">
        <w:rPr>
          <w:rFonts w:eastAsia="Arial" w:cs="Arial"/>
        </w:rPr>
        <w:t xml:space="preserve">all quotations have been distinguished by quotation marks and the sources of information specifically acknowledged </w:t>
      </w:r>
    </w:p>
    <w:p w14:paraId="3AB4DE53" w14:textId="77777777" w:rsidR="007C6300" w:rsidRPr="00D853B4" w:rsidRDefault="007C6300" w:rsidP="007C6300">
      <w:pPr>
        <w:numPr>
          <w:ilvl w:val="0"/>
          <w:numId w:val="5"/>
        </w:numPr>
        <w:spacing w:after="51" w:line="249" w:lineRule="auto"/>
        <w:ind w:hanging="286"/>
        <w:jc w:val="both"/>
      </w:pPr>
      <w:r w:rsidRPr="00D853B4">
        <w:rPr>
          <w:rFonts w:eastAsia="Arial" w:cs="Arial"/>
        </w:rPr>
        <w:t xml:space="preserve">Be accompanied by a copy of the abstract, not exceeding 300 words </w:t>
      </w:r>
    </w:p>
    <w:p w14:paraId="1F5E4234" w14:textId="77777777" w:rsidR="00DF1208" w:rsidRDefault="00DF1208" w:rsidP="00931E02">
      <w:pPr>
        <w:spacing w:after="0" w:line="240" w:lineRule="auto"/>
        <w:jc w:val="both"/>
      </w:pPr>
    </w:p>
    <w:p w14:paraId="2805AB49" w14:textId="4F58DE8A" w:rsidR="007C6300" w:rsidRPr="008B68C1" w:rsidRDefault="00D853B4" w:rsidP="00931E02">
      <w:pPr>
        <w:spacing w:after="0" w:line="240" w:lineRule="auto"/>
        <w:jc w:val="both"/>
        <w:rPr>
          <w:b/>
          <w:bCs/>
          <w:sz w:val="24"/>
          <w:szCs w:val="24"/>
        </w:rPr>
      </w:pPr>
      <w:r w:rsidRPr="008B68C1">
        <w:rPr>
          <w:rFonts w:eastAsia="Arial" w:cs="Arial"/>
          <w:b/>
          <w:bCs/>
          <w:sz w:val="24"/>
          <w:szCs w:val="24"/>
        </w:rPr>
        <w:t>T</w:t>
      </w:r>
      <w:r w:rsidR="007C6300" w:rsidRPr="008B68C1">
        <w:rPr>
          <w:rFonts w:eastAsia="Arial" w:cs="Arial"/>
          <w:b/>
          <w:bCs/>
          <w:sz w:val="24"/>
          <w:szCs w:val="24"/>
        </w:rPr>
        <w:t xml:space="preserve">he TITLE PAGE should contain: </w:t>
      </w:r>
    </w:p>
    <w:p w14:paraId="7C88D4D3" w14:textId="77777777" w:rsidR="007C6300" w:rsidRPr="00D853B4" w:rsidRDefault="007C6300" w:rsidP="00DF1208">
      <w:pPr>
        <w:numPr>
          <w:ilvl w:val="0"/>
          <w:numId w:val="6"/>
        </w:numPr>
        <w:spacing w:after="0" w:line="240" w:lineRule="auto"/>
        <w:ind w:hanging="288"/>
        <w:jc w:val="both"/>
      </w:pPr>
      <w:r w:rsidRPr="00D853B4">
        <w:rPr>
          <w:rFonts w:eastAsia="Arial" w:cs="Arial"/>
        </w:rPr>
        <w:t xml:space="preserve">The title of the thesis </w:t>
      </w:r>
    </w:p>
    <w:p w14:paraId="2859A388" w14:textId="77777777" w:rsidR="007C6300" w:rsidRPr="00D853B4" w:rsidRDefault="007C6300" w:rsidP="007C6300">
      <w:pPr>
        <w:numPr>
          <w:ilvl w:val="0"/>
          <w:numId w:val="6"/>
        </w:numPr>
        <w:spacing w:after="109" w:line="249" w:lineRule="auto"/>
        <w:ind w:hanging="288"/>
        <w:jc w:val="both"/>
      </w:pPr>
      <w:r w:rsidRPr="00D853B4">
        <w:rPr>
          <w:rFonts w:eastAsia="Arial" w:cs="Arial"/>
        </w:rPr>
        <w:t xml:space="preserve">The statement: 'A thesis presented for the degree of... at the University of Aberdeen' </w:t>
      </w:r>
    </w:p>
    <w:p w14:paraId="11E35C12" w14:textId="77777777" w:rsidR="007C6300" w:rsidRPr="00D853B4" w:rsidRDefault="007C6300" w:rsidP="007C6300">
      <w:pPr>
        <w:numPr>
          <w:ilvl w:val="0"/>
          <w:numId w:val="6"/>
        </w:numPr>
        <w:spacing w:after="51" w:line="249" w:lineRule="auto"/>
        <w:ind w:hanging="288"/>
        <w:jc w:val="both"/>
      </w:pPr>
      <w:r w:rsidRPr="00D853B4">
        <w:rPr>
          <w:rFonts w:eastAsia="Arial" w:cs="Arial"/>
        </w:rPr>
        <w:t xml:space="preserve">The name of the author, academic qualifications and </w:t>
      </w:r>
      <w:proofErr w:type="gramStart"/>
      <w:r w:rsidRPr="00D853B4">
        <w:rPr>
          <w:rFonts w:eastAsia="Arial" w:cs="Arial"/>
        </w:rPr>
        <w:t>where</w:t>
      </w:r>
      <w:proofErr w:type="gramEnd"/>
      <w:r w:rsidRPr="00D853B4">
        <w:rPr>
          <w:rFonts w:eastAsia="Arial" w:cs="Arial"/>
        </w:rPr>
        <w:t xml:space="preserve"> obtained </w:t>
      </w:r>
    </w:p>
    <w:p w14:paraId="48566813" w14:textId="77777777" w:rsidR="00C032FC" w:rsidRPr="00C032FC" w:rsidRDefault="007C6300" w:rsidP="00C032FC">
      <w:pPr>
        <w:numPr>
          <w:ilvl w:val="0"/>
          <w:numId w:val="6"/>
        </w:numPr>
        <w:spacing w:after="109" w:line="249" w:lineRule="auto"/>
        <w:ind w:hanging="288"/>
        <w:jc w:val="both"/>
      </w:pPr>
      <w:r w:rsidRPr="00D853B4">
        <w:rPr>
          <w:rFonts w:eastAsia="Arial" w:cs="Arial"/>
        </w:rPr>
        <w:t xml:space="preserve">The year of submission </w:t>
      </w:r>
    </w:p>
    <w:p w14:paraId="66AC60D7" w14:textId="77777777" w:rsidR="00931E02" w:rsidRDefault="00931E02" w:rsidP="00931E02">
      <w:pPr>
        <w:spacing w:after="0" w:line="240" w:lineRule="auto"/>
        <w:jc w:val="both"/>
      </w:pPr>
    </w:p>
    <w:p w14:paraId="435853B4" w14:textId="1954D642" w:rsidR="007C6300" w:rsidRPr="008B68C1" w:rsidRDefault="007C6300" w:rsidP="00931E02">
      <w:pPr>
        <w:spacing w:after="0" w:line="240" w:lineRule="auto"/>
        <w:jc w:val="both"/>
        <w:rPr>
          <w:b/>
          <w:bCs/>
          <w:sz w:val="24"/>
          <w:szCs w:val="24"/>
        </w:rPr>
      </w:pPr>
      <w:r w:rsidRPr="008B68C1">
        <w:rPr>
          <w:b/>
          <w:bCs/>
          <w:sz w:val="24"/>
          <w:szCs w:val="24"/>
        </w:rPr>
        <w:t xml:space="preserve">Maximum length of the thesis </w:t>
      </w:r>
    </w:p>
    <w:p w14:paraId="2E8FF2D0" w14:textId="77777777" w:rsidR="007C6300" w:rsidRPr="00D853B4" w:rsidRDefault="007C6300" w:rsidP="00DF1208">
      <w:pPr>
        <w:spacing w:after="0" w:line="240" w:lineRule="auto"/>
        <w:ind w:right="95"/>
        <w:jc w:val="both"/>
      </w:pPr>
      <w:r w:rsidRPr="00D853B4">
        <w:rPr>
          <w:rFonts w:eastAsia="Arial" w:cs="Arial"/>
        </w:rPr>
        <w:t>If you are to be examined by thesis, the regulations specify maximum lengths, which you must not exceed except with the special permission of Senate</w:t>
      </w:r>
      <w:r w:rsidRPr="00D853B4">
        <w:rPr>
          <w:rFonts w:eastAsia="Arial" w:cs="Arial"/>
          <w:i/>
        </w:rPr>
        <w:t xml:space="preserve">, </w:t>
      </w:r>
      <w:r w:rsidRPr="00D853B4">
        <w:rPr>
          <w:rFonts w:eastAsia="Arial" w:cs="Arial"/>
        </w:rPr>
        <w:t xml:space="preserve">as follows: </w:t>
      </w:r>
    </w:p>
    <w:p w14:paraId="6362E7E8" w14:textId="6153137F" w:rsidR="007C6300" w:rsidRPr="008B68C1" w:rsidRDefault="007C6300" w:rsidP="008B68C1">
      <w:pPr>
        <w:pStyle w:val="Heading2"/>
        <w:rPr>
          <w:rFonts w:asciiTheme="minorHAnsi" w:hAnsiTheme="minorHAnsi"/>
          <w:sz w:val="24"/>
          <w:szCs w:val="24"/>
        </w:rPr>
      </w:pPr>
      <w:r w:rsidRPr="008B68C1">
        <w:rPr>
          <w:rFonts w:asciiTheme="minorHAnsi" w:hAnsiTheme="minorHAnsi"/>
          <w:sz w:val="24"/>
          <w:szCs w:val="24"/>
        </w:rPr>
        <w:t>University of Aberdeen Research Degrees</w:t>
      </w:r>
    </w:p>
    <w:p w14:paraId="6467A105" w14:textId="393B6DD7" w:rsidR="007C6300" w:rsidRPr="00D853B4" w:rsidRDefault="007C6300" w:rsidP="007C6300">
      <w:pPr>
        <w:spacing w:after="81" w:line="249" w:lineRule="auto"/>
        <w:jc w:val="both"/>
      </w:pPr>
      <w:r w:rsidRPr="00D853B4">
        <w:rPr>
          <w:rFonts w:eastAsia="Arial" w:cs="Arial"/>
        </w:rPr>
        <w:t xml:space="preserve">PhD, </w:t>
      </w:r>
      <w:proofErr w:type="spellStart"/>
      <w:r w:rsidRPr="00D853B4">
        <w:rPr>
          <w:rFonts w:eastAsia="Arial" w:cs="Arial"/>
        </w:rPr>
        <w:t>EngD</w:t>
      </w:r>
      <w:proofErr w:type="spellEnd"/>
      <w:r w:rsidRPr="00D853B4">
        <w:rPr>
          <w:rFonts w:eastAsia="Arial" w:cs="Arial"/>
        </w:rPr>
        <w:t xml:space="preserve">, MD and ChM </w:t>
      </w:r>
      <w:r w:rsidR="008B68C1">
        <w:rPr>
          <w:rFonts w:eastAsia="Arial" w:cs="Arial"/>
        </w:rPr>
        <w:t xml:space="preserve">     </w:t>
      </w:r>
      <w:r w:rsidR="008B68C1">
        <w:rPr>
          <w:rFonts w:eastAsia="Arial" w:cs="Arial"/>
        </w:rPr>
        <w:tab/>
      </w:r>
      <w:r w:rsidRPr="00D853B4">
        <w:rPr>
          <w:rFonts w:eastAsia="Arial" w:cs="Arial"/>
        </w:rPr>
        <w:t xml:space="preserve">100,000 words </w:t>
      </w:r>
    </w:p>
    <w:p w14:paraId="769932AD" w14:textId="0E2871AE" w:rsidR="007C6300" w:rsidRPr="00D853B4" w:rsidRDefault="007C6300" w:rsidP="007C6300">
      <w:pPr>
        <w:tabs>
          <w:tab w:val="center" w:pos="3243"/>
        </w:tabs>
        <w:spacing w:after="70" w:line="249" w:lineRule="auto"/>
      </w:pPr>
      <w:r w:rsidRPr="00D853B4">
        <w:rPr>
          <w:rFonts w:eastAsia="Arial" w:cs="Arial"/>
        </w:rPr>
        <w:t xml:space="preserve">EdD </w:t>
      </w:r>
      <w:r w:rsidRPr="00D853B4">
        <w:rPr>
          <w:rFonts w:eastAsia="Arial" w:cs="Arial"/>
        </w:rPr>
        <w:tab/>
        <w:t xml:space="preserve"> </w:t>
      </w:r>
      <w:r w:rsidR="008B68C1">
        <w:rPr>
          <w:rFonts w:eastAsia="Arial" w:cs="Arial"/>
        </w:rPr>
        <w:t xml:space="preserve">            </w:t>
      </w:r>
      <w:r w:rsidRPr="00D853B4">
        <w:rPr>
          <w:rFonts w:eastAsia="Arial" w:cs="Arial"/>
        </w:rPr>
        <w:t xml:space="preserve">60,000 words </w:t>
      </w:r>
    </w:p>
    <w:p w14:paraId="3D363226" w14:textId="77777777" w:rsidR="0071718B" w:rsidRDefault="007C6300" w:rsidP="0071718B">
      <w:pPr>
        <w:tabs>
          <w:tab w:val="center" w:pos="3255"/>
        </w:tabs>
        <w:spacing w:after="60" w:line="249" w:lineRule="auto"/>
        <w:rPr>
          <w:rFonts w:eastAsia="Arial" w:cs="Arial"/>
        </w:rPr>
      </w:pPr>
      <w:r w:rsidRPr="00D853B4">
        <w:rPr>
          <w:rFonts w:eastAsia="Arial" w:cs="Arial"/>
        </w:rPr>
        <w:t xml:space="preserve">MPhil </w:t>
      </w:r>
      <w:r w:rsidRPr="00D853B4">
        <w:rPr>
          <w:rFonts w:eastAsia="Arial" w:cs="Arial"/>
        </w:rPr>
        <w:tab/>
      </w:r>
      <w:r w:rsidR="008B68C1">
        <w:rPr>
          <w:rFonts w:eastAsia="Arial" w:cs="Arial"/>
        </w:rPr>
        <w:t xml:space="preserve">            </w:t>
      </w:r>
      <w:r w:rsidRPr="00D853B4">
        <w:rPr>
          <w:rFonts w:eastAsia="Arial" w:cs="Arial"/>
        </w:rPr>
        <w:t xml:space="preserve">70,000 words </w:t>
      </w:r>
    </w:p>
    <w:p w14:paraId="43F811E3" w14:textId="48D5E0D9" w:rsidR="007C6300" w:rsidRPr="0071718B" w:rsidRDefault="007C6300" w:rsidP="0071718B">
      <w:pPr>
        <w:tabs>
          <w:tab w:val="center" w:pos="3255"/>
        </w:tabs>
        <w:spacing w:after="60" w:line="249" w:lineRule="auto"/>
        <w:rPr>
          <w:rFonts w:eastAsia="Arial" w:cs="Arial"/>
        </w:rPr>
      </w:pPr>
      <w:proofErr w:type="gramStart"/>
      <w:r w:rsidRPr="0071718B">
        <w:t>One year</w:t>
      </w:r>
      <w:proofErr w:type="gramEnd"/>
      <w:r w:rsidRPr="0071718B">
        <w:t xml:space="preserve"> </w:t>
      </w:r>
      <w:proofErr w:type="gramStart"/>
      <w:r w:rsidRPr="0071718B">
        <w:t>Master's</w:t>
      </w:r>
      <w:proofErr w:type="gramEnd"/>
      <w:r w:rsidRPr="0071718B">
        <w:t xml:space="preserve"> degre</w:t>
      </w:r>
      <w:r w:rsidR="0071718B">
        <w:t xml:space="preserve">e </w:t>
      </w:r>
      <w:r w:rsidR="0071718B">
        <w:tab/>
        <w:t xml:space="preserve">          </w:t>
      </w:r>
      <w:r w:rsidRPr="008B68C1">
        <w:t xml:space="preserve">40,000 words </w:t>
      </w:r>
    </w:p>
    <w:p w14:paraId="1ED318CB" w14:textId="77777777" w:rsidR="007C6300" w:rsidRPr="00D853B4" w:rsidRDefault="007C6300" w:rsidP="007C6300">
      <w:pPr>
        <w:spacing w:after="0"/>
      </w:pPr>
      <w:r w:rsidRPr="00D853B4">
        <w:rPr>
          <w:rFonts w:eastAsia="Arial" w:cs="Arial"/>
        </w:rPr>
        <w:t xml:space="preserve"> </w:t>
      </w:r>
    </w:p>
    <w:p w14:paraId="40921C79" w14:textId="01560E7D" w:rsidR="00DF1208" w:rsidRDefault="007C6300" w:rsidP="00931E02">
      <w:pPr>
        <w:spacing w:after="0" w:line="240" w:lineRule="auto"/>
        <w:rPr>
          <w:rFonts w:eastAsia="Arial" w:cs="Arial"/>
        </w:rPr>
      </w:pPr>
      <w:r w:rsidRPr="00D853B4">
        <w:rPr>
          <w:rFonts w:eastAsia="Arial" w:cs="Arial"/>
        </w:rPr>
        <w:lastRenderedPageBreak/>
        <w:t xml:space="preserve">It should be noted that these figures are intended only as an approximate guide to maximum lengths. They include appendices and footnotes, but not bibliographies, statistical and computational compilations, and analogous illustrative material (maps, facsimile documents etc.). The above word-counts are upper word </w:t>
      </w:r>
      <w:proofErr w:type="gramStart"/>
      <w:r w:rsidRPr="00D853B4">
        <w:rPr>
          <w:rFonts w:eastAsia="Arial" w:cs="Arial"/>
        </w:rPr>
        <w:t>limits</w:t>
      </w:r>
      <w:proofErr w:type="gramEnd"/>
      <w:r w:rsidRPr="00D853B4">
        <w:rPr>
          <w:rFonts w:eastAsia="Arial" w:cs="Arial"/>
        </w:rPr>
        <w:t xml:space="preserve"> and you are encouraged to do a final word count. If your thesis is above the </w:t>
      </w:r>
      <w:r w:rsidRPr="00D853B4">
        <w:rPr>
          <w:rFonts w:eastAsia="Arial" w:cs="Arial"/>
          <w:b/>
        </w:rPr>
        <w:t xml:space="preserve">upper </w:t>
      </w:r>
      <w:r w:rsidRPr="00D853B4">
        <w:rPr>
          <w:rFonts w:eastAsia="Arial" w:cs="Arial"/>
        </w:rPr>
        <w:t xml:space="preserve">word limit, you must make an application to Registry, giving reasons why your thesis cannot be reduced in length. Remember the hallmark of a good thesis is quality, not quantity! </w:t>
      </w:r>
    </w:p>
    <w:p w14:paraId="34697CE1" w14:textId="77777777" w:rsidR="00931E02" w:rsidRDefault="00931E02" w:rsidP="00931E02">
      <w:pPr>
        <w:spacing w:after="0" w:line="240" w:lineRule="auto"/>
        <w:rPr>
          <w:rFonts w:eastAsia="Arial" w:cs="Arial"/>
        </w:rPr>
      </w:pPr>
    </w:p>
    <w:p w14:paraId="5795776F" w14:textId="0AFA54C1" w:rsidR="007C6300" w:rsidRPr="00DF1208" w:rsidRDefault="007C6300" w:rsidP="00931E02">
      <w:pPr>
        <w:spacing w:after="0" w:line="240" w:lineRule="auto"/>
      </w:pPr>
      <w:r w:rsidRPr="00DF1208">
        <w:rPr>
          <w:b/>
          <w:bCs/>
          <w:sz w:val="24"/>
          <w:szCs w:val="24"/>
        </w:rPr>
        <w:t xml:space="preserve">General layout of the thesis </w:t>
      </w:r>
    </w:p>
    <w:p w14:paraId="1C13C8A0" w14:textId="77777777" w:rsidR="007C6300" w:rsidRDefault="007C6300" w:rsidP="00931E02">
      <w:pPr>
        <w:spacing w:after="0" w:line="240" w:lineRule="auto"/>
        <w:jc w:val="both"/>
        <w:rPr>
          <w:rFonts w:eastAsia="Arial" w:cs="Arial"/>
        </w:rPr>
      </w:pPr>
      <w:r w:rsidRPr="00D853B4">
        <w:rPr>
          <w:rFonts w:eastAsia="Arial" w:cs="Arial"/>
        </w:rPr>
        <w:t xml:space="preserve">While the regulations above must be followed precisely, on many aspects there is considerable variation between layouts preferred in different Schools. If in doubt, consult your supervisor to establish what is standard practice for your School. </w:t>
      </w:r>
    </w:p>
    <w:p w14:paraId="12A50BDB" w14:textId="77777777" w:rsidR="00DF1208" w:rsidRPr="00D853B4" w:rsidRDefault="00DF1208" w:rsidP="00931E02">
      <w:pPr>
        <w:spacing w:after="0" w:line="240" w:lineRule="auto"/>
        <w:jc w:val="both"/>
      </w:pPr>
    </w:p>
    <w:p w14:paraId="3E0459CC" w14:textId="77777777" w:rsidR="007C6300" w:rsidRPr="00DF1208" w:rsidRDefault="007C6300" w:rsidP="00931E02">
      <w:pPr>
        <w:pStyle w:val="Heading2"/>
        <w:spacing w:before="0" w:after="0" w:line="240" w:lineRule="auto"/>
        <w:rPr>
          <w:rFonts w:asciiTheme="minorHAnsi" w:hAnsiTheme="minorHAnsi"/>
          <w:b/>
          <w:bCs/>
          <w:color w:val="auto"/>
          <w:sz w:val="24"/>
          <w:szCs w:val="24"/>
        </w:rPr>
      </w:pPr>
      <w:r w:rsidRPr="00DF1208">
        <w:rPr>
          <w:rFonts w:asciiTheme="minorHAnsi" w:hAnsiTheme="minorHAnsi"/>
          <w:b/>
          <w:bCs/>
          <w:color w:val="auto"/>
          <w:sz w:val="24"/>
          <w:szCs w:val="24"/>
        </w:rPr>
        <w:t xml:space="preserve">Preliminary matter </w:t>
      </w:r>
    </w:p>
    <w:p w14:paraId="47F5BF60" w14:textId="77777777" w:rsidR="007C6300" w:rsidRDefault="007C6300" w:rsidP="00931E02">
      <w:pPr>
        <w:spacing w:after="0" w:line="240" w:lineRule="auto"/>
        <w:jc w:val="both"/>
        <w:rPr>
          <w:rFonts w:eastAsia="Arial" w:cs="Arial"/>
        </w:rPr>
      </w:pPr>
      <w:r w:rsidRPr="00D853B4">
        <w:rPr>
          <w:rFonts w:eastAsia="Arial" w:cs="Arial"/>
        </w:rPr>
        <w:t xml:space="preserve">This may include acknowledgements, table of contents, list of illustrations, abbreviations used etc. Consult recent theses and your supervisor to establish what is standard practice for your School. </w:t>
      </w:r>
    </w:p>
    <w:p w14:paraId="67CA4ECD" w14:textId="77777777" w:rsidR="00DF1208" w:rsidRPr="00D853B4" w:rsidRDefault="00DF1208" w:rsidP="00931E02">
      <w:pPr>
        <w:spacing w:after="0" w:line="240" w:lineRule="auto"/>
        <w:jc w:val="both"/>
      </w:pPr>
    </w:p>
    <w:p w14:paraId="53B13B06" w14:textId="77777777" w:rsidR="00DF1208" w:rsidRDefault="007C6300" w:rsidP="00931E02">
      <w:pPr>
        <w:pStyle w:val="Heading2"/>
        <w:spacing w:before="0" w:after="0" w:line="240" w:lineRule="auto"/>
        <w:rPr>
          <w:rFonts w:asciiTheme="minorHAnsi" w:hAnsiTheme="minorHAnsi"/>
          <w:b/>
          <w:bCs/>
          <w:color w:val="auto"/>
          <w:sz w:val="24"/>
          <w:szCs w:val="24"/>
        </w:rPr>
      </w:pPr>
      <w:r w:rsidRPr="00DF1208">
        <w:rPr>
          <w:rFonts w:asciiTheme="minorHAnsi" w:hAnsiTheme="minorHAnsi"/>
          <w:b/>
          <w:bCs/>
          <w:color w:val="auto"/>
          <w:sz w:val="24"/>
          <w:szCs w:val="24"/>
        </w:rPr>
        <w:t xml:space="preserve">Diagrams and Illustrations </w:t>
      </w:r>
    </w:p>
    <w:p w14:paraId="01D47732" w14:textId="66EEE941" w:rsidR="00DF1208" w:rsidRDefault="007C6300" w:rsidP="00931E02">
      <w:pPr>
        <w:pStyle w:val="Heading2"/>
        <w:spacing w:before="0" w:after="0" w:line="240" w:lineRule="auto"/>
        <w:rPr>
          <w:rFonts w:asciiTheme="minorHAnsi" w:eastAsia="Arial" w:hAnsiTheme="minorHAnsi" w:cs="Arial"/>
          <w:color w:val="auto"/>
          <w:sz w:val="22"/>
          <w:szCs w:val="22"/>
        </w:rPr>
      </w:pPr>
      <w:r w:rsidRPr="00DF1208">
        <w:rPr>
          <w:rFonts w:asciiTheme="minorHAnsi" w:eastAsia="Arial" w:hAnsiTheme="minorHAnsi" w:cs="Arial"/>
          <w:color w:val="auto"/>
          <w:sz w:val="22"/>
          <w:szCs w:val="22"/>
        </w:rPr>
        <w:t xml:space="preserve">These should be placed as close to the appropriate text as possible. </w:t>
      </w:r>
    </w:p>
    <w:p w14:paraId="5BF46AA8" w14:textId="77777777" w:rsidR="00931E02" w:rsidRPr="00931E02" w:rsidRDefault="00931E02" w:rsidP="00931E02">
      <w:pPr>
        <w:spacing w:after="0" w:line="240" w:lineRule="auto"/>
      </w:pPr>
    </w:p>
    <w:p w14:paraId="63BE4416" w14:textId="77777777" w:rsidR="007C6300" w:rsidRPr="00DF1208" w:rsidRDefault="007C6300" w:rsidP="00931E02">
      <w:pPr>
        <w:pStyle w:val="Heading2"/>
        <w:spacing w:before="0" w:after="0" w:line="240" w:lineRule="auto"/>
        <w:rPr>
          <w:rFonts w:asciiTheme="minorHAnsi" w:hAnsiTheme="minorHAnsi"/>
          <w:b/>
          <w:bCs/>
          <w:color w:val="auto"/>
          <w:sz w:val="24"/>
          <w:szCs w:val="24"/>
        </w:rPr>
      </w:pPr>
      <w:r w:rsidRPr="00DF1208">
        <w:rPr>
          <w:rFonts w:asciiTheme="minorHAnsi" w:hAnsiTheme="minorHAnsi"/>
          <w:b/>
          <w:bCs/>
          <w:color w:val="auto"/>
          <w:sz w:val="24"/>
          <w:szCs w:val="24"/>
        </w:rPr>
        <w:t xml:space="preserve">Footnotes and references </w:t>
      </w:r>
    </w:p>
    <w:p w14:paraId="0A98C546" w14:textId="568704C6" w:rsidR="007C6300" w:rsidRDefault="007C6300" w:rsidP="00931E02">
      <w:pPr>
        <w:spacing w:after="0" w:line="240" w:lineRule="auto"/>
        <w:jc w:val="both"/>
      </w:pPr>
      <w:r w:rsidRPr="00D853B4">
        <w:rPr>
          <w:rFonts w:eastAsia="Arial" w:cs="Arial"/>
        </w:rPr>
        <w:t>There are no hard and fast rules for these. Follow the advice of your supervisor. You may however find it helpful to consult</w:t>
      </w:r>
      <w:r w:rsidR="00931E02">
        <w:rPr>
          <w:rFonts w:eastAsia="Arial" w:cs="Arial"/>
        </w:rPr>
        <w:t xml:space="preserve"> </w:t>
      </w:r>
      <w:hyperlink r:id="rId7" w:anchor="R" w:history="1">
        <w:r w:rsidR="00931E02" w:rsidRPr="00931E02">
          <w:rPr>
            <w:rStyle w:val="Hyperlink"/>
            <w:rFonts w:eastAsia="Arial" w:cs="Arial"/>
          </w:rPr>
          <w:t>Library Guides on referencing</w:t>
        </w:r>
      </w:hyperlink>
      <w:r w:rsidR="00931E02">
        <w:rPr>
          <w:rFonts w:eastAsia="Arial" w:cs="Arial"/>
        </w:rPr>
        <w:t xml:space="preserve">. </w:t>
      </w:r>
    </w:p>
    <w:p w14:paraId="0678F53B" w14:textId="77777777" w:rsidR="00DF1208" w:rsidRPr="00D853B4" w:rsidRDefault="00DF1208" w:rsidP="00931E02">
      <w:pPr>
        <w:spacing w:after="0" w:line="240" w:lineRule="auto"/>
        <w:jc w:val="both"/>
      </w:pPr>
    </w:p>
    <w:p w14:paraId="413E7E0A" w14:textId="77777777" w:rsidR="00DF1208" w:rsidRDefault="007C6300" w:rsidP="00931E02">
      <w:pPr>
        <w:spacing w:after="0" w:line="240" w:lineRule="auto"/>
        <w:jc w:val="both"/>
        <w:rPr>
          <w:sz w:val="24"/>
          <w:szCs w:val="24"/>
        </w:rPr>
      </w:pPr>
      <w:r w:rsidRPr="00DF1208">
        <w:rPr>
          <w:rFonts w:eastAsia="Arial" w:cs="Arial"/>
          <w:b/>
          <w:sz w:val="24"/>
          <w:szCs w:val="24"/>
        </w:rPr>
        <w:t xml:space="preserve">Typing </w:t>
      </w:r>
    </w:p>
    <w:p w14:paraId="61159AEA" w14:textId="1576180F" w:rsidR="007C6300" w:rsidRPr="00DF1208" w:rsidRDefault="007C6300" w:rsidP="00931E02">
      <w:pPr>
        <w:spacing w:after="0" w:line="240" w:lineRule="auto"/>
        <w:jc w:val="both"/>
        <w:rPr>
          <w:sz w:val="24"/>
          <w:szCs w:val="24"/>
        </w:rPr>
      </w:pPr>
      <w:r w:rsidRPr="00DF1208">
        <w:rPr>
          <w:rFonts w:eastAsia="Arial" w:cs="Arial"/>
        </w:rPr>
        <w:t xml:space="preserve">We recommend that you follow the British </w:t>
      </w:r>
      <w:r w:rsidRPr="00DF1208">
        <w:t xml:space="preserve">Standard for the presentation of theses, </w:t>
      </w:r>
    </w:p>
    <w:p w14:paraId="043F3658" w14:textId="77777777" w:rsidR="00DF1208" w:rsidRPr="00DF1208" w:rsidRDefault="007C6300" w:rsidP="00931E02">
      <w:pPr>
        <w:spacing w:after="0" w:line="240" w:lineRule="auto"/>
        <w:jc w:val="both"/>
      </w:pPr>
      <w:r w:rsidRPr="00DF1208">
        <w:rPr>
          <w:rFonts w:eastAsia="Arial" w:cs="Arial"/>
        </w:rPr>
        <w:t xml:space="preserve">BS4821: 1990. The standard is available online via Primo </w:t>
      </w:r>
      <w:proofErr w:type="gramStart"/>
      <w:r w:rsidRPr="00DF1208">
        <w:rPr>
          <w:rFonts w:eastAsia="Arial" w:cs="Arial"/>
        </w:rPr>
        <w:t>and also</w:t>
      </w:r>
      <w:proofErr w:type="gramEnd"/>
      <w:r w:rsidRPr="00DF1208">
        <w:rPr>
          <w:rFonts w:eastAsia="Arial" w:cs="Arial"/>
        </w:rPr>
        <w:t xml:space="preserve"> in print format. Please note that the standard has been withdrawn but not replaced and is therefore only used for guidance. </w:t>
      </w:r>
    </w:p>
    <w:p w14:paraId="13E7F8E9" w14:textId="4544C0FC" w:rsidR="00DF1208" w:rsidRPr="00DF1208" w:rsidRDefault="007C6300" w:rsidP="00931E02">
      <w:pPr>
        <w:spacing w:after="0" w:line="240" w:lineRule="auto"/>
        <w:jc w:val="both"/>
        <w:rPr>
          <w:rFonts w:eastAsia="Arial" w:cs="Arial"/>
        </w:rPr>
      </w:pPr>
      <w:r w:rsidRPr="00DF1208">
        <w:rPr>
          <w:rFonts w:eastAsia="Arial" w:cs="Arial"/>
        </w:rPr>
        <w:t xml:space="preserve">Notwithstanding the British Standard, the Senatus Academicus has agreed that the main body of the text should be no less than point size 12. </w:t>
      </w:r>
    </w:p>
    <w:p w14:paraId="3C1D468B" w14:textId="77777777" w:rsidR="00DF1208" w:rsidRPr="00DF1208" w:rsidRDefault="00DF1208" w:rsidP="00931E02">
      <w:pPr>
        <w:spacing w:after="0" w:line="240" w:lineRule="auto"/>
        <w:jc w:val="both"/>
        <w:rPr>
          <w:rFonts w:eastAsia="Arial" w:cs="Arial"/>
        </w:rPr>
      </w:pPr>
    </w:p>
    <w:p w14:paraId="66A83606" w14:textId="305A7D92" w:rsidR="00D853B4" w:rsidRPr="00DF1208" w:rsidRDefault="00D853B4" w:rsidP="00931E02">
      <w:pPr>
        <w:spacing w:after="0" w:line="240" w:lineRule="auto"/>
        <w:jc w:val="both"/>
        <w:rPr>
          <w:b/>
          <w:bCs/>
          <w:sz w:val="24"/>
          <w:szCs w:val="24"/>
        </w:rPr>
      </w:pPr>
      <w:r w:rsidRPr="00DF1208">
        <w:rPr>
          <w:b/>
          <w:bCs/>
          <w:sz w:val="24"/>
          <w:szCs w:val="24"/>
        </w:rPr>
        <w:t>Useful resources on thesis preparation</w:t>
      </w:r>
      <w:r w:rsidR="00DF1208">
        <w:rPr>
          <w:b/>
          <w:bCs/>
          <w:sz w:val="24"/>
          <w:szCs w:val="24"/>
        </w:rPr>
        <w:t xml:space="preserve"> and copyright</w:t>
      </w:r>
    </w:p>
    <w:p w14:paraId="62ED0015" w14:textId="41CD479F" w:rsidR="007C6300" w:rsidRDefault="00D853B4" w:rsidP="00931E02">
      <w:pPr>
        <w:spacing w:after="0" w:line="240" w:lineRule="auto"/>
        <w:jc w:val="both"/>
      </w:pPr>
      <w:r w:rsidRPr="00D853B4">
        <w:t xml:space="preserve">The library has </w:t>
      </w:r>
      <w:proofErr w:type="gramStart"/>
      <w:r w:rsidRPr="00D853B4">
        <w:t>a number of</w:t>
      </w:r>
      <w:proofErr w:type="gramEnd"/>
      <w:r w:rsidRPr="00D853B4">
        <w:t xml:space="preserve"> manuals on thesis preparation and project writing, generally classified at </w:t>
      </w:r>
      <w:proofErr w:type="spellStart"/>
      <w:r w:rsidRPr="00D853B4">
        <w:t>shelfmark</w:t>
      </w:r>
      <w:proofErr w:type="spellEnd"/>
      <w:r w:rsidRPr="00D853B4">
        <w:t xml:space="preserve"> Gen Ref 029.6 Bri (Medical Library) or 808.2 Bri (TSDRL)</w:t>
      </w:r>
      <w:r w:rsidR="00DF1208">
        <w:t>.</w:t>
      </w:r>
      <w:r w:rsidR="007C6300" w:rsidRPr="00D853B4">
        <w:t xml:space="preserve"> </w:t>
      </w:r>
    </w:p>
    <w:p w14:paraId="24789A89" w14:textId="77777777" w:rsidR="00DF1208" w:rsidRPr="00D853B4" w:rsidRDefault="00DF1208" w:rsidP="00D853B4">
      <w:pPr>
        <w:spacing w:after="0" w:line="240" w:lineRule="auto"/>
        <w:jc w:val="both"/>
      </w:pPr>
    </w:p>
    <w:p w14:paraId="5A0F3643" w14:textId="064C42DD" w:rsidR="007C6300" w:rsidRPr="00D853B4" w:rsidRDefault="007C6300" w:rsidP="00D853B4">
      <w:pPr>
        <w:spacing w:after="0" w:line="240" w:lineRule="auto"/>
        <w:jc w:val="both"/>
        <w:rPr>
          <w:rFonts w:eastAsia="Arial" w:cs="Arial"/>
        </w:rPr>
      </w:pPr>
      <w:hyperlink r:id="rId8" w:history="1">
        <w:r w:rsidRPr="00D853B4">
          <w:rPr>
            <w:rStyle w:val="Hyperlink"/>
            <w:rFonts w:eastAsia="Arial" w:cs="Arial"/>
          </w:rPr>
          <w:t>Choosing the best File Formats | Library | The University of Aberdeen</w:t>
        </w:r>
      </w:hyperlink>
    </w:p>
    <w:p w14:paraId="5D50364F" w14:textId="203CE034" w:rsidR="007C6300" w:rsidRPr="00D853B4" w:rsidRDefault="007C6300" w:rsidP="00D853B4">
      <w:pPr>
        <w:spacing w:after="0" w:line="240" w:lineRule="auto"/>
        <w:jc w:val="both"/>
        <w:rPr>
          <w:rFonts w:eastAsia="Arial" w:cs="Arial"/>
        </w:rPr>
      </w:pPr>
      <w:hyperlink r:id="rId9" w:history="1">
        <w:r w:rsidRPr="00D853B4">
          <w:rPr>
            <w:rStyle w:val="Hyperlink"/>
            <w:rFonts w:eastAsia="Arial" w:cs="Arial"/>
          </w:rPr>
          <w:t>Thesis Copyright Guide | Library | The University of Aberdeen</w:t>
        </w:r>
      </w:hyperlink>
    </w:p>
    <w:p w14:paraId="6B9E0815" w14:textId="77777777" w:rsidR="00371A5F" w:rsidRDefault="00371A5F" w:rsidP="00371A5F">
      <w:pPr>
        <w:spacing w:after="0" w:line="240" w:lineRule="auto"/>
      </w:pPr>
    </w:p>
    <w:p w14:paraId="59F6C468" w14:textId="75DF2CE1" w:rsidR="00816CDC" w:rsidRPr="008B68C1" w:rsidRDefault="00F06652" w:rsidP="00816CDC">
      <w:pPr>
        <w:spacing w:after="0" w:line="240" w:lineRule="auto"/>
        <w:jc w:val="both"/>
        <w:rPr>
          <w:b/>
          <w:bCs/>
          <w:color w:val="215E99" w:themeColor="text2" w:themeTint="BF"/>
          <w:sz w:val="28"/>
          <w:szCs w:val="28"/>
        </w:rPr>
      </w:pPr>
      <w:r w:rsidRPr="008B68C1">
        <w:rPr>
          <w:b/>
          <w:bCs/>
          <w:color w:val="215E99" w:themeColor="text2" w:themeTint="BF"/>
          <w:sz w:val="28"/>
          <w:szCs w:val="28"/>
        </w:rPr>
        <w:t>Submission</w:t>
      </w:r>
    </w:p>
    <w:p w14:paraId="3C2FE7DF" w14:textId="2E20181F" w:rsidR="00816CDC" w:rsidRPr="00816CDC" w:rsidRDefault="007C7783" w:rsidP="00816CDC">
      <w:pPr>
        <w:spacing w:after="0" w:line="240" w:lineRule="auto"/>
        <w:jc w:val="both"/>
      </w:pPr>
      <w:r>
        <w:t xml:space="preserve">A </w:t>
      </w:r>
      <w:r w:rsidR="00816CDC" w:rsidRPr="00816CDC">
        <w:t xml:space="preserve">PDF copy of your complete thesis must be submitted to Turnitin. You can find the Turnitin submission instructions </w:t>
      </w:r>
      <w:hyperlink r:id="rId10" w:history="1">
        <w:r w:rsidR="00816CDC" w:rsidRPr="00816CDC">
          <w:rPr>
            <w:rStyle w:val="Hyperlink"/>
          </w:rPr>
          <w:t>on this link</w:t>
        </w:r>
      </w:hyperlink>
      <w:r w:rsidR="00816CDC" w:rsidRPr="00816CDC">
        <w:t>. You should note that there may be some time between the date of submission and the intended date of graduation, depending on the availability of the examiners and the outcome of the examination.</w:t>
      </w:r>
    </w:p>
    <w:p w14:paraId="3F3CEFE8" w14:textId="77777777" w:rsidR="00F06652" w:rsidRPr="00A14DD4" w:rsidRDefault="00F06652" w:rsidP="00F06652">
      <w:pPr>
        <w:spacing w:after="0" w:line="240" w:lineRule="auto"/>
        <w:jc w:val="both"/>
      </w:pPr>
    </w:p>
    <w:p w14:paraId="7306097B" w14:textId="77777777" w:rsidR="00687E8B" w:rsidRPr="008B68C1" w:rsidRDefault="000054D9" w:rsidP="00816CDC">
      <w:pPr>
        <w:spacing w:after="0" w:line="240" w:lineRule="auto"/>
        <w:rPr>
          <w:b/>
          <w:bCs/>
          <w:color w:val="215E99" w:themeColor="text2" w:themeTint="BF"/>
          <w:sz w:val="28"/>
          <w:szCs w:val="28"/>
        </w:rPr>
      </w:pPr>
      <w:r w:rsidRPr="008B68C1">
        <w:rPr>
          <w:b/>
          <w:bCs/>
          <w:color w:val="215E99" w:themeColor="text2" w:themeTint="BF"/>
          <w:sz w:val="28"/>
          <w:szCs w:val="28"/>
        </w:rPr>
        <w:t xml:space="preserve">Viva examination </w:t>
      </w:r>
    </w:p>
    <w:p w14:paraId="7B7EC27B" w14:textId="28A8F09C" w:rsidR="009636F0" w:rsidRDefault="00816CDC" w:rsidP="00371A5F">
      <w:pPr>
        <w:spacing w:after="0" w:line="240" w:lineRule="auto"/>
        <w:jc w:val="both"/>
        <w:rPr>
          <w:rFonts w:cs="Calibri"/>
        </w:rPr>
      </w:pPr>
      <w:r w:rsidRPr="00816CDC">
        <w:rPr>
          <w:rFonts w:cs="Calibri"/>
        </w:rPr>
        <w:t xml:space="preserve">The internal examiner will be in contact regarding arrangements for the viva. Some students may require adjustments to the procedures associated with the viva. If a candidate considers there should be new or updated inclusive adjustments in place, it is the candidate’s responsibility to </w:t>
      </w:r>
      <w:r w:rsidRPr="00816CDC">
        <w:rPr>
          <w:rFonts w:cs="Calibri"/>
        </w:rPr>
        <w:lastRenderedPageBreak/>
        <w:t>make their supervisory team and Student Advice &amp; Support aware, so that a review of the adjustments can be completed in a timely manner.</w:t>
      </w:r>
    </w:p>
    <w:p w14:paraId="0D6F38A1" w14:textId="77777777" w:rsidR="00371A5F" w:rsidRPr="00371A5F" w:rsidRDefault="00371A5F" w:rsidP="00371A5F">
      <w:pPr>
        <w:spacing w:after="0" w:line="240" w:lineRule="auto"/>
        <w:jc w:val="both"/>
        <w:rPr>
          <w:rFonts w:cs="Calibri"/>
        </w:rPr>
      </w:pPr>
    </w:p>
    <w:p w14:paraId="5A771361" w14:textId="77777777" w:rsidR="000054D9" w:rsidRPr="008B68C1" w:rsidRDefault="000054D9" w:rsidP="00816CDC">
      <w:pPr>
        <w:spacing w:after="0" w:line="240" w:lineRule="auto"/>
        <w:rPr>
          <w:b/>
          <w:bCs/>
          <w:color w:val="215E99" w:themeColor="text2" w:themeTint="BF"/>
          <w:sz w:val="28"/>
          <w:szCs w:val="28"/>
        </w:rPr>
      </w:pPr>
      <w:r w:rsidRPr="008B68C1">
        <w:rPr>
          <w:b/>
          <w:bCs/>
          <w:color w:val="215E99" w:themeColor="text2" w:themeTint="BF"/>
          <w:sz w:val="28"/>
          <w:szCs w:val="28"/>
        </w:rPr>
        <w:t xml:space="preserve">Corrections </w:t>
      </w:r>
    </w:p>
    <w:p w14:paraId="44C9960D" w14:textId="61601226" w:rsidR="00FE1455" w:rsidRPr="00A14DD4" w:rsidRDefault="000054D9" w:rsidP="00816CDC">
      <w:pPr>
        <w:spacing w:after="0" w:line="240" w:lineRule="auto"/>
      </w:pPr>
      <w:r w:rsidRPr="00A14DD4">
        <w:t xml:space="preserve">If the examiners require minor corrections to your thesis, you cannot graduate until the examiners (normally the internal) confirm in writing to the Registry that the corrections have been made satisfactorily. </w:t>
      </w:r>
    </w:p>
    <w:p w14:paraId="6B8543AB" w14:textId="77777777" w:rsidR="007C7783" w:rsidRDefault="007C7783" w:rsidP="007C7783">
      <w:pPr>
        <w:spacing w:after="0" w:line="240" w:lineRule="auto"/>
        <w:jc w:val="both"/>
      </w:pPr>
    </w:p>
    <w:p w14:paraId="46AAB3F9" w14:textId="77777777" w:rsidR="007C7783" w:rsidRPr="008B68C1" w:rsidRDefault="007C7783" w:rsidP="007C7783">
      <w:pPr>
        <w:spacing w:after="0" w:line="240" w:lineRule="auto"/>
        <w:jc w:val="both"/>
        <w:rPr>
          <w:b/>
          <w:bCs/>
          <w:color w:val="215E99" w:themeColor="text2" w:themeTint="BF"/>
          <w:sz w:val="28"/>
          <w:szCs w:val="28"/>
        </w:rPr>
      </w:pPr>
      <w:r w:rsidRPr="008B68C1">
        <w:rPr>
          <w:b/>
          <w:bCs/>
          <w:color w:val="215E99" w:themeColor="text2" w:themeTint="BF"/>
          <w:sz w:val="28"/>
          <w:szCs w:val="28"/>
        </w:rPr>
        <w:t>Application to Graduate</w:t>
      </w:r>
    </w:p>
    <w:p w14:paraId="1DC72409" w14:textId="4513DF2A" w:rsidR="007C7783" w:rsidRDefault="007C7783" w:rsidP="007C7783">
      <w:pPr>
        <w:spacing w:after="0" w:line="240" w:lineRule="auto"/>
        <w:jc w:val="both"/>
      </w:pPr>
      <w:r w:rsidRPr="007C7783">
        <w:rPr>
          <w:bCs/>
        </w:rPr>
        <w:t xml:space="preserve">The onus is on you to apply to graduate. </w:t>
      </w:r>
      <w:r w:rsidRPr="00A14DD4">
        <w:t xml:space="preserve">Students are advised to apply early for graduation and not to wait for confirmation that thesis has been sustained.  </w:t>
      </w:r>
      <w:r w:rsidRPr="007C7783">
        <w:rPr>
          <w:color w:val="000000"/>
        </w:rPr>
        <w:t xml:space="preserve">You can find information on how to apply to graduate on this link </w:t>
      </w:r>
      <w:hyperlink r:id="rId11" w:history="1">
        <w:r w:rsidRPr="00A14DD4">
          <w:rPr>
            <w:rStyle w:val="Hyperlink"/>
          </w:rPr>
          <w:t>https://www.abdn.ac.uk/graduation/</w:t>
        </w:r>
      </w:hyperlink>
      <w:r w:rsidRPr="00A14DD4">
        <w:t xml:space="preserve">.  Deadlines for applying to graduate can be found at the link given above. </w:t>
      </w:r>
    </w:p>
    <w:p w14:paraId="1CE9750C" w14:textId="77777777" w:rsidR="007C7783" w:rsidRPr="00A14DD4" w:rsidRDefault="007C7783" w:rsidP="007C7783">
      <w:pPr>
        <w:spacing w:after="0" w:line="240" w:lineRule="auto"/>
        <w:jc w:val="both"/>
      </w:pPr>
    </w:p>
    <w:p w14:paraId="4A19699B" w14:textId="6905FAF0" w:rsidR="000054D9" w:rsidRPr="008B68C1" w:rsidRDefault="003F7638" w:rsidP="00371A5F">
      <w:pPr>
        <w:spacing w:after="0" w:line="240" w:lineRule="auto"/>
        <w:rPr>
          <w:b/>
          <w:bCs/>
          <w:color w:val="215E99" w:themeColor="text2" w:themeTint="BF"/>
          <w:sz w:val="28"/>
          <w:szCs w:val="28"/>
        </w:rPr>
      </w:pPr>
      <w:r w:rsidRPr="008B68C1">
        <w:rPr>
          <w:b/>
          <w:bCs/>
          <w:color w:val="215E99" w:themeColor="text2" w:themeTint="BF"/>
          <w:sz w:val="28"/>
          <w:szCs w:val="28"/>
        </w:rPr>
        <w:t>Thesis Deposit to the Library</w:t>
      </w:r>
    </w:p>
    <w:p w14:paraId="1D5C5D0C" w14:textId="4CA8530D" w:rsidR="00023103" w:rsidRDefault="003F7638" w:rsidP="00371A5F">
      <w:pPr>
        <w:spacing w:after="0" w:line="240" w:lineRule="auto"/>
      </w:pPr>
      <w:r w:rsidRPr="003F7638">
        <w:t xml:space="preserve">Once your thesis has been sustained, you should deposit </w:t>
      </w:r>
      <w:r w:rsidR="00292A7C">
        <w:t xml:space="preserve">it </w:t>
      </w:r>
      <w:r w:rsidRPr="003F7638">
        <w:t xml:space="preserve">in </w:t>
      </w:r>
      <w:r w:rsidR="00292A7C">
        <w:t>t</w:t>
      </w:r>
      <w:r w:rsidRPr="003F7638">
        <w:t xml:space="preserve">he Sir Duncan Rice Library. </w:t>
      </w:r>
      <w:r>
        <w:t xml:space="preserve">The Thesis Deposit Guide </w:t>
      </w:r>
      <w:hyperlink r:id="rId12" w:history="1">
        <w:r w:rsidRPr="003F7638">
          <w:rPr>
            <w:rStyle w:val="Hyperlink"/>
          </w:rPr>
          <w:t xml:space="preserve">is available </w:t>
        </w:r>
        <w:r w:rsidRPr="003F7638">
          <w:rPr>
            <w:rStyle w:val="Hyperlink"/>
          </w:rPr>
          <w:t>online</w:t>
        </w:r>
      </w:hyperlink>
      <w:r>
        <w:t xml:space="preserve">.  </w:t>
      </w:r>
    </w:p>
    <w:p w14:paraId="62ECB4F1" w14:textId="77777777" w:rsidR="00E3670B" w:rsidRPr="00A14DD4" w:rsidRDefault="00E3670B" w:rsidP="00E3670B">
      <w:pPr>
        <w:spacing w:after="0" w:line="240" w:lineRule="auto"/>
        <w:jc w:val="both"/>
      </w:pPr>
    </w:p>
    <w:p w14:paraId="1A12945E" w14:textId="1DC79253" w:rsidR="00E3670B" w:rsidRPr="008B68C1" w:rsidRDefault="00E3670B" w:rsidP="00E3670B">
      <w:pPr>
        <w:spacing w:after="0" w:line="240" w:lineRule="auto"/>
        <w:jc w:val="both"/>
        <w:rPr>
          <w:b/>
          <w:bCs/>
          <w:color w:val="215E99" w:themeColor="text2" w:themeTint="BF"/>
          <w:sz w:val="28"/>
          <w:szCs w:val="28"/>
        </w:rPr>
      </w:pPr>
      <w:r w:rsidRPr="008B68C1">
        <w:rPr>
          <w:b/>
          <w:bCs/>
          <w:color w:val="215E99" w:themeColor="text2" w:themeTint="BF"/>
          <w:sz w:val="28"/>
          <w:szCs w:val="28"/>
        </w:rPr>
        <w:t>IT account</w:t>
      </w:r>
    </w:p>
    <w:p w14:paraId="78E6393A" w14:textId="7932CEDA" w:rsidR="00E04181" w:rsidRPr="00C5560A" w:rsidRDefault="000054D9" w:rsidP="00E86B86">
      <w:pPr>
        <w:spacing w:after="0"/>
        <w:jc w:val="both"/>
      </w:pPr>
      <w:r w:rsidRPr="00A14DD4">
        <w:t xml:space="preserve">Your computer account will be closed after completion of your degree, </w:t>
      </w:r>
      <w:proofErr w:type="spellStart"/>
      <w:r w:rsidRPr="00A14DD4">
        <w:t>i.e</w:t>
      </w:r>
      <w:proofErr w:type="spellEnd"/>
      <w:r w:rsidRPr="00A14DD4">
        <w:t xml:space="preserve"> when the thesis has been sustained and minor corrections completed.  This will be the date when the Registry sends the letter confirming completion and eligibility to graduate.  Students are granted Associate Student status, which will remain in place for a period of three months or 2 weeks prior to graduation, whichever is shorter.  Your ID card, IT account and email will remain active for this period.   Your email account will remain active for 30 days following the cessation of the Associate Student Status.  Please ensure that you have any emails you require to keep or files saved on a </w:t>
      </w:r>
      <w:proofErr w:type="gramStart"/>
      <w:r w:rsidRPr="00A14DD4">
        <w:t>University</w:t>
      </w:r>
      <w:proofErr w:type="gramEnd"/>
      <w:r w:rsidRPr="00A14DD4">
        <w:t xml:space="preserve"> computer saved elsewhere.</w:t>
      </w:r>
    </w:p>
    <w:sectPr w:rsidR="00E04181" w:rsidRPr="00C55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4C00"/>
    <w:multiLevelType w:val="hybridMultilevel"/>
    <w:tmpl w:val="E026C73A"/>
    <w:lvl w:ilvl="0" w:tplc="6F161DC2">
      <w:start w:val="1"/>
      <w:numFmt w:val="decimal"/>
      <w:lvlText w:val="%1."/>
      <w:lvlJc w:val="left"/>
      <w:pPr>
        <w:ind w:left="5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C869760">
      <w:start w:val="1"/>
      <w:numFmt w:val="bullet"/>
      <w:lvlText w:val="•"/>
      <w:lvlJc w:val="left"/>
      <w:pPr>
        <w:ind w:left="8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2EA46C2">
      <w:start w:val="1"/>
      <w:numFmt w:val="bullet"/>
      <w:lvlText w:val="▪"/>
      <w:lvlJc w:val="left"/>
      <w:pPr>
        <w:ind w:left="16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8806440">
      <w:start w:val="1"/>
      <w:numFmt w:val="bullet"/>
      <w:lvlText w:val="•"/>
      <w:lvlJc w:val="left"/>
      <w:pPr>
        <w:ind w:left="23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17039B2">
      <w:start w:val="1"/>
      <w:numFmt w:val="bullet"/>
      <w:lvlText w:val="o"/>
      <w:lvlJc w:val="left"/>
      <w:pPr>
        <w:ind w:left="30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CF8AAC0">
      <w:start w:val="1"/>
      <w:numFmt w:val="bullet"/>
      <w:lvlText w:val="▪"/>
      <w:lvlJc w:val="left"/>
      <w:pPr>
        <w:ind w:left="37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08AF8AA">
      <w:start w:val="1"/>
      <w:numFmt w:val="bullet"/>
      <w:lvlText w:val="•"/>
      <w:lvlJc w:val="left"/>
      <w:pPr>
        <w:ind w:left="44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8F61340">
      <w:start w:val="1"/>
      <w:numFmt w:val="bullet"/>
      <w:lvlText w:val="o"/>
      <w:lvlJc w:val="left"/>
      <w:pPr>
        <w:ind w:left="52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750CA34">
      <w:start w:val="1"/>
      <w:numFmt w:val="bullet"/>
      <w:lvlText w:val="▪"/>
      <w:lvlJc w:val="left"/>
      <w:pPr>
        <w:ind w:left="59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8116C65"/>
    <w:multiLevelType w:val="hybridMultilevel"/>
    <w:tmpl w:val="41E0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024FD"/>
    <w:multiLevelType w:val="hybridMultilevel"/>
    <w:tmpl w:val="4A643C8A"/>
    <w:lvl w:ilvl="0" w:tplc="F4C00E0E">
      <w:start w:val="1"/>
      <w:numFmt w:val="decimal"/>
      <w:lvlText w:val="%1."/>
      <w:lvlJc w:val="left"/>
      <w:pPr>
        <w:ind w:left="5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A983532">
      <w:start w:val="1"/>
      <w:numFmt w:val="lowerLetter"/>
      <w:lvlText w:val="%2"/>
      <w:lvlJc w:val="left"/>
      <w:pPr>
        <w:ind w:left="13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C68FC0C">
      <w:start w:val="1"/>
      <w:numFmt w:val="lowerRoman"/>
      <w:lvlText w:val="%3"/>
      <w:lvlJc w:val="left"/>
      <w:pPr>
        <w:ind w:left="20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A50E6E2">
      <w:start w:val="1"/>
      <w:numFmt w:val="decimal"/>
      <w:lvlText w:val="%4"/>
      <w:lvlJc w:val="left"/>
      <w:pPr>
        <w:ind w:left="27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FBCC05A">
      <w:start w:val="1"/>
      <w:numFmt w:val="lowerLetter"/>
      <w:lvlText w:val="%5"/>
      <w:lvlJc w:val="left"/>
      <w:pPr>
        <w:ind w:left="35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2DA0788">
      <w:start w:val="1"/>
      <w:numFmt w:val="lowerRoman"/>
      <w:lvlText w:val="%6"/>
      <w:lvlJc w:val="left"/>
      <w:pPr>
        <w:ind w:left="42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6367D44">
      <w:start w:val="1"/>
      <w:numFmt w:val="decimal"/>
      <w:lvlText w:val="%7"/>
      <w:lvlJc w:val="left"/>
      <w:pPr>
        <w:ind w:left="49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058B0A2">
      <w:start w:val="1"/>
      <w:numFmt w:val="lowerLetter"/>
      <w:lvlText w:val="%8"/>
      <w:lvlJc w:val="left"/>
      <w:pPr>
        <w:ind w:left="56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2B86370">
      <w:start w:val="1"/>
      <w:numFmt w:val="lowerRoman"/>
      <w:lvlText w:val="%9"/>
      <w:lvlJc w:val="left"/>
      <w:pPr>
        <w:ind w:left="63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106FCD"/>
    <w:multiLevelType w:val="hybridMultilevel"/>
    <w:tmpl w:val="AD96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D7AFD"/>
    <w:multiLevelType w:val="hybridMultilevel"/>
    <w:tmpl w:val="0F96621A"/>
    <w:lvl w:ilvl="0" w:tplc="07B6356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34450"/>
    <w:multiLevelType w:val="hybridMultilevel"/>
    <w:tmpl w:val="02D4F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17598">
    <w:abstractNumId w:val="5"/>
  </w:num>
  <w:num w:numId="2" w16cid:durableId="1283726308">
    <w:abstractNumId w:val="4"/>
  </w:num>
  <w:num w:numId="3" w16cid:durableId="2079785116">
    <w:abstractNumId w:val="1"/>
  </w:num>
  <w:num w:numId="4" w16cid:durableId="820541058">
    <w:abstractNumId w:val="3"/>
  </w:num>
  <w:num w:numId="5" w16cid:durableId="67465849">
    <w:abstractNumId w:val="0"/>
  </w:num>
  <w:num w:numId="6" w16cid:durableId="1625229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9B"/>
    <w:rsid w:val="000054D9"/>
    <w:rsid w:val="00023103"/>
    <w:rsid w:val="00037135"/>
    <w:rsid w:val="00065B25"/>
    <w:rsid w:val="000C745F"/>
    <w:rsid w:val="00110AA8"/>
    <w:rsid w:val="0017519B"/>
    <w:rsid w:val="00180CFA"/>
    <w:rsid w:val="001A0A8B"/>
    <w:rsid w:val="001B7E8C"/>
    <w:rsid w:val="001C7AD0"/>
    <w:rsid w:val="00205F6C"/>
    <w:rsid w:val="00243F47"/>
    <w:rsid w:val="00292A7C"/>
    <w:rsid w:val="002E4308"/>
    <w:rsid w:val="002E45AC"/>
    <w:rsid w:val="002F7570"/>
    <w:rsid w:val="003261F2"/>
    <w:rsid w:val="00366667"/>
    <w:rsid w:val="00371A5F"/>
    <w:rsid w:val="00384B99"/>
    <w:rsid w:val="003B5761"/>
    <w:rsid w:val="003D794C"/>
    <w:rsid w:val="003E42BF"/>
    <w:rsid w:val="003F7638"/>
    <w:rsid w:val="004C14FB"/>
    <w:rsid w:val="00536D6C"/>
    <w:rsid w:val="005855F6"/>
    <w:rsid w:val="00602345"/>
    <w:rsid w:val="00622404"/>
    <w:rsid w:val="006228FC"/>
    <w:rsid w:val="00687E8B"/>
    <w:rsid w:val="006C5B7F"/>
    <w:rsid w:val="006E5B4B"/>
    <w:rsid w:val="0071718B"/>
    <w:rsid w:val="007B6846"/>
    <w:rsid w:val="007C6300"/>
    <w:rsid w:val="007C7783"/>
    <w:rsid w:val="007F7DAB"/>
    <w:rsid w:val="00816CDC"/>
    <w:rsid w:val="008B43C2"/>
    <w:rsid w:val="008B68C1"/>
    <w:rsid w:val="008B6E21"/>
    <w:rsid w:val="008E6BD4"/>
    <w:rsid w:val="00917E62"/>
    <w:rsid w:val="00925FA0"/>
    <w:rsid w:val="00931E02"/>
    <w:rsid w:val="009425AE"/>
    <w:rsid w:val="009636F0"/>
    <w:rsid w:val="00A14DD4"/>
    <w:rsid w:val="00A81113"/>
    <w:rsid w:val="00A936D3"/>
    <w:rsid w:val="00AD40E1"/>
    <w:rsid w:val="00B2140C"/>
    <w:rsid w:val="00B715DD"/>
    <w:rsid w:val="00B73AD5"/>
    <w:rsid w:val="00BA298C"/>
    <w:rsid w:val="00C032FC"/>
    <w:rsid w:val="00C2392D"/>
    <w:rsid w:val="00C5560A"/>
    <w:rsid w:val="00CA5C34"/>
    <w:rsid w:val="00CF4544"/>
    <w:rsid w:val="00D56BEE"/>
    <w:rsid w:val="00D64D26"/>
    <w:rsid w:val="00D853B4"/>
    <w:rsid w:val="00D92D62"/>
    <w:rsid w:val="00DE3D5D"/>
    <w:rsid w:val="00DF1208"/>
    <w:rsid w:val="00E04181"/>
    <w:rsid w:val="00E3670B"/>
    <w:rsid w:val="00E86B86"/>
    <w:rsid w:val="00EC68DB"/>
    <w:rsid w:val="00F06652"/>
    <w:rsid w:val="00FA40AE"/>
    <w:rsid w:val="00FE1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A926"/>
  <w15:chartTrackingRefBased/>
  <w15:docId w15:val="{D81AE493-7B50-4C1C-9619-DA3B5398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5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75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19B"/>
    <w:rPr>
      <w:rFonts w:eastAsiaTheme="majorEastAsia" w:cstheme="majorBidi"/>
      <w:color w:val="272727" w:themeColor="text1" w:themeTint="D8"/>
    </w:rPr>
  </w:style>
  <w:style w:type="paragraph" w:styleId="Title">
    <w:name w:val="Title"/>
    <w:basedOn w:val="Normal"/>
    <w:next w:val="Normal"/>
    <w:link w:val="TitleChar"/>
    <w:uiPriority w:val="10"/>
    <w:qFormat/>
    <w:rsid w:val="00175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19B"/>
    <w:pPr>
      <w:spacing w:before="160"/>
      <w:jc w:val="center"/>
    </w:pPr>
    <w:rPr>
      <w:i/>
      <w:iCs/>
      <w:color w:val="404040" w:themeColor="text1" w:themeTint="BF"/>
    </w:rPr>
  </w:style>
  <w:style w:type="character" w:customStyle="1" w:styleId="QuoteChar">
    <w:name w:val="Quote Char"/>
    <w:basedOn w:val="DefaultParagraphFont"/>
    <w:link w:val="Quote"/>
    <w:uiPriority w:val="29"/>
    <w:rsid w:val="0017519B"/>
    <w:rPr>
      <w:i/>
      <w:iCs/>
      <w:color w:val="404040" w:themeColor="text1" w:themeTint="BF"/>
    </w:rPr>
  </w:style>
  <w:style w:type="paragraph" w:styleId="ListParagraph">
    <w:name w:val="List Paragraph"/>
    <w:basedOn w:val="Normal"/>
    <w:uiPriority w:val="34"/>
    <w:qFormat/>
    <w:rsid w:val="0017519B"/>
    <w:pPr>
      <w:ind w:left="720"/>
      <w:contextualSpacing/>
    </w:pPr>
  </w:style>
  <w:style w:type="character" w:styleId="IntenseEmphasis">
    <w:name w:val="Intense Emphasis"/>
    <w:basedOn w:val="DefaultParagraphFont"/>
    <w:uiPriority w:val="21"/>
    <w:qFormat/>
    <w:rsid w:val="0017519B"/>
    <w:rPr>
      <w:i/>
      <w:iCs/>
      <w:color w:val="0F4761" w:themeColor="accent1" w:themeShade="BF"/>
    </w:rPr>
  </w:style>
  <w:style w:type="paragraph" w:styleId="IntenseQuote">
    <w:name w:val="Intense Quote"/>
    <w:basedOn w:val="Normal"/>
    <w:next w:val="Normal"/>
    <w:link w:val="IntenseQuoteChar"/>
    <w:uiPriority w:val="30"/>
    <w:qFormat/>
    <w:rsid w:val="00175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19B"/>
    <w:rPr>
      <w:i/>
      <w:iCs/>
      <w:color w:val="0F4761" w:themeColor="accent1" w:themeShade="BF"/>
    </w:rPr>
  </w:style>
  <w:style w:type="character" w:styleId="IntenseReference">
    <w:name w:val="Intense Reference"/>
    <w:basedOn w:val="DefaultParagraphFont"/>
    <w:uiPriority w:val="32"/>
    <w:qFormat/>
    <w:rsid w:val="0017519B"/>
    <w:rPr>
      <w:b/>
      <w:bCs/>
      <w:smallCaps/>
      <w:color w:val="0F4761" w:themeColor="accent1" w:themeShade="BF"/>
      <w:spacing w:val="5"/>
    </w:rPr>
  </w:style>
  <w:style w:type="character" w:styleId="Hyperlink">
    <w:name w:val="Hyperlink"/>
    <w:basedOn w:val="DefaultParagraphFont"/>
    <w:uiPriority w:val="99"/>
    <w:unhideWhenUsed/>
    <w:rsid w:val="00CF4544"/>
    <w:rPr>
      <w:color w:val="0563C1"/>
      <w:u w:val="single"/>
    </w:rPr>
  </w:style>
  <w:style w:type="character" w:styleId="FollowedHyperlink">
    <w:name w:val="FollowedHyperlink"/>
    <w:basedOn w:val="DefaultParagraphFont"/>
    <w:uiPriority w:val="99"/>
    <w:semiHidden/>
    <w:unhideWhenUsed/>
    <w:rsid w:val="00CF4544"/>
    <w:rPr>
      <w:color w:val="96607D" w:themeColor="followedHyperlink"/>
      <w:u w:val="single"/>
    </w:rPr>
  </w:style>
  <w:style w:type="character" w:customStyle="1" w:styleId="normaltextrun">
    <w:name w:val="normaltextrun"/>
    <w:basedOn w:val="DefaultParagraphFont"/>
    <w:rsid w:val="00B715DD"/>
  </w:style>
  <w:style w:type="character" w:customStyle="1" w:styleId="findhit">
    <w:name w:val="findhit"/>
    <w:basedOn w:val="DefaultParagraphFont"/>
    <w:rsid w:val="00B715DD"/>
  </w:style>
  <w:style w:type="character" w:styleId="UnresolvedMention">
    <w:name w:val="Unresolved Mention"/>
    <w:basedOn w:val="DefaultParagraphFont"/>
    <w:uiPriority w:val="99"/>
    <w:semiHidden/>
    <w:unhideWhenUsed/>
    <w:rsid w:val="00F06652"/>
    <w:rPr>
      <w:color w:val="605E5C"/>
      <w:shd w:val="clear" w:color="auto" w:fill="E1DFDD"/>
    </w:rPr>
  </w:style>
  <w:style w:type="paragraph" w:styleId="NormalWeb">
    <w:name w:val="Normal (Web)"/>
    <w:basedOn w:val="Normal"/>
    <w:uiPriority w:val="99"/>
    <w:semiHidden/>
    <w:unhideWhenUsed/>
    <w:rsid w:val="00B73A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dn.ac.uk/library/open-research/thesis/file-forma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dn.ac.uk/library/support/guides/" TargetMode="External"/><Relationship Id="rId12" Type="http://schemas.openxmlformats.org/officeDocument/2006/relationships/hyperlink" Target="https://www.abdn.ac.uk/library/open-research/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www.abdn.ac.uk%2Fmedia%2Fsite%2Fstaffnet%2Fdocuments%2Fregistry%2F6.-Intention-to-Submit_revised-02.06.2026.doc&amp;wdOrigin=BROWSELINK" TargetMode="External"/><Relationship Id="rId11" Type="http://schemas.openxmlformats.org/officeDocument/2006/relationships/hyperlink" Target="https://www.abdn.ac.uk/graduation/" TargetMode="External"/><Relationship Id="rId5" Type="http://schemas.openxmlformats.org/officeDocument/2006/relationships/hyperlink" Target="mailto:postgraduate@abdn.ac.uk" TargetMode="External"/><Relationship Id="rId10" Type="http://schemas.openxmlformats.org/officeDocument/2006/relationships/hyperlink" Target="https://www.abdn.ac.uk/media/site/staffnet/documents/academic-quality-handbook/3.-Turnitin-submission-instructions-for-APE-and-thesis_revised-05.03.26.pdf" TargetMode="External"/><Relationship Id="rId4" Type="http://schemas.openxmlformats.org/officeDocument/2006/relationships/webSettings" Target="webSettings.xml"/><Relationship Id="rId9" Type="http://schemas.openxmlformats.org/officeDocument/2006/relationships/hyperlink" Target="https://www.abdn.ac.uk/library/open-research/thesis/thesis-copyright-gu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Kaloriti, Despoina</dc:creator>
  <cp:keywords/>
  <dc:description/>
  <cp:lastModifiedBy>Kaloriti, Despoina</cp:lastModifiedBy>
  <cp:revision>24</cp:revision>
  <dcterms:created xsi:type="dcterms:W3CDTF">2026-06-02T10:36:00Z</dcterms:created>
  <dcterms:modified xsi:type="dcterms:W3CDTF">2026-06-05T14:03:00Z</dcterms:modified>
</cp:coreProperties>
</file>