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F8EE" w14:textId="22E60E0A" w:rsidR="00A96AA8" w:rsidRDefault="00A96AA8" w:rsidP="00A96AA8">
      <w:pPr>
        <w:pStyle w:val="Subtitle"/>
        <w:jc w:val="center"/>
        <w:rPr>
          <w:rFonts w:ascii="Arial" w:hAnsi="Arial" w:cs="Arial"/>
          <w:b/>
          <w:bCs/>
          <w:color w:val="0070C0"/>
          <w:sz w:val="24"/>
          <w:szCs w:val="24"/>
        </w:rPr>
      </w:pPr>
      <w:r>
        <w:rPr>
          <w:rFonts w:ascii="Arial" w:hAnsi="Arial" w:cs="Arial"/>
          <w:b/>
          <w:bCs/>
          <w:color w:val="0070C0"/>
          <w:sz w:val="24"/>
          <w:szCs w:val="24"/>
        </w:rPr>
        <w:t>PUBLIC SECTOR EQUALITY DUTY REPORT 2025</w:t>
      </w:r>
    </w:p>
    <w:p w14:paraId="627DA2E9" w14:textId="564870A3" w:rsidR="00A96AA8" w:rsidRPr="000954F5" w:rsidRDefault="00A96AA8" w:rsidP="00A96AA8">
      <w:pPr>
        <w:pStyle w:val="Subtitle"/>
        <w:rPr>
          <w:rFonts w:ascii="Arial" w:hAnsi="Arial" w:cs="Arial"/>
          <w:b/>
          <w:bCs/>
          <w:color w:val="0070C0"/>
          <w:sz w:val="24"/>
          <w:szCs w:val="24"/>
        </w:rPr>
      </w:pPr>
      <w:r w:rsidRPr="00245193">
        <w:rPr>
          <w:rFonts w:ascii="Arial" w:hAnsi="Arial" w:cs="Arial"/>
          <w:b/>
          <w:bCs/>
          <w:color w:val="0070C0"/>
          <w:sz w:val="24"/>
          <w:szCs w:val="24"/>
        </w:rPr>
        <w:t>4.3 COURT DIVERSITY</w:t>
      </w:r>
    </w:p>
    <w:p w14:paraId="08DFB544" w14:textId="77777777" w:rsidR="00A96AA8" w:rsidRPr="000E3A01" w:rsidRDefault="00A96AA8" w:rsidP="00A96AA8">
      <w:pPr>
        <w:jc w:val="both"/>
        <w:rPr>
          <w:rFonts w:ascii="Arial" w:hAnsi="Arial" w:cs="Arial"/>
          <w:b/>
          <w:bCs/>
          <w:sz w:val="24"/>
          <w:szCs w:val="24"/>
        </w:rPr>
      </w:pPr>
      <w:r w:rsidRPr="00E6660B">
        <w:rPr>
          <w:rFonts w:ascii="Arial" w:hAnsi="Arial" w:cs="Arial"/>
          <w:sz w:val="24"/>
          <w:szCs w:val="24"/>
        </w:rPr>
        <w:t>The University has continued to seek to improve the diversity profile of Court, its governing body, since the last report in 2023, consistent with the commitment articulated in the Court Statement of Intent on Diversity. This sets out the Court’s commitment for its own membership to reflect the diverse nature of the University community insofar as is possible and practicable.</w:t>
      </w:r>
    </w:p>
    <w:p w14:paraId="0939A568" w14:textId="77777777" w:rsidR="00A96AA8" w:rsidRPr="001F6D2F" w:rsidRDefault="00A96AA8" w:rsidP="00A96AA8">
      <w:pPr>
        <w:jc w:val="both"/>
        <w:rPr>
          <w:rFonts w:ascii="Arial" w:hAnsi="Arial" w:cs="Arial"/>
          <w:b/>
          <w:bCs/>
          <w:sz w:val="24"/>
          <w:szCs w:val="24"/>
        </w:rPr>
      </w:pPr>
      <w:r w:rsidRPr="00E6660B">
        <w:rPr>
          <w:rFonts w:ascii="Arial" w:hAnsi="Arial" w:cs="Arial"/>
          <w:sz w:val="24"/>
          <w:szCs w:val="24"/>
        </w:rPr>
        <w:t xml:space="preserve">Across its membership, the Court’s gender </w:t>
      </w:r>
      <w:r w:rsidRPr="000E3A01">
        <w:rPr>
          <w:rFonts w:ascii="Arial" w:hAnsi="Arial" w:cs="Arial"/>
          <w:sz w:val="24"/>
          <w:szCs w:val="24"/>
        </w:rPr>
        <w:t>balance on 31 July 2024 was 56% female, 44% male and the Court has continued to achieve gender balance in its appointed independent membership consistent with the objective of the Gender Representation on Public Boards (Scotland) Act 2018. The diversity of the Court’s ethnicity is unchanged with 12% of its membership identifying as Black ethnic origin as of 31 July 2024.</w:t>
      </w:r>
    </w:p>
    <w:p w14:paraId="112F71AB" w14:textId="6EB555EB" w:rsidR="00A96AA8" w:rsidRPr="001F6D2F" w:rsidRDefault="00A96AA8" w:rsidP="00A96AA8">
      <w:pPr>
        <w:jc w:val="both"/>
        <w:rPr>
          <w:rFonts w:ascii="Arial" w:hAnsi="Arial" w:cs="Arial"/>
          <w:b/>
          <w:bCs/>
          <w:sz w:val="24"/>
          <w:szCs w:val="24"/>
        </w:rPr>
      </w:pPr>
      <w:r w:rsidRPr="00E6660B">
        <w:rPr>
          <w:rFonts w:ascii="Arial" w:hAnsi="Arial" w:cs="Arial"/>
          <w:sz w:val="24"/>
          <w:szCs w:val="24"/>
        </w:rPr>
        <w:t xml:space="preserve">As a result of discussions held at Court regarding the importance of further enhancing its diversity and extending its recruitment activity to promote greater diversity in applications, </w:t>
      </w:r>
      <w:proofErr w:type="gramStart"/>
      <w:r w:rsidRPr="00E6660B">
        <w:rPr>
          <w:rFonts w:ascii="Arial" w:hAnsi="Arial" w:cs="Arial"/>
          <w:sz w:val="24"/>
          <w:szCs w:val="24"/>
        </w:rPr>
        <w:t>a number of</w:t>
      </w:r>
      <w:proofErr w:type="gramEnd"/>
      <w:r w:rsidRPr="00E6660B">
        <w:rPr>
          <w:rFonts w:ascii="Arial" w:hAnsi="Arial" w:cs="Arial"/>
          <w:sz w:val="24"/>
          <w:szCs w:val="24"/>
        </w:rPr>
        <w:t xml:space="preserve"> measures were undertaken during the reporting period in support of recruitment processes, and the review of recruitment materials though an Equality, Diversity and Inclusion lens. New recruitment materials and processes were reviewed in full by the University’s Equality, Diversity &amp; Inclusion Advisor for any unconscious bias or working which may discourage or prevent applications from under-represented groups, and diversity statements were included within person specifications. Furthermore, the range of advertising routes for Court recruitment was also further reviewed and extended to include the listings and online portals of specialist organisations working directly with and advocating for under-represented groups.</w:t>
      </w:r>
    </w:p>
    <w:p w14:paraId="6428561B" w14:textId="77777777" w:rsidR="00A96AA8" w:rsidRPr="002D07E3" w:rsidRDefault="00A96AA8" w:rsidP="00A96AA8">
      <w:pPr>
        <w:jc w:val="both"/>
        <w:rPr>
          <w:rFonts w:ascii="Arial" w:hAnsi="Arial" w:cs="Arial"/>
          <w:b/>
          <w:bCs/>
          <w:sz w:val="24"/>
          <w:szCs w:val="24"/>
        </w:rPr>
      </w:pPr>
      <w:r w:rsidRPr="00E6660B">
        <w:rPr>
          <w:rFonts w:ascii="Arial" w:hAnsi="Arial" w:cs="Arial"/>
          <w:sz w:val="24"/>
          <w:szCs w:val="24"/>
        </w:rPr>
        <w:t xml:space="preserve">The Court has continued to appoint a </w:t>
      </w:r>
      <w:r w:rsidRPr="00E6660B">
        <w:rPr>
          <w:rFonts w:ascii="Arial" w:hAnsi="Arial" w:cs="Arial"/>
          <w:i/>
          <w:iCs/>
          <w:sz w:val="24"/>
          <w:szCs w:val="24"/>
        </w:rPr>
        <w:t xml:space="preserve">Governance Apprentice </w:t>
      </w:r>
      <w:r w:rsidRPr="00E6660B">
        <w:rPr>
          <w:rFonts w:ascii="Arial" w:hAnsi="Arial" w:cs="Arial"/>
          <w:sz w:val="24"/>
          <w:szCs w:val="24"/>
        </w:rPr>
        <w:t>which is intended to help address one of the barriers to improving board diversity, namely the limited pipeline of individuals from underrepresented backgrounds with the required board level experience. It provides the opportunity for one individual to shadow the Court for a year, offering the skills, insights, and networks, that can build a solid foundation for future board roles.</w:t>
      </w:r>
    </w:p>
    <w:p w14:paraId="7A7C315B" w14:textId="77777777" w:rsidR="00A96AA8" w:rsidRPr="00894516" w:rsidRDefault="00A96AA8" w:rsidP="00A96AA8">
      <w:pPr>
        <w:jc w:val="both"/>
        <w:rPr>
          <w:rFonts w:ascii="Arial" w:hAnsi="Arial" w:cs="Arial"/>
          <w:b/>
          <w:bCs/>
          <w:sz w:val="24"/>
          <w:szCs w:val="24"/>
        </w:rPr>
      </w:pPr>
      <w:r w:rsidRPr="00E6660B">
        <w:rPr>
          <w:rFonts w:ascii="Arial" w:hAnsi="Arial" w:cs="Arial"/>
          <w:sz w:val="24"/>
          <w:szCs w:val="24"/>
        </w:rPr>
        <w:t>These steps have helped the Court to achieve the progress noted above in terms of gender balance, ethnic diversity and age profile. It is recognised, however, that there remains further progress to be made in enhancing the wider diversity of the Court in terms of the aspirations set out in its Statement of Intent on Diversity. This will therefore remain a priority consideration in the recruitment of new members of Court.</w:t>
      </w:r>
    </w:p>
    <w:p w14:paraId="097E7150" w14:textId="77777777" w:rsidR="00A96AA8" w:rsidRDefault="00A96AA8" w:rsidP="00A96AA8">
      <w:pPr>
        <w:spacing w:after="0" w:line="280" w:lineRule="exact"/>
        <w:rPr>
          <w:rFonts w:ascii="Arial" w:hAnsi="Arial" w:cs="Arial"/>
          <w:b/>
          <w:bCs/>
          <w:color w:val="0070C0"/>
        </w:rPr>
      </w:pPr>
    </w:p>
    <w:p w14:paraId="52CDCA46" w14:textId="77777777" w:rsidR="00A96AA8" w:rsidRPr="001D2A97" w:rsidRDefault="00A96AA8" w:rsidP="00A96AA8">
      <w:pPr>
        <w:spacing w:after="0" w:line="280" w:lineRule="exact"/>
        <w:rPr>
          <w:rFonts w:ascii="Arial" w:hAnsi="Arial" w:cs="Arial"/>
          <w:b/>
          <w:bCs/>
          <w:sz w:val="24"/>
          <w:szCs w:val="24"/>
        </w:rPr>
      </w:pPr>
      <w:r w:rsidRPr="001D2A97">
        <w:rPr>
          <w:rFonts w:ascii="Arial" w:hAnsi="Arial" w:cs="Arial"/>
          <w:b/>
          <w:bCs/>
          <w:color w:val="0070C0"/>
          <w:sz w:val="24"/>
          <w:szCs w:val="24"/>
        </w:rPr>
        <w:t>4.3.1 Compliance with the gender representation on public boards (Scotland) Act 2018)</w:t>
      </w:r>
    </w:p>
    <w:p w14:paraId="3BD5D2D2" w14:textId="77777777" w:rsidR="00A96AA8" w:rsidRDefault="00A96AA8" w:rsidP="00A96AA8">
      <w:pPr>
        <w:spacing w:after="0" w:line="280" w:lineRule="exact"/>
        <w:rPr>
          <w:rFonts w:ascii="Arial" w:hAnsi="Arial" w:cs="Arial"/>
          <w:sz w:val="24"/>
          <w:szCs w:val="24"/>
        </w:rPr>
      </w:pPr>
    </w:p>
    <w:p w14:paraId="150591A4" w14:textId="77777777" w:rsidR="00A96AA8" w:rsidRPr="00E067A6" w:rsidRDefault="00A96AA8" w:rsidP="00A96AA8">
      <w:pPr>
        <w:spacing w:after="0" w:line="280" w:lineRule="exact"/>
        <w:rPr>
          <w:rFonts w:ascii="Arial" w:hAnsi="Arial" w:cs="Arial"/>
          <w:sz w:val="24"/>
          <w:szCs w:val="24"/>
        </w:rPr>
      </w:pPr>
      <w:r w:rsidRPr="00E067A6">
        <w:rPr>
          <w:rFonts w:ascii="Arial" w:hAnsi="Arial" w:cs="Arial"/>
          <w:sz w:val="24"/>
          <w:szCs w:val="24"/>
        </w:rPr>
        <w:t>The University Court has a composition of twenty-five. The following figures are based on the membership in office as at the following dates since 2021:</w:t>
      </w:r>
    </w:p>
    <w:p w14:paraId="11B101C5" w14:textId="77777777" w:rsidR="00A96AA8" w:rsidRDefault="00A96AA8" w:rsidP="00A96AA8">
      <w:pPr>
        <w:spacing w:after="0" w:line="280" w:lineRule="exact"/>
        <w:contextualSpacing/>
        <w:rPr>
          <w:rFonts w:ascii="Arial" w:hAnsi="Arial" w:cs="Arial"/>
          <w:sz w:val="24"/>
          <w:szCs w:val="24"/>
        </w:rPr>
      </w:pPr>
    </w:p>
    <w:p w14:paraId="4E9D9717" w14:textId="77777777" w:rsidR="00A96AA8" w:rsidRDefault="00A96AA8" w:rsidP="00A96AA8">
      <w:pPr>
        <w:spacing w:after="0" w:line="280" w:lineRule="exact"/>
        <w:ind w:firstLine="709"/>
        <w:contextualSpacing/>
        <w:rPr>
          <w:rFonts w:ascii="Arial" w:hAnsi="Arial" w:cs="Arial"/>
          <w:sz w:val="24"/>
          <w:szCs w:val="24"/>
        </w:rPr>
      </w:pPr>
      <w:r w:rsidRPr="00347FF1">
        <w:rPr>
          <w:rFonts w:ascii="Arial" w:hAnsi="Arial" w:cs="Arial"/>
          <w:b/>
          <w:bCs/>
          <w:sz w:val="24"/>
          <w:szCs w:val="24"/>
        </w:rPr>
        <w:lastRenderedPageBreak/>
        <w:t xml:space="preserve">Table </w:t>
      </w:r>
      <w:r>
        <w:rPr>
          <w:rFonts w:ascii="Arial" w:hAnsi="Arial" w:cs="Arial"/>
          <w:b/>
          <w:bCs/>
          <w:sz w:val="24"/>
          <w:szCs w:val="24"/>
        </w:rPr>
        <w:t>3</w:t>
      </w:r>
      <w:r w:rsidRPr="00347FF1">
        <w:rPr>
          <w:rFonts w:ascii="Arial" w:hAnsi="Arial" w:cs="Arial"/>
          <w:sz w:val="24"/>
          <w:szCs w:val="24"/>
        </w:rPr>
        <w:t>: Gender profile of Court 2021 to 2024</w:t>
      </w:r>
      <w:r>
        <w:rPr>
          <w:rFonts w:ascii="Arial" w:hAnsi="Arial" w:cs="Arial"/>
          <w:sz w:val="24"/>
          <w:szCs w:val="24"/>
        </w:rPr>
        <w:t>.</w:t>
      </w:r>
    </w:p>
    <w:p w14:paraId="0EBA33DC" w14:textId="77777777" w:rsidR="00A96AA8" w:rsidRPr="00347FF1" w:rsidRDefault="00A96AA8" w:rsidP="00A96AA8">
      <w:pPr>
        <w:spacing w:after="0" w:line="280" w:lineRule="exact"/>
        <w:ind w:firstLine="709"/>
        <w:contextualSpacing/>
        <w:rPr>
          <w:rFonts w:ascii="Arial" w:hAnsi="Arial" w:cs="Arial"/>
          <w:sz w:val="24"/>
          <w:szCs w:val="24"/>
        </w:rPr>
      </w:pPr>
    </w:p>
    <w:tbl>
      <w:tblPr>
        <w:tblStyle w:val="TableGrid"/>
        <w:tblW w:w="0" w:type="auto"/>
        <w:tblInd w:w="704" w:type="dxa"/>
        <w:tblLook w:val="04A0" w:firstRow="1" w:lastRow="0" w:firstColumn="1" w:lastColumn="0" w:noHBand="0" w:noVBand="1"/>
      </w:tblPr>
      <w:tblGrid>
        <w:gridCol w:w="1538"/>
        <w:gridCol w:w="1748"/>
        <w:gridCol w:w="1639"/>
        <w:gridCol w:w="1748"/>
        <w:gridCol w:w="1639"/>
      </w:tblGrid>
      <w:tr w:rsidR="00A96AA8" w:rsidRPr="00347FF1" w14:paraId="5186563B" w14:textId="77777777" w:rsidTr="00AF0A6A">
        <w:tc>
          <w:tcPr>
            <w:tcW w:w="1395" w:type="dxa"/>
          </w:tcPr>
          <w:p w14:paraId="186444FC" w14:textId="77777777" w:rsidR="00A96AA8" w:rsidRPr="00E067A6" w:rsidRDefault="00A96AA8" w:rsidP="00AF0A6A">
            <w:pPr>
              <w:spacing w:line="280" w:lineRule="exact"/>
              <w:contextualSpacing/>
              <w:rPr>
                <w:rFonts w:ascii="Arial" w:hAnsi="Arial" w:cs="Arial"/>
                <w:b/>
                <w:bCs/>
                <w:sz w:val="24"/>
                <w:szCs w:val="24"/>
              </w:rPr>
            </w:pPr>
            <w:r w:rsidRPr="00E067A6">
              <w:rPr>
                <w:rFonts w:ascii="Arial" w:hAnsi="Arial" w:cs="Arial"/>
                <w:b/>
                <w:bCs/>
                <w:sz w:val="24"/>
                <w:szCs w:val="24"/>
              </w:rPr>
              <w:t>Year</w:t>
            </w:r>
          </w:p>
        </w:tc>
        <w:tc>
          <w:tcPr>
            <w:tcW w:w="2031" w:type="dxa"/>
          </w:tcPr>
          <w:p w14:paraId="59B724A7" w14:textId="77777777" w:rsidR="00A96AA8" w:rsidRPr="00E067A6" w:rsidRDefault="00A96AA8" w:rsidP="00AF0A6A">
            <w:pPr>
              <w:spacing w:line="280" w:lineRule="exact"/>
              <w:contextualSpacing/>
              <w:rPr>
                <w:rFonts w:ascii="Arial" w:hAnsi="Arial" w:cs="Arial"/>
                <w:b/>
                <w:bCs/>
                <w:sz w:val="24"/>
                <w:szCs w:val="24"/>
              </w:rPr>
            </w:pPr>
            <w:r w:rsidRPr="00E067A6">
              <w:rPr>
                <w:rFonts w:ascii="Arial" w:hAnsi="Arial" w:cs="Arial"/>
                <w:b/>
                <w:bCs/>
                <w:sz w:val="24"/>
                <w:szCs w:val="24"/>
              </w:rPr>
              <w:t>31 July 2021</w:t>
            </w:r>
          </w:p>
        </w:tc>
        <w:tc>
          <w:tcPr>
            <w:tcW w:w="2017" w:type="dxa"/>
          </w:tcPr>
          <w:p w14:paraId="620601D8" w14:textId="77777777" w:rsidR="00A96AA8" w:rsidRPr="00E067A6" w:rsidRDefault="00A96AA8" w:rsidP="00AF0A6A">
            <w:pPr>
              <w:spacing w:line="280" w:lineRule="exact"/>
              <w:contextualSpacing/>
              <w:rPr>
                <w:rFonts w:ascii="Arial" w:hAnsi="Arial" w:cs="Arial"/>
                <w:b/>
                <w:bCs/>
                <w:sz w:val="24"/>
                <w:szCs w:val="24"/>
              </w:rPr>
            </w:pPr>
            <w:r w:rsidRPr="00E067A6">
              <w:rPr>
                <w:rFonts w:ascii="Arial" w:hAnsi="Arial" w:cs="Arial"/>
                <w:b/>
                <w:bCs/>
                <w:sz w:val="24"/>
                <w:szCs w:val="24"/>
              </w:rPr>
              <w:t>31 July 2022</w:t>
            </w:r>
          </w:p>
        </w:tc>
        <w:tc>
          <w:tcPr>
            <w:tcW w:w="2031" w:type="dxa"/>
          </w:tcPr>
          <w:p w14:paraId="1B8199E2" w14:textId="77777777" w:rsidR="00A96AA8" w:rsidRPr="00E067A6" w:rsidRDefault="00A96AA8" w:rsidP="00AF0A6A">
            <w:pPr>
              <w:spacing w:line="280" w:lineRule="exact"/>
              <w:contextualSpacing/>
              <w:rPr>
                <w:rFonts w:ascii="Arial" w:hAnsi="Arial" w:cs="Arial"/>
                <w:b/>
                <w:bCs/>
                <w:sz w:val="24"/>
                <w:szCs w:val="24"/>
              </w:rPr>
            </w:pPr>
            <w:r w:rsidRPr="00E067A6">
              <w:rPr>
                <w:rFonts w:ascii="Arial" w:hAnsi="Arial" w:cs="Arial"/>
                <w:b/>
                <w:bCs/>
                <w:sz w:val="24"/>
                <w:szCs w:val="24"/>
              </w:rPr>
              <w:t>31 July 2023</w:t>
            </w:r>
          </w:p>
        </w:tc>
        <w:tc>
          <w:tcPr>
            <w:tcW w:w="2018" w:type="dxa"/>
          </w:tcPr>
          <w:p w14:paraId="55F9217B" w14:textId="77777777" w:rsidR="00A96AA8" w:rsidRPr="00E067A6" w:rsidRDefault="00A96AA8" w:rsidP="00AF0A6A">
            <w:pPr>
              <w:spacing w:line="280" w:lineRule="exact"/>
              <w:contextualSpacing/>
              <w:rPr>
                <w:rFonts w:ascii="Arial" w:hAnsi="Arial" w:cs="Arial"/>
                <w:b/>
                <w:bCs/>
                <w:sz w:val="24"/>
                <w:szCs w:val="24"/>
              </w:rPr>
            </w:pPr>
            <w:r w:rsidRPr="00E067A6">
              <w:rPr>
                <w:rFonts w:ascii="Arial" w:hAnsi="Arial" w:cs="Arial"/>
                <w:b/>
                <w:bCs/>
                <w:sz w:val="24"/>
                <w:szCs w:val="24"/>
              </w:rPr>
              <w:t>31 July 2024</w:t>
            </w:r>
          </w:p>
        </w:tc>
      </w:tr>
      <w:tr w:rsidR="00A96AA8" w:rsidRPr="00347FF1" w14:paraId="581E14D9" w14:textId="77777777" w:rsidTr="00AF0A6A">
        <w:tc>
          <w:tcPr>
            <w:tcW w:w="1395" w:type="dxa"/>
          </w:tcPr>
          <w:p w14:paraId="29A6FA83"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Women</w:t>
            </w:r>
          </w:p>
        </w:tc>
        <w:tc>
          <w:tcPr>
            <w:tcW w:w="2031" w:type="dxa"/>
          </w:tcPr>
          <w:p w14:paraId="05E54EB5"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11</w:t>
            </w:r>
          </w:p>
        </w:tc>
        <w:tc>
          <w:tcPr>
            <w:tcW w:w="2017" w:type="dxa"/>
          </w:tcPr>
          <w:p w14:paraId="4909246F"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12</w:t>
            </w:r>
          </w:p>
        </w:tc>
        <w:tc>
          <w:tcPr>
            <w:tcW w:w="2031" w:type="dxa"/>
          </w:tcPr>
          <w:p w14:paraId="7EC79661"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12</w:t>
            </w:r>
          </w:p>
        </w:tc>
        <w:tc>
          <w:tcPr>
            <w:tcW w:w="2018" w:type="dxa"/>
          </w:tcPr>
          <w:p w14:paraId="49E1023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14</w:t>
            </w:r>
          </w:p>
        </w:tc>
      </w:tr>
      <w:tr w:rsidR="00A96AA8" w:rsidRPr="00347FF1" w14:paraId="21000029" w14:textId="77777777" w:rsidTr="00AF0A6A">
        <w:tc>
          <w:tcPr>
            <w:tcW w:w="1395" w:type="dxa"/>
          </w:tcPr>
          <w:p w14:paraId="1512BD20"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Men</w:t>
            </w:r>
          </w:p>
        </w:tc>
        <w:tc>
          <w:tcPr>
            <w:tcW w:w="2031" w:type="dxa"/>
          </w:tcPr>
          <w:p w14:paraId="0AEE248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12</w:t>
            </w:r>
          </w:p>
        </w:tc>
        <w:tc>
          <w:tcPr>
            <w:tcW w:w="2017" w:type="dxa"/>
          </w:tcPr>
          <w:p w14:paraId="6CFB4553"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13</w:t>
            </w:r>
          </w:p>
        </w:tc>
        <w:tc>
          <w:tcPr>
            <w:tcW w:w="2031" w:type="dxa"/>
          </w:tcPr>
          <w:p w14:paraId="7E9F6088"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11</w:t>
            </w:r>
          </w:p>
        </w:tc>
        <w:tc>
          <w:tcPr>
            <w:tcW w:w="2018" w:type="dxa"/>
          </w:tcPr>
          <w:p w14:paraId="43474A73"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11</w:t>
            </w:r>
          </w:p>
        </w:tc>
      </w:tr>
      <w:tr w:rsidR="00A96AA8" w:rsidRPr="00347FF1" w14:paraId="10D38047" w14:textId="77777777" w:rsidTr="00AF0A6A">
        <w:tc>
          <w:tcPr>
            <w:tcW w:w="1395" w:type="dxa"/>
          </w:tcPr>
          <w:p w14:paraId="1812EB54"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 of membership</w:t>
            </w:r>
          </w:p>
        </w:tc>
        <w:tc>
          <w:tcPr>
            <w:tcW w:w="2031" w:type="dxa"/>
          </w:tcPr>
          <w:p w14:paraId="28DAC577"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44% Female</w:t>
            </w:r>
          </w:p>
          <w:p w14:paraId="6BD638CD"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48% Male</w:t>
            </w:r>
          </w:p>
          <w:p w14:paraId="144DF0C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2 vacancies</w:t>
            </w:r>
          </w:p>
        </w:tc>
        <w:tc>
          <w:tcPr>
            <w:tcW w:w="2017" w:type="dxa"/>
          </w:tcPr>
          <w:p w14:paraId="0D1A05B1"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48% Female</w:t>
            </w:r>
          </w:p>
          <w:p w14:paraId="3A590828"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52% Male</w:t>
            </w:r>
          </w:p>
        </w:tc>
        <w:tc>
          <w:tcPr>
            <w:tcW w:w="2031" w:type="dxa"/>
          </w:tcPr>
          <w:p w14:paraId="049AAA7F"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52% Female</w:t>
            </w:r>
          </w:p>
          <w:p w14:paraId="3C8B73F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48% Male</w:t>
            </w:r>
          </w:p>
          <w:p w14:paraId="4CEBF264"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2 vacancies</w:t>
            </w:r>
          </w:p>
        </w:tc>
        <w:tc>
          <w:tcPr>
            <w:tcW w:w="2018" w:type="dxa"/>
          </w:tcPr>
          <w:p w14:paraId="12BEBA40"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56% Female</w:t>
            </w:r>
          </w:p>
          <w:p w14:paraId="39FBED83"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44% Male</w:t>
            </w:r>
          </w:p>
        </w:tc>
      </w:tr>
    </w:tbl>
    <w:p w14:paraId="1CECD46D" w14:textId="77777777" w:rsidR="00A96AA8" w:rsidRDefault="00A96AA8" w:rsidP="00A96AA8">
      <w:pPr>
        <w:spacing w:after="0" w:line="280" w:lineRule="exact"/>
        <w:jc w:val="both"/>
        <w:rPr>
          <w:rFonts w:ascii="Arial" w:hAnsi="Arial" w:cs="Arial"/>
          <w:b/>
          <w:bCs/>
          <w:color w:val="0070C0"/>
          <w:sz w:val="24"/>
          <w:szCs w:val="24"/>
        </w:rPr>
      </w:pPr>
    </w:p>
    <w:p w14:paraId="449E08A7" w14:textId="77777777" w:rsidR="00A96AA8" w:rsidRPr="001F6D2F" w:rsidRDefault="00A96AA8" w:rsidP="00A96AA8">
      <w:pPr>
        <w:spacing w:after="0" w:line="280" w:lineRule="exact"/>
        <w:jc w:val="both"/>
        <w:rPr>
          <w:rFonts w:ascii="Arial" w:hAnsi="Arial" w:cs="Arial"/>
          <w:b/>
          <w:bCs/>
          <w:color w:val="0070C0"/>
          <w:sz w:val="24"/>
          <w:szCs w:val="24"/>
        </w:rPr>
      </w:pPr>
      <w:r>
        <w:rPr>
          <w:rFonts w:ascii="Arial" w:hAnsi="Arial" w:cs="Arial"/>
          <w:b/>
          <w:bCs/>
          <w:color w:val="0070C0"/>
          <w:sz w:val="24"/>
          <w:szCs w:val="24"/>
        </w:rPr>
        <w:t xml:space="preserve">4.3.2 </w:t>
      </w:r>
      <w:r w:rsidRPr="001F6D2F">
        <w:rPr>
          <w:rFonts w:ascii="Arial" w:hAnsi="Arial" w:cs="Arial"/>
          <w:b/>
          <w:bCs/>
          <w:color w:val="0070C0"/>
          <w:sz w:val="24"/>
          <w:szCs w:val="24"/>
        </w:rPr>
        <w:t>Reporting Information Specific to Gender Representation on Public Boards (Scotland) Act</w:t>
      </w:r>
    </w:p>
    <w:p w14:paraId="7DBECB33" w14:textId="77777777" w:rsidR="00A96AA8" w:rsidRPr="00347FF1" w:rsidRDefault="00A96AA8" w:rsidP="00A96AA8">
      <w:pPr>
        <w:pStyle w:val="ListParagraph"/>
        <w:spacing w:after="0" w:line="280" w:lineRule="exact"/>
        <w:ind w:left="1247"/>
        <w:rPr>
          <w:rFonts w:ascii="Arial" w:hAnsi="Arial" w:cs="Arial"/>
          <w:b/>
          <w:bCs/>
          <w:sz w:val="24"/>
          <w:szCs w:val="24"/>
        </w:rPr>
      </w:pPr>
    </w:p>
    <w:p w14:paraId="1B86703F" w14:textId="77777777" w:rsidR="00A96AA8" w:rsidRPr="00E6660B" w:rsidRDefault="00A96AA8" w:rsidP="00A96AA8">
      <w:pPr>
        <w:spacing w:after="0" w:line="280" w:lineRule="exact"/>
        <w:jc w:val="both"/>
        <w:rPr>
          <w:rFonts w:ascii="Arial" w:hAnsi="Arial" w:cs="Arial"/>
          <w:b/>
          <w:bCs/>
          <w:sz w:val="24"/>
          <w:szCs w:val="24"/>
        </w:rPr>
      </w:pPr>
      <w:r w:rsidRPr="00E6660B">
        <w:rPr>
          <w:rFonts w:ascii="Arial" w:hAnsi="Arial" w:cs="Arial"/>
          <w:sz w:val="24"/>
          <w:szCs w:val="24"/>
        </w:rPr>
        <w:t>This section reports on the</w:t>
      </w:r>
      <w:r w:rsidRPr="00E6660B">
        <w:rPr>
          <w:rFonts w:ascii="Arial" w:hAnsi="Arial" w:cs="Arial"/>
          <w:b/>
          <w:bCs/>
          <w:sz w:val="24"/>
          <w:szCs w:val="24"/>
        </w:rPr>
        <w:t xml:space="preserve"> </w:t>
      </w:r>
      <w:r w:rsidRPr="00E6660B">
        <w:rPr>
          <w:rFonts w:ascii="Arial" w:hAnsi="Arial" w:cs="Arial"/>
          <w:sz w:val="24"/>
          <w:szCs w:val="24"/>
        </w:rPr>
        <w:t>information required by Section 8 of the Gender Representation on Public Boards (Scotland) Act 2018. It covers the period since August 2021 to 31 July 2024.</w:t>
      </w:r>
    </w:p>
    <w:p w14:paraId="0F8CD929" w14:textId="77777777" w:rsidR="00A96AA8" w:rsidRPr="00E067A6" w:rsidRDefault="00A96AA8" w:rsidP="00A96AA8">
      <w:pPr>
        <w:pStyle w:val="ListParagraph"/>
        <w:spacing w:after="0" w:line="280" w:lineRule="exact"/>
        <w:jc w:val="both"/>
        <w:rPr>
          <w:rFonts w:ascii="Arial" w:hAnsi="Arial" w:cs="Arial"/>
          <w:b/>
          <w:bCs/>
          <w:sz w:val="24"/>
          <w:szCs w:val="24"/>
        </w:rPr>
      </w:pPr>
    </w:p>
    <w:p w14:paraId="2973BD2F" w14:textId="77777777" w:rsidR="00A96AA8" w:rsidRDefault="00A96AA8" w:rsidP="00A96AA8">
      <w:pPr>
        <w:spacing w:after="0" w:line="280" w:lineRule="exact"/>
        <w:jc w:val="both"/>
        <w:rPr>
          <w:rFonts w:ascii="Arial" w:hAnsi="Arial" w:cs="Arial"/>
          <w:b/>
          <w:bCs/>
          <w:sz w:val="24"/>
          <w:szCs w:val="24"/>
        </w:rPr>
      </w:pPr>
      <w:r w:rsidRPr="00E6660B">
        <w:rPr>
          <w:rFonts w:ascii="Arial" w:hAnsi="Arial" w:cs="Arial"/>
          <w:sz w:val="24"/>
          <w:szCs w:val="24"/>
        </w:rPr>
        <w:t>The Act applies to members who are appointed by the Court but excludes members who are elected or nominated. For the University Court, this translates to being twelve of the thirteen independent members of Court (the Senior Governor who, while independent, is elected and therefore excluded).</w:t>
      </w:r>
    </w:p>
    <w:p w14:paraId="582D6BE5" w14:textId="77777777" w:rsidR="00A96AA8" w:rsidRPr="001F6D2F" w:rsidRDefault="00A96AA8" w:rsidP="00A96AA8">
      <w:pPr>
        <w:spacing w:after="0" w:line="280" w:lineRule="exact"/>
        <w:jc w:val="both"/>
        <w:rPr>
          <w:rFonts w:ascii="Arial" w:hAnsi="Arial" w:cs="Arial"/>
          <w:b/>
          <w:bCs/>
          <w:sz w:val="24"/>
          <w:szCs w:val="24"/>
        </w:rPr>
      </w:pPr>
    </w:p>
    <w:p w14:paraId="61911664" w14:textId="77777777" w:rsidR="00A96AA8" w:rsidRPr="00E6660B" w:rsidRDefault="00A96AA8" w:rsidP="00A96AA8">
      <w:pPr>
        <w:spacing w:after="0" w:line="280" w:lineRule="exact"/>
        <w:jc w:val="both"/>
        <w:rPr>
          <w:rFonts w:ascii="Arial" w:hAnsi="Arial" w:cs="Arial"/>
          <w:b/>
          <w:bCs/>
          <w:sz w:val="24"/>
          <w:szCs w:val="24"/>
        </w:rPr>
      </w:pPr>
      <w:r w:rsidRPr="00E6660B">
        <w:rPr>
          <w:rFonts w:ascii="Arial" w:hAnsi="Arial" w:cs="Arial"/>
          <w:sz w:val="24"/>
          <w:szCs w:val="24"/>
        </w:rPr>
        <w:t>As of 31 July 2024, the objective of the legislation has been achieved with seven of the twelve independent members of Court being female. This has been achieved through the steps outlined above. Furthermore, as at the time of writing (February 2025) the Court continues to meet the objective of the legislation.</w:t>
      </w:r>
    </w:p>
    <w:p w14:paraId="1614F13E" w14:textId="77777777" w:rsidR="00A96AA8" w:rsidRDefault="00A96AA8" w:rsidP="00A96AA8">
      <w:pPr>
        <w:spacing w:after="0" w:line="280" w:lineRule="exact"/>
        <w:jc w:val="both"/>
        <w:rPr>
          <w:rFonts w:ascii="Arial" w:hAnsi="Arial" w:cs="Arial"/>
          <w:sz w:val="24"/>
          <w:szCs w:val="24"/>
        </w:rPr>
      </w:pPr>
    </w:p>
    <w:p w14:paraId="4C39D4F8" w14:textId="3DAE12BB" w:rsidR="00A96AA8" w:rsidRPr="00A96AA8" w:rsidRDefault="00A96AA8" w:rsidP="00A96AA8">
      <w:pPr>
        <w:spacing w:after="0" w:line="280" w:lineRule="exact"/>
        <w:jc w:val="both"/>
        <w:rPr>
          <w:rFonts w:ascii="Arial" w:hAnsi="Arial" w:cs="Arial"/>
          <w:b/>
          <w:bCs/>
          <w:sz w:val="24"/>
          <w:szCs w:val="24"/>
        </w:rPr>
      </w:pPr>
      <w:r w:rsidRPr="00E6660B">
        <w:rPr>
          <w:rFonts w:ascii="Arial" w:hAnsi="Arial" w:cs="Arial"/>
          <w:sz w:val="24"/>
          <w:szCs w:val="24"/>
        </w:rPr>
        <w:t>As required by the Act, the following further information is provided:</w:t>
      </w:r>
    </w:p>
    <w:p w14:paraId="61AC0948" w14:textId="77777777" w:rsidR="00A96AA8" w:rsidRDefault="00A96AA8" w:rsidP="00A96AA8">
      <w:pPr>
        <w:spacing w:after="0" w:line="280" w:lineRule="exact"/>
        <w:contextualSpacing/>
        <w:rPr>
          <w:rFonts w:ascii="Arial" w:hAnsi="Arial" w:cs="Arial"/>
          <w:sz w:val="24"/>
          <w:szCs w:val="24"/>
        </w:rPr>
      </w:pPr>
    </w:p>
    <w:p w14:paraId="1FECEB2C" w14:textId="77777777" w:rsidR="00A96AA8" w:rsidRDefault="00A96AA8" w:rsidP="00A96AA8">
      <w:pPr>
        <w:spacing w:after="0" w:line="280" w:lineRule="exact"/>
        <w:ind w:firstLine="720"/>
        <w:contextualSpacing/>
        <w:rPr>
          <w:rFonts w:ascii="Arial" w:hAnsi="Arial" w:cs="Arial"/>
          <w:sz w:val="24"/>
          <w:szCs w:val="24"/>
        </w:rPr>
      </w:pPr>
      <w:r w:rsidRPr="00347FF1">
        <w:rPr>
          <w:rFonts w:ascii="Arial" w:hAnsi="Arial" w:cs="Arial"/>
          <w:b/>
          <w:bCs/>
          <w:sz w:val="24"/>
          <w:szCs w:val="24"/>
        </w:rPr>
        <w:t xml:space="preserve">Table </w:t>
      </w:r>
      <w:r>
        <w:rPr>
          <w:rFonts w:ascii="Arial" w:hAnsi="Arial" w:cs="Arial"/>
          <w:b/>
          <w:bCs/>
          <w:sz w:val="24"/>
          <w:szCs w:val="24"/>
        </w:rPr>
        <w:t>4</w:t>
      </w:r>
      <w:r w:rsidRPr="00347FF1">
        <w:rPr>
          <w:rFonts w:ascii="Arial" w:hAnsi="Arial" w:cs="Arial"/>
          <w:sz w:val="24"/>
          <w:szCs w:val="24"/>
        </w:rPr>
        <w:t>: Gender profile of Independent Members Appointed by Court 2021 to 2024</w:t>
      </w:r>
      <w:r>
        <w:rPr>
          <w:rFonts w:ascii="Arial" w:hAnsi="Arial" w:cs="Arial"/>
          <w:sz w:val="24"/>
          <w:szCs w:val="24"/>
        </w:rPr>
        <w:t>.</w:t>
      </w:r>
    </w:p>
    <w:p w14:paraId="5F06AC8E" w14:textId="77777777" w:rsidR="00A96AA8" w:rsidRPr="00347FF1" w:rsidRDefault="00A96AA8" w:rsidP="00A96AA8">
      <w:pPr>
        <w:spacing w:after="0" w:line="280" w:lineRule="exact"/>
        <w:ind w:firstLine="720"/>
        <w:contextualSpacing/>
        <w:rPr>
          <w:rFonts w:ascii="Arial" w:hAnsi="Arial" w:cs="Arial"/>
          <w:sz w:val="24"/>
          <w:szCs w:val="24"/>
        </w:rPr>
      </w:pPr>
    </w:p>
    <w:tbl>
      <w:tblPr>
        <w:tblStyle w:val="TableGrid"/>
        <w:tblW w:w="9781" w:type="dxa"/>
        <w:tblInd w:w="-5" w:type="dxa"/>
        <w:tblLook w:val="04A0" w:firstRow="1" w:lastRow="0" w:firstColumn="1" w:lastColumn="0" w:noHBand="0" w:noVBand="1"/>
      </w:tblPr>
      <w:tblGrid>
        <w:gridCol w:w="1537"/>
        <w:gridCol w:w="2064"/>
        <w:gridCol w:w="2060"/>
        <w:gridCol w:w="2060"/>
        <w:gridCol w:w="2060"/>
      </w:tblGrid>
      <w:tr w:rsidR="00A96AA8" w:rsidRPr="00347FF1" w14:paraId="6B8C9217" w14:textId="77777777" w:rsidTr="00AF0A6A">
        <w:tc>
          <w:tcPr>
            <w:tcW w:w="1537" w:type="dxa"/>
          </w:tcPr>
          <w:p w14:paraId="1E16BEEC"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Year</w:t>
            </w:r>
          </w:p>
        </w:tc>
        <w:tc>
          <w:tcPr>
            <w:tcW w:w="2064" w:type="dxa"/>
          </w:tcPr>
          <w:p w14:paraId="69A71675"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31 July 2021</w:t>
            </w:r>
          </w:p>
        </w:tc>
        <w:tc>
          <w:tcPr>
            <w:tcW w:w="2060" w:type="dxa"/>
          </w:tcPr>
          <w:p w14:paraId="4A158595"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31 July 2022</w:t>
            </w:r>
          </w:p>
        </w:tc>
        <w:tc>
          <w:tcPr>
            <w:tcW w:w="2060" w:type="dxa"/>
          </w:tcPr>
          <w:p w14:paraId="36B2815E"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31 July 2023</w:t>
            </w:r>
          </w:p>
        </w:tc>
        <w:tc>
          <w:tcPr>
            <w:tcW w:w="2060" w:type="dxa"/>
          </w:tcPr>
          <w:p w14:paraId="7919BDA0"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31 July 2024</w:t>
            </w:r>
          </w:p>
        </w:tc>
      </w:tr>
      <w:tr w:rsidR="00A96AA8" w:rsidRPr="00347FF1" w14:paraId="7649B259" w14:textId="77777777" w:rsidTr="00AF0A6A">
        <w:tc>
          <w:tcPr>
            <w:tcW w:w="1537" w:type="dxa"/>
          </w:tcPr>
          <w:p w14:paraId="0ACD7D03"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Women</w:t>
            </w:r>
          </w:p>
        </w:tc>
        <w:tc>
          <w:tcPr>
            <w:tcW w:w="2064" w:type="dxa"/>
          </w:tcPr>
          <w:p w14:paraId="08418AEC"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557B475D"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756DAD7F"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0BA5E4DD"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7</w:t>
            </w:r>
          </w:p>
        </w:tc>
      </w:tr>
      <w:tr w:rsidR="00A96AA8" w:rsidRPr="00347FF1" w14:paraId="416E44E8" w14:textId="77777777" w:rsidTr="00AF0A6A">
        <w:tc>
          <w:tcPr>
            <w:tcW w:w="1537" w:type="dxa"/>
          </w:tcPr>
          <w:p w14:paraId="044BE5CA"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Men</w:t>
            </w:r>
          </w:p>
        </w:tc>
        <w:tc>
          <w:tcPr>
            <w:tcW w:w="2064" w:type="dxa"/>
          </w:tcPr>
          <w:p w14:paraId="6EBB27C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w:t>
            </w:r>
          </w:p>
        </w:tc>
        <w:tc>
          <w:tcPr>
            <w:tcW w:w="2060" w:type="dxa"/>
          </w:tcPr>
          <w:p w14:paraId="1CF13238"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6C2041D1"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6</w:t>
            </w:r>
          </w:p>
        </w:tc>
        <w:tc>
          <w:tcPr>
            <w:tcW w:w="2060" w:type="dxa"/>
          </w:tcPr>
          <w:p w14:paraId="2C89E6F6"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w:t>
            </w:r>
          </w:p>
        </w:tc>
      </w:tr>
      <w:tr w:rsidR="00A96AA8" w:rsidRPr="00347FF1" w14:paraId="089E2DBF" w14:textId="77777777" w:rsidTr="00AF0A6A">
        <w:tc>
          <w:tcPr>
            <w:tcW w:w="1537" w:type="dxa"/>
          </w:tcPr>
          <w:p w14:paraId="3E56547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 of membership</w:t>
            </w:r>
          </w:p>
        </w:tc>
        <w:tc>
          <w:tcPr>
            <w:tcW w:w="2064" w:type="dxa"/>
          </w:tcPr>
          <w:p w14:paraId="10F25CED"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50% Female</w:t>
            </w:r>
          </w:p>
          <w:p w14:paraId="3CE3BCD3"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42% Male</w:t>
            </w:r>
          </w:p>
          <w:p w14:paraId="07CFC47F"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 Vacancy</w:t>
            </w:r>
          </w:p>
        </w:tc>
        <w:tc>
          <w:tcPr>
            <w:tcW w:w="2060" w:type="dxa"/>
          </w:tcPr>
          <w:p w14:paraId="48B1E77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50% Female</w:t>
            </w:r>
          </w:p>
          <w:p w14:paraId="6C08D9CD"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50% Male</w:t>
            </w:r>
          </w:p>
        </w:tc>
        <w:tc>
          <w:tcPr>
            <w:tcW w:w="2060" w:type="dxa"/>
          </w:tcPr>
          <w:p w14:paraId="2A988210"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50% Female</w:t>
            </w:r>
          </w:p>
          <w:p w14:paraId="37C26B91"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50% Male</w:t>
            </w:r>
          </w:p>
        </w:tc>
        <w:tc>
          <w:tcPr>
            <w:tcW w:w="2060" w:type="dxa"/>
          </w:tcPr>
          <w:p w14:paraId="38A565A7"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58% Female</w:t>
            </w:r>
          </w:p>
          <w:p w14:paraId="3C39988D"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42% Male</w:t>
            </w:r>
          </w:p>
        </w:tc>
      </w:tr>
    </w:tbl>
    <w:p w14:paraId="374DA7AB" w14:textId="77777777" w:rsidR="00A96AA8" w:rsidRDefault="00A96AA8" w:rsidP="00A96AA8">
      <w:pPr>
        <w:spacing w:after="0" w:line="280" w:lineRule="exact"/>
        <w:contextualSpacing/>
        <w:rPr>
          <w:rFonts w:ascii="Arial" w:hAnsi="Arial" w:cs="Arial"/>
          <w:sz w:val="24"/>
          <w:szCs w:val="24"/>
        </w:rPr>
      </w:pPr>
    </w:p>
    <w:p w14:paraId="39261633" w14:textId="77777777" w:rsidR="00A96AA8" w:rsidRDefault="00A96AA8" w:rsidP="00A96AA8">
      <w:pPr>
        <w:spacing w:after="0" w:line="280" w:lineRule="exact"/>
        <w:ind w:firstLine="530"/>
        <w:rPr>
          <w:rFonts w:ascii="Arial" w:hAnsi="Arial" w:cs="Arial"/>
          <w:b/>
          <w:bCs/>
          <w:sz w:val="24"/>
          <w:szCs w:val="24"/>
        </w:rPr>
      </w:pPr>
    </w:p>
    <w:p w14:paraId="052E7C85" w14:textId="77777777" w:rsidR="00A96AA8" w:rsidRDefault="00A96AA8" w:rsidP="00A96AA8">
      <w:pPr>
        <w:spacing w:after="0" w:line="280" w:lineRule="exact"/>
        <w:ind w:firstLine="530"/>
        <w:rPr>
          <w:rFonts w:ascii="Arial" w:hAnsi="Arial" w:cs="Arial"/>
          <w:sz w:val="24"/>
          <w:szCs w:val="24"/>
        </w:rPr>
      </w:pPr>
      <w:r w:rsidRPr="00347FF1">
        <w:rPr>
          <w:rFonts w:ascii="Arial" w:hAnsi="Arial" w:cs="Arial"/>
          <w:b/>
          <w:bCs/>
          <w:sz w:val="24"/>
          <w:szCs w:val="24"/>
        </w:rPr>
        <w:t xml:space="preserve">Table </w:t>
      </w:r>
      <w:r>
        <w:rPr>
          <w:rFonts w:ascii="Arial" w:hAnsi="Arial" w:cs="Arial"/>
          <w:b/>
          <w:bCs/>
          <w:sz w:val="24"/>
          <w:szCs w:val="24"/>
        </w:rPr>
        <w:t>5</w:t>
      </w:r>
      <w:r w:rsidRPr="00347FF1">
        <w:rPr>
          <w:rFonts w:ascii="Arial" w:hAnsi="Arial" w:cs="Arial"/>
          <w:sz w:val="24"/>
          <w:szCs w:val="24"/>
        </w:rPr>
        <w:t>: Recruitment of Independent Members 1 Aug 2022 to 31 July 2024</w:t>
      </w:r>
      <w:r>
        <w:rPr>
          <w:rFonts w:ascii="Arial" w:hAnsi="Arial" w:cs="Arial"/>
          <w:sz w:val="24"/>
          <w:szCs w:val="24"/>
        </w:rPr>
        <w:t>.</w:t>
      </w:r>
    </w:p>
    <w:p w14:paraId="636BB38F" w14:textId="77777777" w:rsidR="00A96AA8" w:rsidRPr="00E067A6" w:rsidRDefault="00A96AA8" w:rsidP="00A96AA8">
      <w:pPr>
        <w:spacing w:after="0" w:line="280" w:lineRule="exact"/>
        <w:ind w:firstLine="530"/>
        <w:rPr>
          <w:rFonts w:ascii="Arial" w:hAnsi="Arial" w:cs="Arial"/>
          <w:sz w:val="24"/>
          <w:szCs w:val="24"/>
        </w:rPr>
      </w:pPr>
    </w:p>
    <w:tbl>
      <w:tblPr>
        <w:tblStyle w:val="TableGrid"/>
        <w:tblW w:w="9264" w:type="dxa"/>
        <w:tblInd w:w="609" w:type="dxa"/>
        <w:tblLook w:val="04A0" w:firstRow="1" w:lastRow="0" w:firstColumn="1" w:lastColumn="0" w:noHBand="0" w:noVBand="1"/>
      </w:tblPr>
      <w:tblGrid>
        <w:gridCol w:w="1364"/>
        <w:gridCol w:w="1510"/>
        <w:gridCol w:w="1511"/>
        <w:gridCol w:w="1511"/>
        <w:gridCol w:w="1684"/>
        <w:gridCol w:w="1684"/>
      </w:tblGrid>
      <w:tr w:rsidR="00A96AA8" w:rsidRPr="00347FF1" w14:paraId="389E174A" w14:textId="77777777" w:rsidTr="00AF0A6A">
        <w:tc>
          <w:tcPr>
            <w:tcW w:w="1364" w:type="dxa"/>
          </w:tcPr>
          <w:p w14:paraId="35D46C76"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Number of Vacancies</w:t>
            </w:r>
          </w:p>
        </w:tc>
        <w:tc>
          <w:tcPr>
            <w:tcW w:w="1510" w:type="dxa"/>
          </w:tcPr>
          <w:p w14:paraId="3151B9D8"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Number of Recruitment Processes Undertaken</w:t>
            </w:r>
          </w:p>
        </w:tc>
        <w:tc>
          <w:tcPr>
            <w:tcW w:w="1511" w:type="dxa"/>
          </w:tcPr>
          <w:p w14:paraId="2753582E"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Number of Applications</w:t>
            </w:r>
          </w:p>
        </w:tc>
        <w:tc>
          <w:tcPr>
            <w:tcW w:w="1511" w:type="dxa"/>
          </w:tcPr>
          <w:p w14:paraId="436AA5D7"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 of Applications from Women</w:t>
            </w:r>
          </w:p>
        </w:tc>
        <w:tc>
          <w:tcPr>
            <w:tcW w:w="1684" w:type="dxa"/>
          </w:tcPr>
          <w:p w14:paraId="6D690DBB"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 xml:space="preserve">Number of Appointments Made </w:t>
            </w:r>
          </w:p>
        </w:tc>
        <w:tc>
          <w:tcPr>
            <w:tcW w:w="1684" w:type="dxa"/>
          </w:tcPr>
          <w:p w14:paraId="7240BCF6"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Number of Appointments Female</w:t>
            </w:r>
          </w:p>
        </w:tc>
      </w:tr>
      <w:tr w:rsidR="00A96AA8" w:rsidRPr="00347FF1" w14:paraId="68E1934C" w14:textId="77777777" w:rsidTr="00AF0A6A">
        <w:tc>
          <w:tcPr>
            <w:tcW w:w="1364" w:type="dxa"/>
          </w:tcPr>
          <w:p w14:paraId="23F03758"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2023 (3 vacancies)</w:t>
            </w:r>
          </w:p>
        </w:tc>
        <w:tc>
          <w:tcPr>
            <w:tcW w:w="1510" w:type="dxa"/>
          </w:tcPr>
          <w:p w14:paraId="5187ED0E"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w:t>
            </w:r>
          </w:p>
        </w:tc>
        <w:tc>
          <w:tcPr>
            <w:tcW w:w="1511" w:type="dxa"/>
          </w:tcPr>
          <w:p w14:paraId="669E13DE"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50*</w:t>
            </w:r>
          </w:p>
        </w:tc>
        <w:tc>
          <w:tcPr>
            <w:tcW w:w="1511" w:type="dxa"/>
          </w:tcPr>
          <w:p w14:paraId="596D070F"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16%**</w:t>
            </w:r>
          </w:p>
        </w:tc>
        <w:tc>
          <w:tcPr>
            <w:tcW w:w="1684" w:type="dxa"/>
          </w:tcPr>
          <w:p w14:paraId="46B4BB5E"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3</w:t>
            </w:r>
          </w:p>
        </w:tc>
        <w:tc>
          <w:tcPr>
            <w:tcW w:w="1684" w:type="dxa"/>
          </w:tcPr>
          <w:p w14:paraId="1E84D4BA"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2</w:t>
            </w:r>
          </w:p>
        </w:tc>
      </w:tr>
      <w:tr w:rsidR="00A96AA8" w:rsidRPr="00347FF1" w14:paraId="5AFE7F3C" w14:textId="77777777" w:rsidTr="00AF0A6A">
        <w:tc>
          <w:tcPr>
            <w:tcW w:w="1364" w:type="dxa"/>
          </w:tcPr>
          <w:p w14:paraId="30DCBF80"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2024 (4 vacancies)</w:t>
            </w:r>
          </w:p>
        </w:tc>
        <w:tc>
          <w:tcPr>
            <w:tcW w:w="1510" w:type="dxa"/>
          </w:tcPr>
          <w:p w14:paraId="1FAB52C4"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1</w:t>
            </w:r>
          </w:p>
        </w:tc>
        <w:tc>
          <w:tcPr>
            <w:tcW w:w="1511" w:type="dxa"/>
          </w:tcPr>
          <w:p w14:paraId="0A92E4B3"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44</w:t>
            </w:r>
          </w:p>
        </w:tc>
        <w:tc>
          <w:tcPr>
            <w:tcW w:w="1511" w:type="dxa"/>
          </w:tcPr>
          <w:p w14:paraId="405C630C"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41%</w:t>
            </w:r>
          </w:p>
        </w:tc>
        <w:tc>
          <w:tcPr>
            <w:tcW w:w="1684" w:type="dxa"/>
          </w:tcPr>
          <w:p w14:paraId="335089CB"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3</w:t>
            </w:r>
          </w:p>
        </w:tc>
        <w:tc>
          <w:tcPr>
            <w:tcW w:w="1684" w:type="dxa"/>
          </w:tcPr>
          <w:p w14:paraId="33C300B2" w14:textId="77777777" w:rsidR="00A96AA8" w:rsidRPr="00347FF1" w:rsidRDefault="00A96AA8" w:rsidP="00AF0A6A">
            <w:pPr>
              <w:spacing w:line="280" w:lineRule="exact"/>
              <w:contextualSpacing/>
              <w:rPr>
                <w:rFonts w:ascii="Arial" w:hAnsi="Arial" w:cs="Arial"/>
                <w:sz w:val="24"/>
                <w:szCs w:val="24"/>
              </w:rPr>
            </w:pPr>
            <w:r w:rsidRPr="00347FF1">
              <w:rPr>
                <w:rFonts w:ascii="Arial" w:hAnsi="Arial" w:cs="Arial"/>
                <w:sz w:val="24"/>
                <w:szCs w:val="24"/>
              </w:rPr>
              <w:t>2</w:t>
            </w:r>
          </w:p>
        </w:tc>
      </w:tr>
    </w:tbl>
    <w:p w14:paraId="70640114" w14:textId="77777777" w:rsidR="00A96AA8" w:rsidRPr="00347FF1" w:rsidRDefault="00A96AA8" w:rsidP="00A96AA8">
      <w:pPr>
        <w:spacing w:after="0" w:line="280" w:lineRule="exact"/>
        <w:rPr>
          <w:rFonts w:ascii="Arial" w:hAnsi="Arial" w:cs="Arial"/>
          <w:sz w:val="24"/>
          <w:szCs w:val="24"/>
        </w:rPr>
      </w:pPr>
      <w:r w:rsidRPr="00347FF1">
        <w:rPr>
          <w:rFonts w:ascii="Arial" w:hAnsi="Arial" w:cs="Arial"/>
          <w:sz w:val="24"/>
          <w:szCs w:val="24"/>
        </w:rPr>
        <w:lastRenderedPageBreak/>
        <w:t> </w:t>
      </w:r>
      <w:r>
        <w:rPr>
          <w:rFonts w:ascii="Arial" w:hAnsi="Arial" w:cs="Arial"/>
          <w:sz w:val="24"/>
          <w:szCs w:val="24"/>
        </w:rPr>
        <w:tab/>
      </w:r>
      <w:r w:rsidRPr="00347FF1">
        <w:rPr>
          <w:rFonts w:ascii="Arial" w:hAnsi="Arial" w:cs="Arial"/>
          <w:sz w:val="24"/>
          <w:szCs w:val="24"/>
        </w:rPr>
        <w:t>* 44% of applicants chose not to return a diversity monitoring form</w:t>
      </w:r>
    </w:p>
    <w:p w14:paraId="478A45C4" w14:textId="77777777" w:rsidR="00A96AA8" w:rsidRPr="00347FF1" w:rsidRDefault="00A96AA8" w:rsidP="00A96AA8">
      <w:pPr>
        <w:spacing w:after="0" w:line="280" w:lineRule="exact"/>
        <w:ind w:firstLine="720"/>
        <w:rPr>
          <w:rFonts w:ascii="Arial" w:hAnsi="Arial" w:cs="Arial"/>
          <w:b/>
          <w:bCs/>
          <w:sz w:val="24"/>
          <w:szCs w:val="24"/>
        </w:rPr>
      </w:pPr>
      <w:r w:rsidRPr="00347FF1">
        <w:rPr>
          <w:rFonts w:ascii="Arial" w:hAnsi="Arial" w:cs="Arial"/>
          <w:sz w:val="24"/>
          <w:szCs w:val="24"/>
        </w:rPr>
        <w:t>** Percentage of only 28 applicants who returned a diversity monitoring form</w:t>
      </w:r>
    </w:p>
    <w:p w14:paraId="1EA34074" w14:textId="77777777" w:rsidR="00A96AA8" w:rsidRPr="00347FF1" w:rsidRDefault="00A96AA8" w:rsidP="00A96AA8">
      <w:pPr>
        <w:spacing w:after="0" w:line="280" w:lineRule="exact"/>
        <w:rPr>
          <w:rFonts w:ascii="Arial" w:hAnsi="Arial" w:cs="Arial"/>
          <w:b/>
          <w:bCs/>
          <w:sz w:val="24"/>
          <w:szCs w:val="24"/>
        </w:rPr>
      </w:pPr>
    </w:p>
    <w:p w14:paraId="77EC6A38" w14:textId="77777777" w:rsidR="00A96AA8" w:rsidRDefault="00A96AA8" w:rsidP="00A96AA8">
      <w:pPr>
        <w:pStyle w:val="NormalWeb"/>
        <w:shd w:val="clear" w:color="auto" w:fill="FFFFFF"/>
        <w:spacing w:before="0" w:beforeAutospacing="0" w:after="0" w:afterAutospacing="0" w:line="280" w:lineRule="exact"/>
        <w:rPr>
          <w:rFonts w:ascii="Arial" w:hAnsi="Arial" w:cs="Arial"/>
        </w:rPr>
      </w:pPr>
      <w:r>
        <w:rPr>
          <w:rFonts w:ascii="Arial" w:hAnsi="Arial" w:cs="Arial"/>
          <w:b/>
          <w:bCs/>
        </w:rPr>
        <w:t xml:space="preserve">        </w:t>
      </w:r>
      <w:r>
        <w:rPr>
          <w:rFonts w:ascii="Arial" w:hAnsi="Arial" w:cs="Arial"/>
          <w:b/>
          <w:bCs/>
        </w:rPr>
        <w:tab/>
        <w:t xml:space="preserve">     </w:t>
      </w:r>
      <w:r w:rsidRPr="00347FF1">
        <w:rPr>
          <w:rFonts w:ascii="Arial" w:hAnsi="Arial" w:cs="Arial"/>
          <w:b/>
          <w:bCs/>
        </w:rPr>
        <w:t xml:space="preserve">Table </w:t>
      </w:r>
      <w:r>
        <w:rPr>
          <w:rFonts w:ascii="Arial" w:hAnsi="Arial" w:cs="Arial"/>
          <w:b/>
          <w:bCs/>
        </w:rPr>
        <w:t>6</w:t>
      </w:r>
      <w:r w:rsidRPr="00347FF1">
        <w:rPr>
          <w:rFonts w:ascii="Arial" w:hAnsi="Arial" w:cs="Arial"/>
          <w:b/>
          <w:bCs/>
        </w:rPr>
        <w:t xml:space="preserve">: </w:t>
      </w:r>
      <w:r w:rsidRPr="00347FF1">
        <w:rPr>
          <w:rFonts w:ascii="Arial" w:hAnsi="Arial" w:cs="Arial"/>
        </w:rPr>
        <w:t>Court composition by ethnicity</w:t>
      </w:r>
      <w:r>
        <w:rPr>
          <w:rFonts w:ascii="Arial" w:hAnsi="Arial" w:cs="Arial"/>
        </w:rPr>
        <w:t>.</w:t>
      </w:r>
    </w:p>
    <w:p w14:paraId="43B3DC81" w14:textId="77777777" w:rsidR="00A96AA8" w:rsidRPr="00E067A6" w:rsidRDefault="00A96AA8" w:rsidP="00A96AA8">
      <w:pPr>
        <w:pStyle w:val="NormalWeb"/>
        <w:shd w:val="clear" w:color="auto" w:fill="FFFFFF"/>
        <w:spacing w:before="0" w:beforeAutospacing="0" w:after="0" w:afterAutospacing="0" w:line="280" w:lineRule="exact"/>
        <w:rPr>
          <w:rFonts w:ascii="Arial" w:hAnsi="Arial" w:cs="Arial"/>
          <w:b/>
          <w:bCs/>
        </w:rPr>
      </w:pPr>
    </w:p>
    <w:tbl>
      <w:tblPr>
        <w:tblStyle w:val="TableGrid"/>
        <w:tblW w:w="7371" w:type="dxa"/>
        <w:tblInd w:w="1125" w:type="dxa"/>
        <w:tblLook w:val="04A0" w:firstRow="1" w:lastRow="0" w:firstColumn="1" w:lastColumn="0" w:noHBand="0" w:noVBand="1"/>
      </w:tblPr>
      <w:tblGrid>
        <w:gridCol w:w="4820"/>
        <w:gridCol w:w="2551"/>
      </w:tblGrid>
      <w:tr w:rsidR="00A96AA8" w:rsidRPr="00347FF1" w14:paraId="7E868B0D" w14:textId="77777777" w:rsidTr="00AF0A6A">
        <w:tc>
          <w:tcPr>
            <w:tcW w:w="4820" w:type="dxa"/>
          </w:tcPr>
          <w:p w14:paraId="661F2BEF" w14:textId="77777777" w:rsidR="00A96AA8" w:rsidRPr="00347FF1" w:rsidRDefault="00A96AA8" w:rsidP="00AF0A6A">
            <w:pPr>
              <w:pStyle w:val="ListParagraph"/>
              <w:spacing w:line="280" w:lineRule="exact"/>
              <w:ind w:left="0"/>
              <w:rPr>
                <w:rFonts w:ascii="Arial" w:hAnsi="Arial" w:cs="Arial"/>
                <w:b/>
                <w:bCs/>
                <w:sz w:val="24"/>
                <w:szCs w:val="24"/>
                <w:shd w:val="clear" w:color="auto" w:fill="FFFFFF"/>
              </w:rPr>
            </w:pPr>
            <w:r w:rsidRPr="00347FF1">
              <w:rPr>
                <w:rFonts w:ascii="Arial" w:hAnsi="Arial" w:cs="Arial"/>
                <w:b/>
                <w:bCs/>
                <w:sz w:val="24"/>
                <w:szCs w:val="24"/>
                <w:shd w:val="clear" w:color="auto" w:fill="FFFFFF"/>
              </w:rPr>
              <w:t xml:space="preserve">ETHNICITY </w:t>
            </w:r>
          </w:p>
        </w:tc>
        <w:tc>
          <w:tcPr>
            <w:tcW w:w="2551" w:type="dxa"/>
          </w:tcPr>
          <w:p w14:paraId="54E55F51" w14:textId="77777777" w:rsidR="00A96AA8" w:rsidRPr="00347FF1" w:rsidRDefault="00A96AA8" w:rsidP="00AF0A6A">
            <w:pPr>
              <w:pStyle w:val="ListParagraph"/>
              <w:spacing w:line="280" w:lineRule="exact"/>
              <w:ind w:left="0"/>
              <w:rPr>
                <w:rFonts w:ascii="Arial" w:hAnsi="Arial" w:cs="Arial"/>
                <w:b/>
                <w:bCs/>
                <w:sz w:val="24"/>
                <w:szCs w:val="24"/>
                <w:shd w:val="clear" w:color="auto" w:fill="FFFFFF"/>
              </w:rPr>
            </w:pPr>
            <w:r w:rsidRPr="00347FF1">
              <w:rPr>
                <w:rFonts w:ascii="Arial" w:hAnsi="Arial" w:cs="Arial"/>
                <w:b/>
                <w:bCs/>
                <w:sz w:val="24"/>
                <w:szCs w:val="24"/>
                <w:shd w:val="clear" w:color="auto" w:fill="FFFFFF"/>
              </w:rPr>
              <w:t>PERCENTAGE</w:t>
            </w:r>
          </w:p>
        </w:tc>
      </w:tr>
      <w:tr w:rsidR="00A96AA8" w:rsidRPr="00347FF1" w14:paraId="2601B9DF" w14:textId="77777777" w:rsidTr="00AF0A6A">
        <w:tc>
          <w:tcPr>
            <w:tcW w:w="4820" w:type="dxa"/>
          </w:tcPr>
          <w:p w14:paraId="0A916FC1"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White British</w:t>
            </w:r>
          </w:p>
        </w:tc>
        <w:tc>
          <w:tcPr>
            <w:tcW w:w="2551" w:type="dxa"/>
          </w:tcPr>
          <w:p w14:paraId="087906AC"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40%</w:t>
            </w:r>
          </w:p>
        </w:tc>
      </w:tr>
      <w:tr w:rsidR="00A96AA8" w:rsidRPr="00347FF1" w14:paraId="6B6E93DD" w14:textId="77777777" w:rsidTr="00AF0A6A">
        <w:tc>
          <w:tcPr>
            <w:tcW w:w="4820" w:type="dxa"/>
          </w:tcPr>
          <w:p w14:paraId="2B445B22"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White Scottish</w:t>
            </w:r>
          </w:p>
        </w:tc>
        <w:tc>
          <w:tcPr>
            <w:tcW w:w="2551" w:type="dxa"/>
          </w:tcPr>
          <w:p w14:paraId="7868E6E3"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20%</w:t>
            </w:r>
          </w:p>
        </w:tc>
      </w:tr>
      <w:tr w:rsidR="00A96AA8" w:rsidRPr="00347FF1" w14:paraId="5BEAFDF2" w14:textId="77777777" w:rsidTr="00AF0A6A">
        <w:tc>
          <w:tcPr>
            <w:tcW w:w="4820" w:type="dxa"/>
          </w:tcPr>
          <w:p w14:paraId="0C2B79CD"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White Background</w:t>
            </w:r>
          </w:p>
        </w:tc>
        <w:tc>
          <w:tcPr>
            <w:tcW w:w="2551" w:type="dxa"/>
          </w:tcPr>
          <w:p w14:paraId="7AEC7254"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A96AA8" w:rsidRPr="00347FF1" w14:paraId="54813B79" w14:textId="77777777" w:rsidTr="00AF0A6A">
        <w:tc>
          <w:tcPr>
            <w:tcW w:w="4820" w:type="dxa"/>
          </w:tcPr>
          <w:p w14:paraId="611D0973"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Black or Black British - Caribbean</w:t>
            </w:r>
          </w:p>
        </w:tc>
        <w:tc>
          <w:tcPr>
            <w:tcW w:w="2551" w:type="dxa"/>
          </w:tcPr>
          <w:p w14:paraId="32006721"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w:t>
            </w:r>
          </w:p>
        </w:tc>
      </w:tr>
      <w:tr w:rsidR="00A96AA8" w:rsidRPr="00347FF1" w14:paraId="5CC05A63" w14:textId="77777777" w:rsidTr="00AF0A6A">
        <w:tc>
          <w:tcPr>
            <w:tcW w:w="4820" w:type="dxa"/>
          </w:tcPr>
          <w:p w14:paraId="7CD36CAA"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Black or Black British - African</w:t>
            </w:r>
          </w:p>
        </w:tc>
        <w:tc>
          <w:tcPr>
            <w:tcW w:w="2551" w:type="dxa"/>
          </w:tcPr>
          <w:p w14:paraId="55FCC28C"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A96AA8" w:rsidRPr="00347FF1" w14:paraId="27747CBB" w14:textId="77777777" w:rsidTr="00AF0A6A">
        <w:tc>
          <w:tcPr>
            <w:tcW w:w="4820" w:type="dxa"/>
          </w:tcPr>
          <w:p w14:paraId="5A586686"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Black Background</w:t>
            </w:r>
          </w:p>
        </w:tc>
        <w:tc>
          <w:tcPr>
            <w:tcW w:w="2551" w:type="dxa"/>
          </w:tcPr>
          <w:p w14:paraId="0C62055D"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0%</w:t>
            </w:r>
          </w:p>
        </w:tc>
      </w:tr>
      <w:tr w:rsidR="00A96AA8" w:rsidRPr="00347FF1" w14:paraId="02303FD3" w14:textId="77777777" w:rsidTr="00AF0A6A">
        <w:tc>
          <w:tcPr>
            <w:tcW w:w="4820" w:type="dxa"/>
          </w:tcPr>
          <w:p w14:paraId="3AE1D166"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Other Mixed Background</w:t>
            </w:r>
          </w:p>
        </w:tc>
        <w:tc>
          <w:tcPr>
            <w:tcW w:w="2551" w:type="dxa"/>
          </w:tcPr>
          <w:p w14:paraId="042B0A21"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4%</w:t>
            </w:r>
          </w:p>
        </w:tc>
      </w:tr>
      <w:tr w:rsidR="00A96AA8" w:rsidRPr="00347FF1" w14:paraId="43A0BB3F" w14:textId="77777777" w:rsidTr="00AF0A6A">
        <w:tc>
          <w:tcPr>
            <w:tcW w:w="4820" w:type="dxa"/>
          </w:tcPr>
          <w:p w14:paraId="100D3F19"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Not known</w:t>
            </w:r>
          </w:p>
        </w:tc>
        <w:tc>
          <w:tcPr>
            <w:tcW w:w="2551" w:type="dxa"/>
          </w:tcPr>
          <w:p w14:paraId="673A5376"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r w:rsidR="00A96AA8" w:rsidRPr="00347FF1" w14:paraId="7BAD515C" w14:textId="77777777" w:rsidTr="00AF0A6A">
        <w:tc>
          <w:tcPr>
            <w:tcW w:w="4820" w:type="dxa"/>
          </w:tcPr>
          <w:p w14:paraId="083C3083"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Prefer not to disclose</w:t>
            </w:r>
          </w:p>
        </w:tc>
        <w:tc>
          <w:tcPr>
            <w:tcW w:w="2551" w:type="dxa"/>
          </w:tcPr>
          <w:p w14:paraId="081DD627" w14:textId="77777777" w:rsidR="00A96AA8" w:rsidRPr="00347FF1" w:rsidRDefault="00A96AA8" w:rsidP="00AF0A6A">
            <w:pPr>
              <w:pStyle w:val="ListParagraph"/>
              <w:spacing w:line="280" w:lineRule="exact"/>
              <w:ind w:left="0"/>
              <w:rPr>
                <w:rFonts w:ascii="Arial" w:hAnsi="Arial" w:cs="Arial"/>
                <w:sz w:val="24"/>
                <w:szCs w:val="24"/>
                <w:shd w:val="clear" w:color="auto" w:fill="FFFFFF"/>
              </w:rPr>
            </w:pPr>
            <w:r w:rsidRPr="00347FF1">
              <w:rPr>
                <w:rFonts w:ascii="Arial" w:hAnsi="Arial" w:cs="Arial"/>
                <w:sz w:val="24"/>
                <w:szCs w:val="24"/>
                <w:shd w:val="clear" w:color="auto" w:fill="FFFFFF"/>
              </w:rPr>
              <w:t>8%</w:t>
            </w:r>
          </w:p>
        </w:tc>
      </w:tr>
    </w:tbl>
    <w:p w14:paraId="4317234B" w14:textId="77777777" w:rsidR="00A96AA8" w:rsidRDefault="00A96AA8" w:rsidP="00A96AA8">
      <w:pPr>
        <w:rPr>
          <w:rFonts w:ascii="Arial" w:hAnsi="Arial" w:cs="Arial"/>
          <w:b/>
          <w:bCs/>
          <w:color w:val="0070C0"/>
          <w:sz w:val="24"/>
          <w:szCs w:val="24"/>
        </w:rPr>
      </w:pPr>
    </w:p>
    <w:p w14:paraId="69B1CB3C" w14:textId="77777777" w:rsidR="00A96AA8" w:rsidRDefault="00A96AA8" w:rsidP="00A96AA8">
      <w:pPr>
        <w:jc w:val="both"/>
        <w:rPr>
          <w:rFonts w:ascii="Arial" w:hAnsi="Arial" w:cs="Arial"/>
          <w:sz w:val="24"/>
          <w:szCs w:val="24"/>
        </w:rPr>
      </w:pPr>
      <w:r>
        <w:rPr>
          <w:rFonts w:ascii="Arial" w:hAnsi="Arial" w:cs="Arial"/>
          <w:b/>
          <w:bCs/>
          <w:sz w:val="24"/>
          <w:szCs w:val="24"/>
        </w:rPr>
        <w:t xml:space="preserve">Action </w:t>
      </w:r>
      <w:r w:rsidRPr="006F2E6B">
        <w:rPr>
          <w:rFonts w:ascii="Arial" w:hAnsi="Arial" w:cs="Arial"/>
          <w:b/>
          <w:bCs/>
          <w:sz w:val="24"/>
          <w:szCs w:val="24"/>
        </w:rPr>
        <w:t>3</w:t>
      </w:r>
      <w:r>
        <w:rPr>
          <w:rFonts w:ascii="Arial" w:hAnsi="Arial" w:cs="Arial"/>
          <w:b/>
          <w:bCs/>
          <w:sz w:val="24"/>
          <w:szCs w:val="24"/>
        </w:rPr>
        <w:t>2</w:t>
      </w:r>
      <w:r w:rsidRPr="006F2E6B">
        <w:rPr>
          <w:rFonts w:ascii="Arial" w:hAnsi="Arial" w:cs="Arial"/>
          <w:b/>
          <w:bCs/>
          <w:sz w:val="24"/>
          <w:szCs w:val="24"/>
        </w:rPr>
        <w:t xml:space="preserve"> (outcome 9):</w:t>
      </w:r>
      <w:r w:rsidRPr="006F2E6B">
        <w:rPr>
          <w:rFonts w:ascii="Arial" w:hAnsi="Arial" w:cs="Arial"/>
          <w:sz w:val="24"/>
          <w:szCs w:val="24"/>
        </w:rPr>
        <w:t xml:space="preserve"> We will continue to monitor and take proactive steps to ensure</w:t>
      </w:r>
      <w:r>
        <w:rPr>
          <w:rFonts w:ascii="Arial" w:hAnsi="Arial" w:cs="Arial"/>
          <w:sz w:val="24"/>
          <w:szCs w:val="24"/>
        </w:rPr>
        <w:t xml:space="preserve"> racial and gender</w:t>
      </w:r>
      <w:r w:rsidRPr="006F2E6B">
        <w:rPr>
          <w:rFonts w:ascii="Arial" w:hAnsi="Arial" w:cs="Arial"/>
          <w:sz w:val="24"/>
          <w:szCs w:val="24"/>
        </w:rPr>
        <w:t xml:space="preserve"> diversity </w:t>
      </w:r>
      <w:r>
        <w:rPr>
          <w:rFonts w:ascii="Arial" w:hAnsi="Arial" w:cs="Arial"/>
          <w:sz w:val="24"/>
          <w:szCs w:val="24"/>
        </w:rPr>
        <w:t xml:space="preserve">of </w:t>
      </w:r>
      <w:r w:rsidRPr="006F2E6B">
        <w:rPr>
          <w:rFonts w:ascii="Arial" w:hAnsi="Arial" w:cs="Arial"/>
          <w:sz w:val="24"/>
          <w:szCs w:val="24"/>
        </w:rPr>
        <w:t xml:space="preserve">our </w:t>
      </w:r>
      <w:proofErr w:type="gramStart"/>
      <w:r w:rsidRPr="006F2E6B">
        <w:rPr>
          <w:rFonts w:ascii="Arial" w:hAnsi="Arial" w:cs="Arial"/>
          <w:sz w:val="24"/>
          <w:szCs w:val="24"/>
        </w:rPr>
        <w:t>University</w:t>
      </w:r>
      <w:proofErr w:type="gramEnd"/>
      <w:r w:rsidRPr="006F2E6B">
        <w:rPr>
          <w:rFonts w:ascii="Arial" w:hAnsi="Arial" w:cs="Arial"/>
          <w:sz w:val="24"/>
          <w:szCs w:val="24"/>
        </w:rPr>
        <w:t xml:space="preserve"> and local decision-making committees</w:t>
      </w:r>
    </w:p>
    <w:p w14:paraId="64CEB894" w14:textId="77777777" w:rsidR="00A96AA8" w:rsidRPr="000E3A01" w:rsidRDefault="00A96AA8" w:rsidP="00A96AA8">
      <w:pPr>
        <w:jc w:val="both"/>
        <w:rPr>
          <w:rFonts w:ascii="Arial" w:hAnsi="Arial" w:cs="Arial"/>
          <w:sz w:val="24"/>
          <w:szCs w:val="24"/>
        </w:rPr>
      </w:pPr>
    </w:p>
    <w:p w14:paraId="5FEE4F87" w14:textId="77777777" w:rsidR="00D6164C" w:rsidRDefault="00D6164C"/>
    <w:sectPr w:rsidR="00D61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A8"/>
    <w:rsid w:val="002C1CD8"/>
    <w:rsid w:val="00606A80"/>
    <w:rsid w:val="00A96AA8"/>
    <w:rsid w:val="00D6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DF61"/>
  <w15:chartTrackingRefBased/>
  <w15:docId w15:val="{BB304957-3F77-43DD-BBD2-465D7D64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A8"/>
    <w:rPr>
      <w:kern w:val="0"/>
    </w:rPr>
  </w:style>
  <w:style w:type="paragraph" w:styleId="Heading1">
    <w:name w:val="heading 1"/>
    <w:basedOn w:val="Normal"/>
    <w:next w:val="Normal"/>
    <w:link w:val="Heading1Char"/>
    <w:uiPriority w:val="9"/>
    <w:qFormat/>
    <w:rsid w:val="00A96A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A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A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A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A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A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A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A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6A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6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A8"/>
    <w:rPr>
      <w:rFonts w:eastAsiaTheme="majorEastAsia" w:cstheme="majorBidi"/>
      <w:color w:val="272727" w:themeColor="text1" w:themeTint="D8"/>
    </w:rPr>
  </w:style>
  <w:style w:type="paragraph" w:styleId="Title">
    <w:name w:val="Title"/>
    <w:basedOn w:val="Normal"/>
    <w:next w:val="Normal"/>
    <w:link w:val="TitleChar"/>
    <w:uiPriority w:val="10"/>
    <w:qFormat/>
    <w:rsid w:val="00A96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A8"/>
    <w:pPr>
      <w:spacing w:before="160"/>
      <w:jc w:val="center"/>
    </w:pPr>
    <w:rPr>
      <w:i/>
      <w:iCs/>
      <w:color w:val="404040" w:themeColor="text1" w:themeTint="BF"/>
    </w:rPr>
  </w:style>
  <w:style w:type="character" w:customStyle="1" w:styleId="QuoteChar">
    <w:name w:val="Quote Char"/>
    <w:basedOn w:val="DefaultParagraphFont"/>
    <w:link w:val="Quote"/>
    <w:uiPriority w:val="29"/>
    <w:rsid w:val="00A96AA8"/>
    <w:rPr>
      <w:i/>
      <w:iCs/>
      <w:color w:val="404040" w:themeColor="text1" w:themeTint="BF"/>
    </w:rPr>
  </w:style>
  <w:style w:type="paragraph" w:styleId="ListParagraph">
    <w:name w:val="List Paragraph"/>
    <w:aliases w:val="Bulleted,First level"/>
    <w:basedOn w:val="Normal"/>
    <w:link w:val="ListParagraphChar"/>
    <w:uiPriority w:val="34"/>
    <w:qFormat/>
    <w:rsid w:val="00A96AA8"/>
    <w:pPr>
      <w:ind w:left="720"/>
      <w:contextualSpacing/>
    </w:pPr>
  </w:style>
  <w:style w:type="character" w:styleId="IntenseEmphasis">
    <w:name w:val="Intense Emphasis"/>
    <w:basedOn w:val="DefaultParagraphFont"/>
    <w:uiPriority w:val="21"/>
    <w:qFormat/>
    <w:rsid w:val="00A96AA8"/>
    <w:rPr>
      <w:i/>
      <w:iCs/>
      <w:color w:val="2F5496" w:themeColor="accent1" w:themeShade="BF"/>
    </w:rPr>
  </w:style>
  <w:style w:type="paragraph" w:styleId="IntenseQuote">
    <w:name w:val="Intense Quote"/>
    <w:basedOn w:val="Normal"/>
    <w:next w:val="Normal"/>
    <w:link w:val="IntenseQuoteChar"/>
    <w:uiPriority w:val="30"/>
    <w:qFormat/>
    <w:rsid w:val="00A96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AA8"/>
    <w:rPr>
      <w:i/>
      <w:iCs/>
      <w:color w:val="2F5496" w:themeColor="accent1" w:themeShade="BF"/>
    </w:rPr>
  </w:style>
  <w:style w:type="character" w:styleId="IntenseReference">
    <w:name w:val="Intense Reference"/>
    <w:basedOn w:val="DefaultParagraphFont"/>
    <w:uiPriority w:val="32"/>
    <w:qFormat/>
    <w:rsid w:val="00A96AA8"/>
    <w:rPr>
      <w:b/>
      <w:bCs/>
      <w:smallCaps/>
      <w:color w:val="2F5496" w:themeColor="accent1" w:themeShade="BF"/>
      <w:spacing w:val="5"/>
    </w:rPr>
  </w:style>
  <w:style w:type="paragraph" w:styleId="NormalWeb">
    <w:name w:val="Normal (Web)"/>
    <w:basedOn w:val="Normal"/>
    <w:uiPriority w:val="99"/>
    <w:unhideWhenUsed/>
    <w:rsid w:val="00A96AA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96AA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Char,First level Char"/>
    <w:basedOn w:val="DefaultParagraphFont"/>
    <w:link w:val="ListParagraph"/>
    <w:uiPriority w:val="34"/>
    <w:locked/>
    <w:rsid w:val="00A9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797</Words>
  <Characters>4548</Characters>
  <Application>Microsoft Office Word</Application>
  <DocSecurity>0</DocSecurity>
  <Lines>37</Lines>
  <Paragraphs>10</Paragraphs>
  <ScaleCrop>false</ScaleCrop>
  <Company>University of Aberdeen</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Cascio, Maria G</dc:creator>
  <cp:keywords/>
  <dc:description/>
  <cp:lastModifiedBy>Cascio, Maria G</cp:lastModifiedBy>
  <cp:revision>1</cp:revision>
  <dcterms:created xsi:type="dcterms:W3CDTF">2025-04-16T14:23:00Z</dcterms:created>
  <dcterms:modified xsi:type="dcterms:W3CDTF">2025-04-16T14:27:00Z</dcterms:modified>
</cp:coreProperties>
</file>