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2542" w14:textId="1EB9B5FE" w:rsidR="004F36E1" w:rsidRPr="006255AE" w:rsidRDefault="004F36E1" w:rsidP="00F247B0">
      <w:pPr>
        <w:rPr>
          <w:rFonts w:ascii="Times New Roman" w:hAnsi="Times New Roman" w:cs="Times New Roman"/>
          <w:b/>
          <w:bCs/>
          <w:sz w:val="22"/>
          <w:szCs w:val="22"/>
        </w:rPr>
      </w:pPr>
      <w:r w:rsidRPr="006255AE">
        <w:rPr>
          <w:rFonts w:ascii="Times New Roman" w:hAnsi="Times New Roman" w:cs="Times New Roman"/>
          <w:b/>
          <w:bCs/>
          <w:sz w:val="22"/>
          <w:szCs w:val="22"/>
        </w:rPr>
        <w:t xml:space="preserve">Back-to-Office Report: </w:t>
      </w:r>
      <w:r w:rsidR="00AE5116" w:rsidRPr="006255AE">
        <w:rPr>
          <w:rFonts w:ascii="Times New Roman" w:hAnsi="Times New Roman" w:cs="Times New Roman"/>
          <w:b/>
          <w:bCs/>
          <w:sz w:val="22"/>
          <w:szCs w:val="22"/>
        </w:rPr>
        <w:t xml:space="preserve">Seedling </w:t>
      </w:r>
      <w:r w:rsidR="00F94496" w:rsidRPr="006255AE">
        <w:rPr>
          <w:rFonts w:ascii="Times New Roman" w:hAnsi="Times New Roman" w:cs="Times New Roman"/>
          <w:b/>
          <w:bCs/>
          <w:sz w:val="22"/>
          <w:szCs w:val="22"/>
        </w:rPr>
        <w:t xml:space="preserve">germination rate and </w:t>
      </w:r>
      <w:r w:rsidR="00AE5116" w:rsidRPr="006255AE">
        <w:rPr>
          <w:rFonts w:ascii="Times New Roman" w:hAnsi="Times New Roman" w:cs="Times New Roman"/>
          <w:b/>
          <w:bCs/>
          <w:sz w:val="22"/>
          <w:szCs w:val="22"/>
        </w:rPr>
        <w:t xml:space="preserve">performance of </w:t>
      </w:r>
      <w:r w:rsidR="00CD440E" w:rsidRPr="006255AE">
        <w:rPr>
          <w:rFonts w:ascii="Times New Roman" w:hAnsi="Times New Roman" w:cs="Times New Roman"/>
          <w:b/>
          <w:bCs/>
          <w:i/>
          <w:iCs/>
          <w:sz w:val="22"/>
          <w:szCs w:val="22"/>
        </w:rPr>
        <w:t xml:space="preserve">Albizia </w:t>
      </w:r>
      <w:proofErr w:type="spellStart"/>
      <w:r w:rsidR="00CD440E" w:rsidRPr="006255AE">
        <w:rPr>
          <w:rFonts w:ascii="Times New Roman" w:hAnsi="Times New Roman" w:cs="Times New Roman"/>
          <w:b/>
          <w:bCs/>
          <w:i/>
          <w:iCs/>
          <w:sz w:val="22"/>
          <w:szCs w:val="22"/>
        </w:rPr>
        <w:t>schimperiana</w:t>
      </w:r>
      <w:proofErr w:type="spellEnd"/>
      <w:r w:rsidR="00CD440E" w:rsidRPr="006255AE">
        <w:rPr>
          <w:rFonts w:ascii="Times New Roman" w:hAnsi="Times New Roman" w:cs="Times New Roman"/>
          <w:sz w:val="22"/>
          <w:szCs w:val="22"/>
        </w:rPr>
        <w:t xml:space="preserve"> </w:t>
      </w:r>
      <w:r w:rsidR="00AE5116" w:rsidRPr="006255AE">
        <w:rPr>
          <w:rFonts w:ascii="Times New Roman" w:hAnsi="Times New Roman" w:cs="Times New Roman"/>
          <w:b/>
          <w:bCs/>
          <w:sz w:val="22"/>
          <w:szCs w:val="22"/>
        </w:rPr>
        <w:t>under different seed treatment</w:t>
      </w:r>
      <w:r w:rsidR="009B612D" w:rsidRPr="006255AE">
        <w:rPr>
          <w:rFonts w:ascii="Times New Roman" w:hAnsi="Times New Roman" w:cs="Times New Roman"/>
          <w:b/>
          <w:bCs/>
          <w:sz w:val="22"/>
          <w:szCs w:val="22"/>
        </w:rPr>
        <w:t>s</w:t>
      </w:r>
      <w:r w:rsidR="00AE5116" w:rsidRPr="006255AE">
        <w:rPr>
          <w:rFonts w:ascii="Times New Roman" w:hAnsi="Times New Roman" w:cs="Times New Roman"/>
          <w:b/>
          <w:bCs/>
          <w:sz w:val="22"/>
          <w:szCs w:val="22"/>
        </w:rPr>
        <w:t xml:space="preserve"> in </w:t>
      </w:r>
      <w:r w:rsidR="009B612D" w:rsidRPr="006255AE">
        <w:rPr>
          <w:rFonts w:ascii="Times New Roman" w:hAnsi="Times New Roman" w:cs="Times New Roman"/>
          <w:b/>
          <w:bCs/>
          <w:sz w:val="22"/>
          <w:szCs w:val="22"/>
        </w:rPr>
        <w:t xml:space="preserve">the </w:t>
      </w:r>
      <w:proofErr w:type="spellStart"/>
      <w:r w:rsidR="00AE5116" w:rsidRPr="006255AE">
        <w:rPr>
          <w:rFonts w:ascii="Times New Roman" w:hAnsi="Times New Roman" w:cs="Times New Roman"/>
          <w:b/>
          <w:bCs/>
          <w:sz w:val="22"/>
          <w:szCs w:val="22"/>
        </w:rPr>
        <w:t>Bilate</w:t>
      </w:r>
      <w:proofErr w:type="spellEnd"/>
      <w:r w:rsidR="00AE5116" w:rsidRPr="006255AE">
        <w:rPr>
          <w:rFonts w:ascii="Times New Roman" w:hAnsi="Times New Roman" w:cs="Times New Roman"/>
          <w:b/>
          <w:bCs/>
          <w:sz w:val="22"/>
          <w:szCs w:val="22"/>
        </w:rPr>
        <w:t xml:space="preserve"> </w:t>
      </w:r>
      <w:r w:rsidR="000F7EAF" w:rsidRPr="006255AE">
        <w:rPr>
          <w:rFonts w:ascii="Times New Roman" w:hAnsi="Times New Roman" w:cs="Times New Roman"/>
          <w:b/>
          <w:bCs/>
          <w:sz w:val="22"/>
          <w:szCs w:val="22"/>
        </w:rPr>
        <w:t>catchment</w:t>
      </w:r>
    </w:p>
    <w:p w14:paraId="7B787D1D" w14:textId="19A11A24" w:rsidR="003A5B63" w:rsidRPr="006255AE" w:rsidRDefault="003A5B63" w:rsidP="00F247B0">
      <w:pPr>
        <w:rPr>
          <w:rFonts w:ascii="Times New Roman" w:hAnsi="Times New Roman" w:cs="Times New Roman"/>
          <w:i/>
          <w:iCs/>
          <w:sz w:val="22"/>
          <w:szCs w:val="22"/>
        </w:rPr>
      </w:pPr>
      <w:r w:rsidRPr="006255AE">
        <w:rPr>
          <w:rFonts w:ascii="Times New Roman" w:hAnsi="Times New Roman" w:cs="Times New Roman"/>
          <w:i/>
          <w:iCs/>
          <w:sz w:val="22"/>
          <w:szCs w:val="22"/>
        </w:rPr>
        <w:t>CROSSROADS team members</w:t>
      </w:r>
    </w:p>
    <w:p w14:paraId="2C3D47D8" w14:textId="2E8A25A0" w:rsidR="004F36E1" w:rsidRPr="006255AE" w:rsidRDefault="004F36E1" w:rsidP="00F247B0">
      <w:pPr>
        <w:rPr>
          <w:rFonts w:ascii="Times New Roman" w:hAnsi="Times New Roman" w:cs="Times New Roman"/>
          <w:b/>
          <w:bCs/>
          <w:kern w:val="0"/>
          <w:sz w:val="22"/>
          <w:szCs w:val="22"/>
        </w:rPr>
      </w:pPr>
      <w:r w:rsidRPr="006255AE">
        <w:rPr>
          <w:rFonts w:ascii="Times New Roman" w:hAnsi="Times New Roman" w:cs="Times New Roman"/>
          <w:b/>
          <w:bCs/>
          <w:kern w:val="0"/>
          <w:sz w:val="22"/>
          <w:szCs w:val="22"/>
        </w:rPr>
        <w:t>1. Introduction</w:t>
      </w:r>
    </w:p>
    <w:p w14:paraId="098AC688" w14:textId="1F02F576" w:rsidR="00D24C8D" w:rsidRPr="006255AE" w:rsidRDefault="00F211BE" w:rsidP="00F247B0">
      <w:pPr>
        <w:rPr>
          <w:rFonts w:ascii="Times New Roman" w:hAnsi="Times New Roman" w:cs="Times New Roman"/>
          <w:kern w:val="0"/>
          <w:sz w:val="22"/>
          <w:szCs w:val="22"/>
        </w:rPr>
      </w:pPr>
      <w:r w:rsidRPr="006255AE">
        <w:rPr>
          <w:rFonts w:ascii="Times New Roman" w:hAnsi="Times New Roman" w:cs="Times New Roman"/>
          <w:kern w:val="0"/>
          <w:sz w:val="22"/>
          <w:szCs w:val="22"/>
        </w:rPr>
        <w:t xml:space="preserve">The field </w:t>
      </w:r>
      <w:r w:rsidR="00D24C8D" w:rsidRPr="006255AE">
        <w:rPr>
          <w:rFonts w:ascii="Times New Roman" w:hAnsi="Times New Roman" w:cs="Times New Roman"/>
          <w:kern w:val="0"/>
          <w:sz w:val="22"/>
          <w:szCs w:val="22"/>
        </w:rPr>
        <w:t xml:space="preserve">visit </w:t>
      </w:r>
      <w:r w:rsidR="00BD7495" w:rsidRPr="006255AE">
        <w:rPr>
          <w:rFonts w:ascii="Times New Roman" w:hAnsi="Times New Roman" w:cs="Times New Roman"/>
          <w:kern w:val="0"/>
          <w:sz w:val="22"/>
          <w:szCs w:val="22"/>
        </w:rPr>
        <w:t xml:space="preserve">aimed to assess nursery seedling </w:t>
      </w:r>
      <w:r w:rsidR="00D24C8D" w:rsidRPr="006255AE">
        <w:rPr>
          <w:rFonts w:ascii="Times New Roman" w:hAnsi="Times New Roman" w:cs="Times New Roman"/>
          <w:kern w:val="0"/>
          <w:sz w:val="22"/>
          <w:szCs w:val="22"/>
        </w:rPr>
        <w:t xml:space="preserve">performance </w:t>
      </w:r>
      <w:r w:rsidR="00BD7495" w:rsidRPr="006255AE">
        <w:rPr>
          <w:rFonts w:ascii="Times New Roman" w:hAnsi="Times New Roman" w:cs="Times New Roman"/>
          <w:kern w:val="0"/>
          <w:sz w:val="22"/>
          <w:szCs w:val="22"/>
        </w:rPr>
        <w:t xml:space="preserve">by collecting key growth indicators, including germination rates under different dormancy breaking treatments, seedling height, collar diameter, branch number, and root length, to understand overall seedling growth and quality, </w:t>
      </w:r>
    </w:p>
    <w:p w14:paraId="4DD08EA1" w14:textId="4C2FD801" w:rsidR="000E3285" w:rsidRPr="006255AE" w:rsidRDefault="000E3285" w:rsidP="00BD7495">
      <w:pPr>
        <w:rPr>
          <w:rFonts w:ascii="Times New Roman" w:hAnsi="Times New Roman" w:cs="Times New Roman"/>
          <w:kern w:val="0"/>
          <w:sz w:val="22"/>
          <w:szCs w:val="22"/>
        </w:rPr>
      </w:pPr>
    </w:p>
    <w:p w14:paraId="6D42019C" w14:textId="2840BB4A" w:rsidR="004F36E1" w:rsidRPr="006255AE" w:rsidRDefault="00F75AFC" w:rsidP="00F247B0">
      <w:pPr>
        <w:rPr>
          <w:rFonts w:ascii="Times New Roman" w:hAnsi="Times New Roman" w:cs="Times New Roman"/>
          <w:b/>
          <w:bCs/>
          <w:kern w:val="0"/>
          <w:sz w:val="22"/>
          <w:szCs w:val="22"/>
        </w:rPr>
      </w:pPr>
      <w:r w:rsidRPr="006255AE">
        <w:rPr>
          <w:rFonts w:ascii="Times New Roman" w:hAnsi="Times New Roman" w:cs="Times New Roman"/>
          <w:b/>
          <w:bCs/>
          <w:kern w:val="0"/>
          <w:sz w:val="22"/>
          <w:szCs w:val="22"/>
        </w:rPr>
        <w:t>2</w:t>
      </w:r>
      <w:r w:rsidR="004F36E1" w:rsidRPr="006255AE">
        <w:rPr>
          <w:rFonts w:ascii="Times New Roman" w:hAnsi="Times New Roman" w:cs="Times New Roman"/>
          <w:b/>
          <w:bCs/>
          <w:kern w:val="0"/>
          <w:sz w:val="22"/>
          <w:szCs w:val="22"/>
        </w:rPr>
        <w:t xml:space="preserve">. </w:t>
      </w:r>
      <w:r w:rsidR="00BD7495" w:rsidRPr="006255AE">
        <w:rPr>
          <w:rFonts w:ascii="Times New Roman" w:hAnsi="Times New Roman" w:cs="Times New Roman"/>
          <w:b/>
          <w:bCs/>
          <w:kern w:val="0"/>
          <w:sz w:val="22"/>
          <w:szCs w:val="22"/>
        </w:rPr>
        <w:t xml:space="preserve">Approaches and Date collection </w:t>
      </w:r>
    </w:p>
    <w:p w14:paraId="5DBE7C1C" w14:textId="2B548126" w:rsidR="00BD7495" w:rsidRPr="006255AE" w:rsidRDefault="00F75AFC" w:rsidP="00F410F7">
      <w:pPr>
        <w:jc w:val="both"/>
        <w:rPr>
          <w:rFonts w:ascii="Times New Roman" w:hAnsi="Times New Roman" w:cs="Times New Roman"/>
          <w:kern w:val="0"/>
          <w:sz w:val="22"/>
          <w:szCs w:val="22"/>
        </w:rPr>
      </w:pPr>
      <w:r w:rsidRPr="006255AE">
        <w:rPr>
          <w:rFonts w:ascii="Times New Roman" w:hAnsi="Times New Roman" w:cs="Times New Roman"/>
          <w:kern w:val="0"/>
          <w:sz w:val="22"/>
          <w:szCs w:val="22"/>
        </w:rPr>
        <w:t>Data were collected using a field-based measurement approach to assess seedling performance across key growth indicators. Germination rates were evaluated by comparing seedlings under different seed dormancy-breaking treatments. Seedling height was measured from the soil surface to the top tip, while collar diameter was measured at the stem base to assess thickness. Branch number was counted to indicate leaf development and growth potential, and root length was measured to evaluate below-ground development and resource uptake capacity.</w:t>
      </w:r>
    </w:p>
    <w:p w14:paraId="19ECBC58" w14:textId="77478438" w:rsidR="00F410F7" w:rsidRPr="006255AE" w:rsidRDefault="00F410F7" w:rsidP="00F410F7">
      <w:pPr>
        <w:jc w:val="both"/>
        <w:rPr>
          <w:rFonts w:ascii="Times New Roman" w:hAnsi="Times New Roman" w:cs="Times New Roman"/>
          <w:kern w:val="0"/>
          <w:sz w:val="22"/>
          <w:szCs w:val="22"/>
        </w:rPr>
      </w:pPr>
      <w:r w:rsidRPr="006255AE">
        <w:rPr>
          <w:rFonts w:ascii="Times New Roman" w:hAnsi="Times New Roman" w:cs="Times New Roman"/>
          <w:kern w:val="0"/>
          <w:sz w:val="22"/>
          <w:szCs w:val="22"/>
        </w:rPr>
        <w:t>A graduated meter stick was used to measure seedling height and root length</w:t>
      </w:r>
      <w:r w:rsidR="00F75AFC" w:rsidRPr="006255AE">
        <w:rPr>
          <w:rFonts w:ascii="Times New Roman" w:hAnsi="Times New Roman" w:cs="Times New Roman"/>
          <w:kern w:val="0"/>
          <w:sz w:val="22"/>
          <w:szCs w:val="22"/>
        </w:rPr>
        <w:t xml:space="preserve"> (Figure 1)</w:t>
      </w:r>
      <w:r w:rsidRPr="006255AE">
        <w:rPr>
          <w:rFonts w:ascii="Times New Roman" w:hAnsi="Times New Roman" w:cs="Times New Roman"/>
          <w:kern w:val="0"/>
          <w:sz w:val="22"/>
          <w:szCs w:val="22"/>
        </w:rPr>
        <w:t>, while a vernier caliper was used to measure collar diameter. The vernier caliper consists of a fixed main scale and a sliding vernier scale, enabling precise measurements to a fraction of a millimeter. Growth parameters were recorded to evaluate the effects of different seed treatment methods, namely hot water treatment, scarification, and the control (untreated seeds).</w:t>
      </w:r>
    </w:p>
    <w:p w14:paraId="103EE351" w14:textId="79837381" w:rsidR="000F7EAF" w:rsidRPr="006255AE" w:rsidRDefault="000F7EAF" w:rsidP="000F0BB3">
      <w:pPr>
        <w:spacing w:after="0" w:line="240" w:lineRule="auto"/>
        <w:rPr>
          <w:kern w:val="0"/>
          <w:sz w:val="22"/>
          <w:szCs w:val="22"/>
        </w:rPr>
      </w:pPr>
      <w:r w:rsidRPr="006255AE">
        <w:rPr>
          <w:noProof/>
        </w:rPr>
        <w:drawing>
          <wp:inline distT="0" distB="0" distL="0" distR="0" wp14:anchorId="1CB5803B" wp14:editId="0FAE9125">
            <wp:extent cx="1847850" cy="2463800"/>
            <wp:effectExtent l="0" t="0" r="0" b="0"/>
            <wp:docPr id="1740105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089" cy="2472119"/>
                    </a:xfrm>
                    <a:prstGeom prst="rect">
                      <a:avLst/>
                    </a:prstGeom>
                    <a:noFill/>
                    <a:ln>
                      <a:noFill/>
                    </a:ln>
                  </pic:spPr>
                </pic:pic>
              </a:graphicData>
            </a:graphic>
          </wp:inline>
        </w:drawing>
      </w:r>
      <w:r w:rsidRPr="006255AE">
        <w:rPr>
          <w:rFonts w:ascii="Times New Roman" w:hAnsi="Times New Roman" w:cs="Times New Roman"/>
          <w:kern w:val="0"/>
          <w:sz w:val="22"/>
          <w:szCs w:val="22"/>
        </w:rPr>
        <w:t xml:space="preserve">  </w:t>
      </w:r>
      <w:r w:rsidRPr="006255AE">
        <w:rPr>
          <w:noProof/>
          <w:kern w:val="0"/>
          <w:sz w:val="22"/>
          <w:szCs w:val="22"/>
        </w:rPr>
        <w:drawing>
          <wp:inline distT="0" distB="0" distL="0" distR="0" wp14:anchorId="4BCB176E" wp14:editId="0218E24F">
            <wp:extent cx="1841500" cy="2455334"/>
            <wp:effectExtent l="0" t="0" r="6350" b="2540"/>
            <wp:docPr id="6401392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48166" cy="2464222"/>
                    </a:xfrm>
                    <a:prstGeom prst="rect">
                      <a:avLst/>
                    </a:prstGeom>
                    <a:noFill/>
                    <a:ln>
                      <a:noFill/>
                    </a:ln>
                  </pic:spPr>
                </pic:pic>
              </a:graphicData>
            </a:graphic>
          </wp:inline>
        </w:drawing>
      </w:r>
      <w:r w:rsidRPr="006255AE">
        <w:rPr>
          <w:rFonts w:ascii="Times New Roman" w:hAnsi="Times New Roman" w:cs="Times New Roman"/>
          <w:kern w:val="0"/>
          <w:sz w:val="22"/>
          <w:szCs w:val="22"/>
        </w:rPr>
        <w:t xml:space="preserve">   </w:t>
      </w:r>
      <w:r w:rsidRPr="006255AE">
        <w:rPr>
          <w:noProof/>
          <w:kern w:val="0"/>
          <w:sz w:val="22"/>
          <w:szCs w:val="22"/>
        </w:rPr>
        <w:drawing>
          <wp:inline distT="0" distB="0" distL="0" distR="0" wp14:anchorId="449E841B" wp14:editId="797E6C97">
            <wp:extent cx="1847850" cy="2463799"/>
            <wp:effectExtent l="0" t="0" r="0" b="0"/>
            <wp:docPr id="19868870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9026" cy="2478701"/>
                    </a:xfrm>
                    <a:prstGeom prst="rect">
                      <a:avLst/>
                    </a:prstGeom>
                    <a:noFill/>
                    <a:ln>
                      <a:noFill/>
                    </a:ln>
                  </pic:spPr>
                </pic:pic>
              </a:graphicData>
            </a:graphic>
          </wp:inline>
        </w:drawing>
      </w:r>
    </w:p>
    <w:p w14:paraId="494EC4E1" w14:textId="0B4580B3" w:rsidR="000F7EAF" w:rsidRPr="006255AE" w:rsidRDefault="000F7EAF" w:rsidP="000F7EAF">
      <w:pPr>
        <w:rPr>
          <w:rFonts w:ascii="Times New Roman" w:hAnsi="Times New Roman" w:cs="Times New Roman"/>
          <w:kern w:val="0"/>
          <w:sz w:val="22"/>
          <w:szCs w:val="22"/>
        </w:rPr>
      </w:pPr>
      <w:r w:rsidRPr="006255AE">
        <w:rPr>
          <w:rFonts w:ascii="Times New Roman" w:hAnsi="Times New Roman" w:cs="Times New Roman"/>
          <w:kern w:val="0"/>
          <w:sz w:val="22"/>
          <w:szCs w:val="22"/>
        </w:rPr>
        <w:t xml:space="preserve">Figure 1. Root length measurement at lower </w:t>
      </w:r>
      <w:proofErr w:type="spellStart"/>
      <w:r w:rsidRPr="006255AE">
        <w:rPr>
          <w:rFonts w:ascii="Times New Roman" w:hAnsi="Times New Roman" w:cs="Times New Roman"/>
          <w:kern w:val="0"/>
          <w:sz w:val="22"/>
          <w:szCs w:val="22"/>
        </w:rPr>
        <w:t>Bilate</w:t>
      </w:r>
      <w:proofErr w:type="spellEnd"/>
      <w:r w:rsidRPr="006255AE">
        <w:rPr>
          <w:rFonts w:ascii="Times New Roman" w:hAnsi="Times New Roman" w:cs="Times New Roman"/>
          <w:kern w:val="0"/>
          <w:sz w:val="22"/>
          <w:szCs w:val="22"/>
        </w:rPr>
        <w:t xml:space="preserve"> catchment</w:t>
      </w:r>
    </w:p>
    <w:p w14:paraId="430D1658" w14:textId="565DCF63" w:rsidR="004F36E1" w:rsidRPr="006255AE" w:rsidRDefault="00F75AFC" w:rsidP="000F0BB3">
      <w:pPr>
        <w:spacing w:after="0" w:line="240" w:lineRule="auto"/>
        <w:rPr>
          <w:rFonts w:ascii="Times New Roman" w:hAnsi="Times New Roman" w:cs="Times New Roman"/>
          <w:b/>
          <w:bCs/>
          <w:kern w:val="0"/>
          <w:sz w:val="22"/>
          <w:szCs w:val="22"/>
        </w:rPr>
      </w:pPr>
      <w:r w:rsidRPr="006255AE">
        <w:rPr>
          <w:rFonts w:ascii="Times New Roman" w:hAnsi="Times New Roman" w:cs="Times New Roman"/>
          <w:b/>
          <w:bCs/>
          <w:kern w:val="0"/>
          <w:sz w:val="22"/>
          <w:szCs w:val="22"/>
        </w:rPr>
        <w:t>3</w:t>
      </w:r>
      <w:r w:rsidR="004F36E1" w:rsidRPr="006255AE">
        <w:rPr>
          <w:rFonts w:ascii="Times New Roman" w:hAnsi="Times New Roman" w:cs="Times New Roman"/>
          <w:b/>
          <w:bCs/>
          <w:kern w:val="0"/>
          <w:sz w:val="22"/>
          <w:szCs w:val="22"/>
        </w:rPr>
        <w:t>. Results and Key Findings</w:t>
      </w:r>
    </w:p>
    <w:p w14:paraId="7F78995C" w14:textId="4DFD1143" w:rsidR="001D7322" w:rsidRPr="006255AE" w:rsidRDefault="00CC7351" w:rsidP="00F247B0">
      <w:pPr>
        <w:rPr>
          <w:rFonts w:ascii="Times New Roman" w:hAnsi="Times New Roman" w:cs="Times New Roman"/>
          <w:kern w:val="0"/>
          <w:sz w:val="22"/>
          <w:szCs w:val="22"/>
        </w:rPr>
      </w:pPr>
      <w:r w:rsidRPr="006255AE">
        <w:rPr>
          <w:rFonts w:ascii="Times New Roman" w:hAnsi="Times New Roman" w:cs="Times New Roman"/>
          <w:kern w:val="0"/>
          <w:sz w:val="22"/>
          <w:szCs w:val="22"/>
        </w:rPr>
        <w:t xml:space="preserve">The results revealed that all growth parameters of </w:t>
      </w:r>
      <w:r w:rsidRPr="006255AE">
        <w:rPr>
          <w:rFonts w:ascii="Times New Roman" w:hAnsi="Times New Roman" w:cs="Times New Roman"/>
          <w:i/>
          <w:iCs/>
          <w:kern w:val="0"/>
          <w:sz w:val="22"/>
          <w:szCs w:val="22"/>
        </w:rPr>
        <w:t xml:space="preserve">Albizia </w:t>
      </w:r>
      <w:proofErr w:type="spellStart"/>
      <w:r w:rsidRPr="006255AE">
        <w:rPr>
          <w:rFonts w:ascii="Times New Roman" w:hAnsi="Times New Roman" w:cs="Times New Roman"/>
          <w:i/>
          <w:iCs/>
          <w:kern w:val="0"/>
          <w:sz w:val="22"/>
          <w:szCs w:val="22"/>
        </w:rPr>
        <w:t>schimperiana</w:t>
      </w:r>
      <w:proofErr w:type="spellEnd"/>
      <w:r w:rsidRPr="006255AE">
        <w:rPr>
          <w:rFonts w:ascii="Times New Roman" w:hAnsi="Times New Roman" w:cs="Times New Roman"/>
          <w:kern w:val="0"/>
          <w:sz w:val="22"/>
          <w:szCs w:val="22"/>
        </w:rPr>
        <w:t xml:space="preserve"> were influenced by the different seed pretreatment methods at the middle and lower </w:t>
      </w:r>
      <w:proofErr w:type="spellStart"/>
      <w:r w:rsidRPr="006255AE">
        <w:rPr>
          <w:rFonts w:ascii="Times New Roman" w:hAnsi="Times New Roman" w:cs="Times New Roman"/>
          <w:kern w:val="0"/>
          <w:sz w:val="22"/>
          <w:szCs w:val="22"/>
        </w:rPr>
        <w:t>Bilate</w:t>
      </w:r>
      <w:proofErr w:type="spellEnd"/>
      <w:r w:rsidRPr="006255AE">
        <w:rPr>
          <w:rFonts w:ascii="Times New Roman" w:hAnsi="Times New Roman" w:cs="Times New Roman"/>
          <w:kern w:val="0"/>
          <w:sz w:val="22"/>
          <w:szCs w:val="22"/>
        </w:rPr>
        <w:t xml:space="preserve"> catchments (Figure 2). </w:t>
      </w:r>
      <w:r w:rsidR="001D7322" w:rsidRPr="006255AE">
        <w:rPr>
          <w:rFonts w:ascii="Times New Roman" w:hAnsi="Times New Roman" w:cs="Times New Roman"/>
          <w:kern w:val="0"/>
          <w:sz w:val="22"/>
          <w:szCs w:val="22"/>
        </w:rPr>
        <w:t xml:space="preserve">Hot water treatment (HW) consistently produced the best overall seedling performance across both catchments, showing the highest values for height, collar diameter, branch number, and root length. Scarification (SC) ranked </w:t>
      </w:r>
      <w:r w:rsidR="001D7322" w:rsidRPr="006255AE">
        <w:rPr>
          <w:rFonts w:ascii="Times New Roman" w:hAnsi="Times New Roman" w:cs="Times New Roman"/>
          <w:kern w:val="0"/>
          <w:sz w:val="22"/>
          <w:szCs w:val="22"/>
        </w:rPr>
        <w:lastRenderedPageBreak/>
        <w:t xml:space="preserve">second, improving growth compared to the control but remaining below HW. Control (CT) treatments showed the lowest performance across all indicators. In both Lower (LC) and Middle (MC) </w:t>
      </w:r>
      <w:proofErr w:type="spellStart"/>
      <w:r w:rsidR="001D7322" w:rsidRPr="006255AE">
        <w:rPr>
          <w:rFonts w:ascii="Times New Roman" w:hAnsi="Times New Roman" w:cs="Times New Roman"/>
          <w:kern w:val="0"/>
          <w:sz w:val="22"/>
          <w:szCs w:val="22"/>
        </w:rPr>
        <w:t>Bilate</w:t>
      </w:r>
      <w:proofErr w:type="spellEnd"/>
      <w:r w:rsidR="001D7322" w:rsidRPr="006255AE">
        <w:rPr>
          <w:rFonts w:ascii="Times New Roman" w:hAnsi="Times New Roman" w:cs="Times New Roman"/>
          <w:kern w:val="0"/>
          <w:sz w:val="22"/>
          <w:szCs w:val="22"/>
        </w:rPr>
        <w:t xml:space="preserve"> catchments, similar trends were observed, although MC generally exhibited slightly higher root length and comparable or slightly lower values for other growth parameters compared to LC.</w:t>
      </w:r>
    </w:p>
    <w:p w14:paraId="710D2D5E" w14:textId="75DC7BA3" w:rsidR="00DE051E" w:rsidRPr="006255AE" w:rsidRDefault="00F410F7" w:rsidP="000F0BB3">
      <w:pPr>
        <w:spacing w:after="0" w:line="240" w:lineRule="auto"/>
        <w:rPr>
          <w:rFonts w:ascii="Times New Roman" w:hAnsi="Times New Roman" w:cs="Times New Roman"/>
          <w:kern w:val="0"/>
          <w:sz w:val="22"/>
          <w:szCs w:val="22"/>
        </w:rPr>
      </w:pPr>
      <w:r w:rsidRPr="006255AE">
        <w:rPr>
          <w:noProof/>
        </w:rPr>
        <w:drawing>
          <wp:inline distT="0" distB="0" distL="0" distR="0" wp14:anchorId="26800E2F" wp14:editId="241E975A">
            <wp:extent cx="5597526" cy="3057525"/>
            <wp:effectExtent l="0" t="0" r="3175" b="9525"/>
            <wp:docPr id="532527444" name="Chart 1">
              <a:extLst xmlns:a="http://schemas.openxmlformats.org/drawingml/2006/main">
                <a:ext uri="{FF2B5EF4-FFF2-40B4-BE49-F238E27FC236}">
                  <a16:creationId xmlns:a16="http://schemas.microsoft.com/office/drawing/2014/main" id="{7E8C2635-DFE7-CAF8-66E6-A8943861F2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6255AE">
        <w:rPr>
          <w:rFonts w:ascii="Times New Roman" w:hAnsi="Times New Roman" w:cs="Times New Roman"/>
          <w:noProof/>
          <w:sz w:val="22"/>
          <w:szCs w:val="22"/>
        </w:rPr>
        <w:t xml:space="preserve"> </w:t>
      </w:r>
    </w:p>
    <w:p w14:paraId="3B9C421A" w14:textId="67E9EA12" w:rsidR="00AC17BC" w:rsidRPr="006255AE" w:rsidRDefault="00B74DBE" w:rsidP="00F247B0">
      <w:pPr>
        <w:rPr>
          <w:rFonts w:ascii="Times New Roman" w:hAnsi="Times New Roman" w:cs="Times New Roman"/>
          <w:kern w:val="0"/>
          <w:sz w:val="22"/>
          <w:szCs w:val="22"/>
        </w:rPr>
      </w:pPr>
      <w:r w:rsidRPr="006255AE">
        <w:rPr>
          <w:rFonts w:ascii="Times New Roman" w:hAnsi="Times New Roman" w:cs="Times New Roman"/>
          <w:kern w:val="0"/>
          <w:sz w:val="22"/>
          <w:szCs w:val="22"/>
        </w:rPr>
        <w:t xml:space="preserve">Figure </w:t>
      </w:r>
      <w:r w:rsidR="00F75AFC" w:rsidRPr="006255AE">
        <w:rPr>
          <w:rFonts w:ascii="Times New Roman" w:hAnsi="Times New Roman" w:cs="Times New Roman"/>
          <w:kern w:val="0"/>
          <w:sz w:val="22"/>
          <w:szCs w:val="22"/>
        </w:rPr>
        <w:t>2</w:t>
      </w:r>
      <w:r w:rsidRPr="006255AE">
        <w:rPr>
          <w:rFonts w:ascii="Times New Roman" w:hAnsi="Times New Roman" w:cs="Times New Roman"/>
          <w:kern w:val="0"/>
          <w:sz w:val="22"/>
          <w:szCs w:val="22"/>
        </w:rPr>
        <w:t xml:space="preserve">. Average </w:t>
      </w:r>
      <w:r w:rsidR="00A00057" w:rsidRPr="006255AE">
        <w:rPr>
          <w:rFonts w:ascii="Times New Roman" w:hAnsi="Times New Roman" w:cs="Times New Roman"/>
          <w:kern w:val="0"/>
          <w:sz w:val="22"/>
          <w:szCs w:val="22"/>
        </w:rPr>
        <w:t>values of seedling height, collar diameter, branch number and root length for different pre-sowing seed treatments</w:t>
      </w:r>
      <w:r w:rsidRPr="006255AE">
        <w:rPr>
          <w:rFonts w:ascii="Times New Roman" w:hAnsi="Times New Roman" w:cs="Times New Roman"/>
          <w:kern w:val="0"/>
          <w:sz w:val="22"/>
          <w:szCs w:val="22"/>
        </w:rPr>
        <w:t xml:space="preserve">. </w:t>
      </w:r>
      <w:r w:rsidR="00A00057" w:rsidRPr="006255AE">
        <w:rPr>
          <w:rFonts w:ascii="Times New Roman" w:hAnsi="Times New Roman" w:cs="Times New Roman"/>
          <w:kern w:val="0"/>
          <w:sz w:val="22"/>
          <w:szCs w:val="22"/>
        </w:rPr>
        <w:t xml:space="preserve">HW: Hot water treatment, SC: Scarification, CT: Control, LC: Lower </w:t>
      </w:r>
      <w:proofErr w:type="spellStart"/>
      <w:r w:rsidR="00A00057" w:rsidRPr="006255AE">
        <w:rPr>
          <w:rFonts w:ascii="Times New Roman" w:hAnsi="Times New Roman" w:cs="Times New Roman"/>
          <w:kern w:val="0"/>
          <w:sz w:val="22"/>
          <w:szCs w:val="22"/>
        </w:rPr>
        <w:t>Bilate</w:t>
      </w:r>
      <w:proofErr w:type="spellEnd"/>
      <w:r w:rsidR="00A00057" w:rsidRPr="006255AE">
        <w:rPr>
          <w:rFonts w:ascii="Times New Roman" w:hAnsi="Times New Roman" w:cs="Times New Roman"/>
          <w:kern w:val="0"/>
          <w:sz w:val="22"/>
          <w:szCs w:val="22"/>
        </w:rPr>
        <w:t xml:space="preserve"> catchment, MC: Middle </w:t>
      </w:r>
      <w:proofErr w:type="spellStart"/>
      <w:r w:rsidR="00A00057" w:rsidRPr="006255AE">
        <w:rPr>
          <w:rFonts w:ascii="Times New Roman" w:hAnsi="Times New Roman" w:cs="Times New Roman"/>
          <w:kern w:val="0"/>
          <w:sz w:val="22"/>
          <w:szCs w:val="22"/>
        </w:rPr>
        <w:t>Bilate</w:t>
      </w:r>
      <w:proofErr w:type="spellEnd"/>
      <w:r w:rsidR="00A00057" w:rsidRPr="006255AE">
        <w:rPr>
          <w:rFonts w:ascii="Times New Roman" w:hAnsi="Times New Roman" w:cs="Times New Roman"/>
          <w:kern w:val="0"/>
          <w:sz w:val="22"/>
          <w:szCs w:val="22"/>
        </w:rPr>
        <w:t xml:space="preserve"> catchment. </w:t>
      </w:r>
    </w:p>
    <w:p w14:paraId="0339C844" w14:textId="78AA3FAE" w:rsidR="00F52EEC" w:rsidRPr="006255AE" w:rsidRDefault="00F52EEC" w:rsidP="00F52EEC">
      <w:pPr>
        <w:rPr>
          <w:rFonts w:ascii="Times New Roman" w:hAnsi="Times New Roman" w:cs="Times New Roman"/>
          <w:kern w:val="0"/>
          <w:sz w:val="22"/>
          <w:szCs w:val="22"/>
        </w:rPr>
      </w:pPr>
      <w:r w:rsidRPr="006255AE">
        <w:rPr>
          <w:rFonts w:ascii="Times New Roman" w:hAnsi="Times New Roman" w:cs="Times New Roman"/>
          <w:kern w:val="0"/>
          <w:sz w:val="22"/>
          <w:szCs w:val="22"/>
        </w:rPr>
        <w:t xml:space="preserve">Similarly, Hot water treatment resulted in the highest germination rates in both catchments (29.7% in Lower and 26% in Middle </w:t>
      </w:r>
      <w:proofErr w:type="spellStart"/>
      <w:r w:rsidRPr="006255AE">
        <w:rPr>
          <w:rFonts w:ascii="Times New Roman" w:hAnsi="Times New Roman" w:cs="Times New Roman"/>
          <w:kern w:val="0"/>
          <w:sz w:val="22"/>
          <w:szCs w:val="22"/>
        </w:rPr>
        <w:t>Bilate</w:t>
      </w:r>
      <w:proofErr w:type="spellEnd"/>
      <w:r w:rsidRPr="006255AE">
        <w:rPr>
          <w:rFonts w:ascii="Times New Roman" w:hAnsi="Times New Roman" w:cs="Times New Roman"/>
          <w:kern w:val="0"/>
          <w:sz w:val="22"/>
          <w:szCs w:val="22"/>
        </w:rPr>
        <w:t>), followed by scarification (23.5% and 19%, respectively), while untreated seeds showed the lowest germination (13.7% and 10%)</w:t>
      </w:r>
      <w:r w:rsidR="00FD6EC4" w:rsidRPr="006255AE">
        <w:rPr>
          <w:rFonts w:ascii="Times New Roman" w:hAnsi="Times New Roman" w:cs="Times New Roman"/>
          <w:kern w:val="0"/>
          <w:sz w:val="22"/>
          <w:szCs w:val="22"/>
        </w:rPr>
        <w:t xml:space="preserve"> (Figure 3)</w:t>
      </w:r>
      <w:r w:rsidRPr="006255AE">
        <w:rPr>
          <w:rFonts w:ascii="Times New Roman" w:hAnsi="Times New Roman" w:cs="Times New Roman"/>
          <w:kern w:val="0"/>
          <w:sz w:val="22"/>
          <w:szCs w:val="22"/>
        </w:rPr>
        <w:t>. This pattern was consistent across all growth indicators, where hot water treatment produced the strongest seedling performance, scarification showed moderate improvement, and control treatments performed the poorest.</w:t>
      </w:r>
    </w:p>
    <w:p w14:paraId="5F60EB55" w14:textId="77777777" w:rsidR="00E502DF" w:rsidRPr="006255AE" w:rsidRDefault="00E502DF" w:rsidP="00E502DF">
      <w:pPr>
        <w:spacing w:before="100" w:beforeAutospacing="1" w:after="100" w:afterAutospacing="1" w:line="240" w:lineRule="auto"/>
        <w:rPr>
          <w:rFonts w:ascii="Times New Roman" w:eastAsia="Times New Roman" w:hAnsi="Times New Roman" w:cs="Times New Roman"/>
          <w:kern w:val="0"/>
          <w14:ligatures w14:val="none"/>
        </w:rPr>
      </w:pPr>
      <w:r w:rsidRPr="006255AE">
        <w:rPr>
          <w:rFonts w:ascii="Times New Roman" w:eastAsia="Times New Roman" w:hAnsi="Times New Roman" w:cs="Times New Roman"/>
          <w:noProof/>
          <w:kern w:val="0"/>
          <w14:ligatures w14:val="none"/>
        </w:rPr>
        <w:lastRenderedPageBreak/>
        <w:drawing>
          <wp:inline distT="0" distB="0" distL="0" distR="0" wp14:anchorId="24311198" wp14:editId="282DCD26">
            <wp:extent cx="5537200" cy="332232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7518" cy="3322511"/>
                    </a:xfrm>
                    <a:prstGeom prst="rect">
                      <a:avLst/>
                    </a:prstGeom>
                    <a:noFill/>
                    <a:ln>
                      <a:noFill/>
                    </a:ln>
                  </pic:spPr>
                </pic:pic>
              </a:graphicData>
            </a:graphic>
          </wp:inline>
        </w:drawing>
      </w:r>
    </w:p>
    <w:p w14:paraId="79EF9153" w14:textId="13C59DF7" w:rsidR="001D7322" w:rsidRPr="006255AE" w:rsidRDefault="00E502DF" w:rsidP="00F247B0">
      <w:pPr>
        <w:rPr>
          <w:rFonts w:ascii="Times New Roman" w:hAnsi="Times New Roman" w:cs="Times New Roman"/>
          <w:kern w:val="0"/>
          <w:sz w:val="22"/>
          <w:szCs w:val="22"/>
        </w:rPr>
      </w:pPr>
      <w:r w:rsidRPr="006255AE">
        <w:rPr>
          <w:rFonts w:ascii="Times New Roman" w:hAnsi="Times New Roman" w:cs="Times New Roman"/>
          <w:kern w:val="0"/>
          <w:sz w:val="22"/>
          <w:szCs w:val="22"/>
        </w:rPr>
        <w:t xml:space="preserve">Figure 3. Germination percentage of seeds under different pre-seed treatments in lower and middle </w:t>
      </w:r>
      <w:proofErr w:type="spellStart"/>
      <w:r w:rsidRPr="006255AE">
        <w:rPr>
          <w:rFonts w:ascii="Times New Roman" w:hAnsi="Times New Roman" w:cs="Times New Roman"/>
          <w:kern w:val="0"/>
          <w:sz w:val="22"/>
          <w:szCs w:val="22"/>
        </w:rPr>
        <w:t>Bilate</w:t>
      </w:r>
      <w:proofErr w:type="spellEnd"/>
      <w:r w:rsidRPr="006255AE">
        <w:rPr>
          <w:rFonts w:ascii="Times New Roman" w:hAnsi="Times New Roman" w:cs="Times New Roman"/>
          <w:kern w:val="0"/>
          <w:sz w:val="22"/>
          <w:szCs w:val="22"/>
        </w:rPr>
        <w:t xml:space="preserve"> catchment</w:t>
      </w:r>
    </w:p>
    <w:p w14:paraId="0CF13409" w14:textId="6EA3FD4A" w:rsidR="004F36E1" w:rsidRPr="006255AE" w:rsidRDefault="00844C22" w:rsidP="00F247B0">
      <w:pPr>
        <w:rPr>
          <w:rFonts w:ascii="Times New Roman" w:hAnsi="Times New Roman" w:cs="Times New Roman"/>
          <w:b/>
          <w:bCs/>
          <w:kern w:val="0"/>
          <w:sz w:val="22"/>
          <w:szCs w:val="22"/>
        </w:rPr>
      </w:pPr>
      <w:r w:rsidRPr="006255AE">
        <w:rPr>
          <w:rFonts w:ascii="Times New Roman" w:hAnsi="Times New Roman" w:cs="Times New Roman"/>
          <w:b/>
          <w:bCs/>
          <w:kern w:val="0"/>
          <w:sz w:val="22"/>
          <w:szCs w:val="22"/>
        </w:rPr>
        <w:t xml:space="preserve">4. </w:t>
      </w:r>
      <w:r w:rsidR="004F36E1" w:rsidRPr="006255AE">
        <w:rPr>
          <w:rFonts w:ascii="Times New Roman" w:hAnsi="Times New Roman" w:cs="Times New Roman"/>
          <w:b/>
          <w:bCs/>
          <w:kern w:val="0"/>
          <w:sz w:val="22"/>
          <w:szCs w:val="22"/>
        </w:rPr>
        <w:t>Conclusions</w:t>
      </w:r>
      <w:r w:rsidR="00952B6E" w:rsidRPr="006255AE">
        <w:rPr>
          <w:rFonts w:ascii="Times New Roman" w:hAnsi="Times New Roman" w:cs="Times New Roman"/>
          <w:b/>
          <w:bCs/>
          <w:kern w:val="0"/>
          <w:sz w:val="22"/>
          <w:szCs w:val="22"/>
        </w:rPr>
        <w:t xml:space="preserve"> and </w:t>
      </w:r>
      <w:r w:rsidRPr="006255AE">
        <w:rPr>
          <w:rFonts w:ascii="Times New Roman" w:hAnsi="Times New Roman" w:cs="Times New Roman"/>
          <w:b/>
          <w:bCs/>
          <w:kern w:val="0"/>
          <w:sz w:val="22"/>
          <w:szCs w:val="22"/>
        </w:rPr>
        <w:t>recommendations</w:t>
      </w:r>
    </w:p>
    <w:p w14:paraId="0EB68EAC" w14:textId="18C5DE6E" w:rsidR="005F4BC3" w:rsidRPr="006255AE" w:rsidRDefault="00952B6E" w:rsidP="00952B6E">
      <w:pPr>
        <w:jc w:val="both"/>
        <w:rPr>
          <w:rFonts w:ascii="Times New Roman" w:hAnsi="Times New Roman" w:cs="Times New Roman"/>
          <w:sz w:val="22"/>
          <w:szCs w:val="22"/>
        </w:rPr>
      </w:pPr>
      <w:r w:rsidRPr="006255AE">
        <w:rPr>
          <w:rFonts w:ascii="Times New Roman" w:hAnsi="Times New Roman" w:cs="Times New Roman"/>
          <w:sz w:val="22"/>
          <w:szCs w:val="22"/>
        </w:rPr>
        <w:t xml:space="preserve">Soaking seeds in hot water and mechanically abrading the seed coat (scarification) were found to improve the germination and seedling growth performance of </w:t>
      </w:r>
      <w:r w:rsidRPr="006255AE">
        <w:rPr>
          <w:rFonts w:ascii="Times New Roman" w:hAnsi="Times New Roman" w:cs="Times New Roman"/>
          <w:i/>
          <w:iCs/>
          <w:sz w:val="22"/>
          <w:szCs w:val="22"/>
        </w:rPr>
        <w:t xml:space="preserve">Albizia </w:t>
      </w:r>
      <w:proofErr w:type="spellStart"/>
      <w:r w:rsidRPr="006255AE">
        <w:rPr>
          <w:rFonts w:ascii="Times New Roman" w:hAnsi="Times New Roman" w:cs="Times New Roman"/>
          <w:i/>
          <w:iCs/>
          <w:sz w:val="22"/>
          <w:szCs w:val="22"/>
        </w:rPr>
        <w:t>schimperiana</w:t>
      </w:r>
      <w:proofErr w:type="spellEnd"/>
      <w:r w:rsidRPr="006255AE">
        <w:rPr>
          <w:rFonts w:ascii="Times New Roman" w:hAnsi="Times New Roman" w:cs="Times New Roman"/>
          <w:sz w:val="22"/>
          <w:szCs w:val="22"/>
        </w:rPr>
        <w:t>. However, both seed pretreatment methods resulted in germination percentages below 50%</w:t>
      </w:r>
      <w:r w:rsidR="00435C8F" w:rsidRPr="006255AE">
        <w:rPr>
          <w:rFonts w:ascii="Times New Roman" w:hAnsi="Times New Roman" w:cs="Times New Roman"/>
          <w:sz w:val="22"/>
          <w:szCs w:val="22"/>
        </w:rPr>
        <w:t xml:space="preserve">, indicating potential </w:t>
      </w:r>
      <w:r w:rsidR="00CF21B8" w:rsidRPr="006255AE">
        <w:rPr>
          <w:rFonts w:ascii="Times New Roman" w:hAnsi="Times New Roman" w:cs="Times New Roman"/>
          <w:sz w:val="22"/>
          <w:szCs w:val="22"/>
        </w:rPr>
        <w:t>physiological</w:t>
      </w:r>
      <w:r w:rsidR="00435C8F" w:rsidRPr="006255AE">
        <w:rPr>
          <w:rFonts w:ascii="Times New Roman" w:hAnsi="Times New Roman" w:cs="Times New Roman"/>
          <w:sz w:val="22"/>
          <w:szCs w:val="22"/>
        </w:rPr>
        <w:t xml:space="preserve"> dormancy of the </w:t>
      </w:r>
      <w:r w:rsidR="00150367" w:rsidRPr="006255AE">
        <w:rPr>
          <w:rFonts w:ascii="Times New Roman" w:hAnsi="Times New Roman" w:cs="Times New Roman"/>
          <w:sz w:val="22"/>
          <w:szCs w:val="22"/>
        </w:rPr>
        <w:t>test plant</w:t>
      </w:r>
      <w:r w:rsidRPr="006255AE">
        <w:rPr>
          <w:rFonts w:ascii="Times New Roman" w:hAnsi="Times New Roman" w:cs="Times New Roman"/>
          <w:sz w:val="22"/>
          <w:szCs w:val="22"/>
        </w:rPr>
        <w:t xml:space="preserve">. </w:t>
      </w:r>
      <w:r w:rsidR="00150367" w:rsidRPr="006255AE">
        <w:rPr>
          <w:rFonts w:ascii="Times New Roman" w:hAnsi="Times New Roman" w:cs="Times New Roman"/>
          <w:sz w:val="22"/>
          <w:szCs w:val="22"/>
        </w:rPr>
        <w:t xml:space="preserve">As the two methods used to break seed dormancy mainly break physical dormancy, </w:t>
      </w:r>
      <w:r w:rsidRPr="006255AE">
        <w:rPr>
          <w:rFonts w:ascii="Times New Roman" w:hAnsi="Times New Roman" w:cs="Times New Roman"/>
          <w:sz w:val="22"/>
          <w:szCs w:val="22"/>
        </w:rPr>
        <w:t xml:space="preserve">further research is recommended to </w:t>
      </w:r>
      <w:r w:rsidR="00E40611" w:rsidRPr="006255AE">
        <w:rPr>
          <w:rFonts w:ascii="Times New Roman" w:hAnsi="Times New Roman" w:cs="Times New Roman"/>
          <w:sz w:val="22"/>
          <w:szCs w:val="22"/>
        </w:rPr>
        <w:t xml:space="preserve">verify </w:t>
      </w:r>
      <w:r w:rsidR="00E65349" w:rsidRPr="006255AE">
        <w:rPr>
          <w:rFonts w:ascii="Times New Roman" w:hAnsi="Times New Roman" w:cs="Times New Roman"/>
          <w:sz w:val="22"/>
          <w:szCs w:val="22"/>
        </w:rPr>
        <w:t xml:space="preserve">that </w:t>
      </w:r>
      <w:r w:rsidR="00E40611" w:rsidRPr="006255AE">
        <w:rPr>
          <w:rFonts w:ascii="Times New Roman" w:hAnsi="Times New Roman" w:cs="Times New Roman"/>
          <w:sz w:val="22"/>
          <w:szCs w:val="22"/>
        </w:rPr>
        <w:t xml:space="preserve">the test plant also </w:t>
      </w:r>
      <w:r w:rsidR="00CF21B8" w:rsidRPr="006255AE">
        <w:rPr>
          <w:rFonts w:ascii="Times New Roman" w:hAnsi="Times New Roman" w:cs="Times New Roman"/>
          <w:sz w:val="22"/>
          <w:szCs w:val="22"/>
        </w:rPr>
        <w:t>exhibits physiological</w:t>
      </w:r>
      <w:r w:rsidR="00E40611" w:rsidRPr="006255AE">
        <w:rPr>
          <w:rFonts w:ascii="Times New Roman" w:hAnsi="Times New Roman" w:cs="Times New Roman"/>
          <w:sz w:val="22"/>
          <w:szCs w:val="22"/>
        </w:rPr>
        <w:t xml:space="preserve"> dormancy</w:t>
      </w:r>
      <w:r w:rsidR="00CF21B8" w:rsidRPr="006255AE">
        <w:rPr>
          <w:rFonts w:ascii="Times New Roman" w:hAnsi="Times New Roman" w:cs="Times New Roman"/>
          <w:sz w:val="22"/>
          <w:szCs w:val="22"/>
        </w:rPr>
        <w:t xml:space="preserve">, </w:t>
      </w:r>
      <w:r w:rsidR="00E65349" w:rsidRPr="006255AE">
        <w:rPr>
          <w:rFonts w:ascii="Times New Roman" w:hAnsi="Times New Roman" w:cs="Times New Roman"/>
          <w:sz w:val="22"/>
          <w:szCs w:val="22"/>
        </w:rPr>
        <w:t xml:space="preserve">identify </w:t>
      </w:r>
      <w:r w:rsidR="00CF21B8" w:rsidRPr="006255AE">
        <w:rPr>
          <w:rFonts w:ascii="Times New Roman" w:hAnsi="Times New Roman" w:cs="Times New Roman"/>
          <w:sz w:val="22"/>
          <w:szCs w:val="22"/>
        </w:rPr>
        <w:t xml:space="preserve">additional </w:t>
      </w:r>
      <w:r w:rsidRPr="006255AE">
        <w:rPr>
          <w:rFonts w:ascii="Times New Roman" w:hAnsi="Times New Roman" w:cs="Times New Roman"/>
          <w:sz w:val="22"/>
          <w:szCs w:val="22"/>
        </w:rPr>
        <w:t>pretreatment methods</w:t>
      </w:r>
      <w:r w:rsidR="00CF21B8" w:rsidRPr="006255AE">
        <w:rPr>
          <w:rFonts w:ascii="Times New Roman" w:hAnsi="Times New Roman" w:cs="Times New Roman"/>
          <w:sz w:val="22"/>
          <w:szCs w:val="22"/>
        </w:rPr>
        <w:t>,</w:t>
      </w:r>
      <w:r w:rsidRPr="006255AE">
        <w:rPr>
          <w:rFonts w:ascii="Times New Roman" w:hAnsi="Times New Roman" w:cs="Times New Roman"/>
          <w:sz w:val="22"/>
          <w:szCs w:val="22"/>
        </w:rPr>
        <w:t xml:space="preserve"> and optimize germination conditions to improve the germination percentage of </w:t>
      </w:r>
      <w:r w:rsidRPr="006255AE">
        <w:rPr>
          <w:rFonts w:ascii="Times New Roman" w:hAnsi="Times New Roman" w:cs="Times New Roman"/>
          <w:i/>
          <w:iCs/>
          <w:sz w:val="22"/>
          <w:szCs w:val="22"/>
        </w:rPr>
        <w:t xml:space="preserve">Albizia </w:t>
      </w:r>
      <w:proofErr w:type="spellStart"/>
      <w:r w:rsidRPr="006255AE">
        <w:rPr>
          <w:rFonts w:ascii="Times New Roman" w:hAnsi="Times New Roman" w:cs="Times New Roman"/>
          <w:i/>
          <w:iCs/>
          <w:sz w:val="22"/>
          <w:szCs w:val="22"/>
        </w:rPr>
        <w:t>schimperiana</w:t>
      </w:r>
      <w:proofErr w:type="spellEnd"/>
      <w:r w:rsidRPr="006255AE">
        <w:rPr>
          <w:rFonts w:ascii="Times New Roman" w:hAnsi="Times New Roman" w:cs="Times New Roman"/>
          <w:sz w:val="22"/>
          <w:szCs w:val="22"/>
        </w:rPr>
        <w:t>.</w:t>
      </w:r>
    </w:p>
    <w:p w14:paraId="77EEF832" w14:textId="77777777" w:rsidR="00F247B0" w:rsidRPr="006255AE" w:rsidRDefault="00F247B0" w:rsidP="00F247B0">
      <w:pPr>
        <w:rPr>
          <w:rFonts w:ascii="Times New Roman" w:hAnsi="Times New Roman" w:cs="Times New Roman"/>
          <w:sz w:val="22"/>
          <w:szCs w:val="22"/>
        </w:rPr>
      </w:pPr>
    </w:p>
    <w:sectPr w:rsidR="00F247B0" w:rsidRPr="006255A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172FB" w14:textId="77777777" w:rsidR="000E2F88" w:rsidRDefault="000E2F88" w:rsidP="00760817">
      <w:pPr>
        <w:spacing w:after="0" w:line="240" w:lineRule="auto"/>
      </w:pPr>
      <w:r>
        <w:separator/>
      </w:r>
    </w:p>
  </w:endnote>
  <w:endnote w:type="continuationSeparator" w:id="0">
    <w:p w14:paraId="6A7C7BFA" w14:textId="77777777" w:rsidR="000E2F88" w:rsidRDefault="000E2F88" w:rsidP="00760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927855"/>
      <w:docPartObj>
        <w:docPartGallery w:val="Page Numbers (Bottom of Page)"/>
        <w:docPartUnique/>
      </w:docPartObj>
    </w:sdtPr>
    <w:sdtEndPr>
      <w:rPr>
        <w:noProof/>
      </w:rPr>
    </w:sdtEndPr>
    <w:sdtContent>
      <w:p w14:paraId="2CA90B1E" w14:textId="78C8A727" w:rsidR="00760817" w:rsidRDefault="007608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BB79C2" w14:textId="77777777" w:rsidR="00760817" w:rsidRDefault="00760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DDC67" w14:textId="77777777" w:rsidR="000E2F88" w:rsidRDefault="000E2F88" w:rsidP="00760817">
      <w:pPr>
        <w:spacing w:after="0" w:line="240" w:lineRule="auto"/>
      </w:pPr>
      <w:r>
        <w:separator/>
      </w:r>
    </w:p>
  </w:footnote>
  <w:footnote w:type="continuationSeparator" w:id="0">
    <w:p w14:paraId="62CC6153" w14:textId="77777777" w:rsidR="000E2F88" w:rsidRDefault="000E2F88" w:rsidP="007608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603"/>
    <w:multiLevelType w:val="multilevel"/>
    <w:tmpl w:val="E9F2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E14140"/>
    <w:multiLevelType w:val="multilevel"/>
    <w:tmpl w:val="EA787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D23D9"/>
    <w:multiLevelType w:val="multilevel"/>
    <w:tmpl w:val="D58C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05D92"/>
    <w:multiLevelType w:val="multilevel"/>
    <w:tmpl w:val="E27AF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987B97"/>
    <w:multiLevelType w:val="multilevel"/>
    <w:tmpl w:val="4944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0828F4"/>
    <w:multiLevelType w:val="multilevel"/>
    <w:tmpl w:val="C7406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702987"/>
    <w:multiLevelType w:val="hybridMultilevel"/>
    <w:tmpl w:val="27E25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3B51F3"/>
    <w:multiLevelType w:val="multilevel"/>
    <w:tmpl w:val="460E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D3C0E"/>
    <w:multiLevelType w:val="multilevel"/>
    <w:tmpl w:val="2D268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E2674E"/>
    <w:multiLevelType w:val="multilevel"/>
    <w:tmpl w:val="CA08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561902"/>
    <w:multiLevelType w:val="hybridMultilevel"/>
    <w:tmpl w:val="32A6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E83C1D"/>
    <w:multiLevelType w:val="multilevel"/>
    <w:tmpl w:val="D81A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847D34"/>
    <w:multiLevelType w:val="multilevel"/>
    <w:tmpl w:val="F34A0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7934BA"/>
    <w:multiLevelType w:val="hybridMultilevel"/>
    <w:tmpl w:val="08421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462C32"/>
    <w:multiLevelType w:val="multilevel"/>
    <w:tmpl w:val="5A501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017E0B"/>
    <w:multiLevelType w:val="hybridMultilevel"/>
    <w:tmpl w:val="68BC6712"/>
    <w:lvl w:ilvl="0" w:tplc="F5B2700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25775D"/>
    <w:multiLevelType w:val="multilevel"/>
    <w:tmpl w:val="02E4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AD0B72"/>
    <w:multiLevelType w:val="multilevel"/>
    <w:tmpl w:val="843A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5954679">
    <w:abstractNumId w:val="1"/>
  </w:num>
  <w:num w:numId="2" w16cid:durableId="974677038">
    <w:abstractNumId w:val="7"/>
  </w:num>
  <w:num w:numId="3" w16cid:durableId="2042703549">
    <w:abstractNumId w:val="2"/>
  </w:num>
  <w:num w:numId="4" w16cid:durableId="568271452">
    <w:abstractNumId w:val="8"/>
  </w:num>
  <w:num w:numId="5" w16cid:durableId="128791076">
    <w:abstractNumId w:val="12"/>
  </w:num>
  <w:num w:numId="6" w16cid:durableId="1535344284">
    <w:abstractNumId w:val="11"/>
  </w:num>
  <w:num w:numId="7" w16cid:durableId="1902935536">
    <w:abstractNumId w:val="17"/>
  </w:num>
  <w:num w:numId="8" w16cid:durableId="245576724">
    <w:abstractNumId w:val="5"/>
  </w:num>
  <w:num w:numId="9" w16cid:durableId="762577211">
    <w:abstractNumId w:val="3"/>
  </w:num>
  <w:num w:numId="10" w16cid:durableId="209270783">
    <w:abstractNumId w:val="14"/>
  </w:num>
  <w:num w:numId="11" w16cid:durableId="1788230364">
    <w:abstractNumId w:val="16"/>
  </w:num>
  <w:num w:numId="12" w16cid:durableId="2052001462">
    <w:abstractNumId w:val="9"/>
  </w:num>
  <w:num w:numId="13" w16cid:durableId="310643856">
    <w:abstractNumId w:val="0"/>
  </w:num>
  <w:num w:numId="14" w16cid:durableId="376707027">
    <w:abstractNumId w:val="4"/>
  </w:num>
  <w:num w:numId="15" w16cid:durableId="689915883">
    <w:abstractNumId w:val="10"/>
  </w:num>
  <w:num w:numId="16" w16cid:durableId="1195265384">
    <w:abstractNumId w:val="13"/>
  </w:num>
  <w:num w:numId="17" w16cid:durableId="352348158">
    <w:abstractNumId w:val="15"/>
  </w:num>
  <w:num w:numId="18" w16cid:durableId="1824807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6E1"/>
    <w:rsid w:val="000362A5"/>
    <w:rsid w:val="000418E9"/>
    <w:rsid w:val="000419E9"/>
    <w:rsid w:val="000541E6"/>
    <w:rsid w:val="00083A01"/>
    <w:rsid w:val="00094C1D"/>
    <w:rsid w:val="000B3472"/>
    <w:rsid w:val="000B6AB9"/>
    <w:rsid w:val="000E2F88"/>
    <w:rsid w:val="000E3285"/>
    <w:rsid w:val="000F0BB3"/>
    <w:rsid w:val="000F5104"/>
    <w:rsid w:val="000F7EAF"/>
    <w:rsid w:val="00113372"/>
    <w:rsid w:val="00121DF1"/>
    <w:rsid w:val="001227A6"/>
    <w:rsid w:val="0013028D"/>
    <w:rsid w:val="0014671B"/>
    <w:rsid w:val="00150367"/>
    <w:rsid w:val="0015473D"/>
    <w:rsid w:val="001649D6"/>
    <w:rsid w:val="001653F8"/>
    <w:rsid w:val="00166DF9"/>
    <w:rsid w:val="00184601"/>
    <w:rsid w:val="001A1A03"/>
    <w:rsid w:val="001B7DB7"/>
    <w:rsid w:val="001D7322"/>
    <w:rsid w:val="00211494"/>
    <w:rsid w:val="0023742E"/>
    <w:rsid w:val="0029209D"/>
    <w:rsid w:val="002B2A3C"/>
    <w:rsid w:val="002C24F0"/>
    <w:rsid w:val="002D7DB2"/>
    <w:rsid w:val="00316FD2"/>
    <w:rsid w:val="00321362"/>
    <w:rsid w:val="00347372"/>
    <w:rsid w:val="003828B0"/>
    <w:rsid w:val="00397EC4"/>
    <w:rsid w:val="003A0137"/>
    <w:rsid w:val="003A5B63"/>
    <w:rsid w:val="003B0071"/>
    <w:rsid w:val="003E488A"/>
    <w:rsid w:val="00435C8F"/>
    <w:rsid w:val="00446714"/>
    <w:rsid w:val="00463E89"/>
    <w:rsid w:val="00473454"/>
    <w:rsid w:val="0049398C"/>
    <w:rsid w:val="004959E3"/>
    <w:rsid w:val="00497800"/>
    <w:rsid w:val="004A01C0"/>
    <w:rsid w:val="004C0A36"/>
    <w:rsid w:val="004F36E1"/>
    <w:rsid w:val="005213F1"/>
    <w:rsid w:val="00543083"/>
    <w:rsid w:val="00554147"/>
    <w:rsid w:val="00597B56"/>
    <w:rsid w:val="005A21D2"/>
    <w:rsid w:val="005B434B"/>
    <w:rsid w:val="005D0082"/>
    <w:rsid w:val="005F4BC3"/>
    <w:rsid w:val="00602F1A"/>
    <w:rsid w:val="0061363F"/>
    <w:rsid w:val="006255AE"/>
    <w:rsid w:val="00627B66"/>
    <w:rsid w:val="006724DF"/>
    <w:rsid w:val="00682167"/>
    <w:rsid w:val="00686E94"/>
    <w:rsid w:val="006C2F45"/>
    <w:rsid w:val="006C48C5"/>
    <w:rsid w:val="006C61B2"/>
    <w:rsid w:val="00750D2A"/>
    <w:rsid w:val="00760817"/>
    <w:rsid w:val="0079040F"/>
    <w:rsid w:val="007945C9"/>
    <w:rsid w:val="007A75B8"/>
    <w:rsid w:val="007C39AB"/>
    <w:rsid w:val="007E25C8"/>
    <w:rsid w:val="007F5EA6"/>
    <w:rsid w:val="00816AE7"/>
    <w:rsid w:val="00844C22"/>
    <w:rsid w:val="00847350"/>
    <w:rsid w:val="00855ACF"/>
    <w:rsid w:val="00875233"/>
    <w:rsid w:val="008A7BC0"/>
    <w:rsid w:val="008C22B5"/>
    <w:rsid w:val="008D6DF9"/>
    <w:rsid w:val="0092114A"/>
    <w:rsid w:val="009230F8"/>
    <w:rsid w:val="00937463"/>
    <w:rsid w:val="00940A41"/>
    <w:rsid w:val="0094436E"/>
    <w:rsid w:val="00952B6E"/>
    <w:rsid w:val="009822D5"/>
    <w:rsid w:val="009A3BA4"/>
    <w:rsid w:val="009B612D"/>
    <w:rsid w:val="009D18D5"/>
    <w:rsid w:val="009F65FE"/>
    <w:rsid w:val="00A00057"/>
    <w:rsid w:val="00A322FF"/>
    <w:rsid w:val="00A75354"/>
    <w:rsid w:val="00A84E1F"/>
    <w:rsid w:val="00AB7640"/>
    <w:rsid w:val="00AC17BC"/>
    <w:rsid w:val="00AE5116"/>
    <w:rsid w:val="00B140C7"/>
    <w:rsid w:val="00B23764"/>
    <w:rsid w:val="00B256C3"/>
    <w:rsid w:val="00B273E2"/>
    <w:rsid w:val="00B74DBE"/>
    <w:rsid w:val="00B94A88"/>
    <w:rsid w:val="00BB2EAA"/>
    <w:rsid w:val="00BD7495"/>
    <w:rsid w:val="00C0436F"/>
    <w:rsid w:val="00C154DA"/>
    <w:rsid w:val="00C47E8C"/>
    <w:rsid w:val="00CC7351"/>
    <w:rsid w:val="00CD440E"/>
    <w:rsid w:val="00CD504B"/>
    <w:rsid w:val="00CE08EC"/>
    <w:rsid w:val="00CF21B8"/>
    <w:rsid w:val="00D24C8D"/>
    <w:rsid w:val="00D5440A"/>
    <w:rsid w:val="00D96B5A"/>
    <w:rsid w:val="00DC71C5"/>
    <w:rsid w:val="00DE051E"/>
    <w:rsid w:val="00E32668"/>
    <w:rsid w:val="00E40611"/>
    <w:rsid w:val="00E502DF"/>
    <w:rsid w:val="00E51F39"/>
    <w:rsid w:val="00E65349"/>
    <w:rsid w:val="00E77B72"/>
    <w:rsid w:val="00ED0098"/>
    <w:rsid w:val="00F1692D"/>
    <w:rsid w:val="00F211BE"/>
    <w:rsid w:val="00F247B0"/>
    <w:rsid w:val="00F24C97"/>
    <w:rsid w:val="00F3469C"/>
    <w:rsid w:val="00F373C4"/>
    <w:rsid w:val="00F410F7"/>
    <w:rsid w:val="00F52EEC"/>
    <w:rsid w:val="00F53173"/>
    <w:rsid w:val="00F75AFC"/>
    <w:rsid w:val="00F813BA"/>
    <w:rsid w:val="00F84A1A"/>
    <w:rsid w:val="00F94496"/>
    <w:rsid w:val="00FC32F5"/>
    <w:rsid w:val="00FD6EC4"/>
    <w:rsid w:val="00FF3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D2DF"/>
  <w15:chartTrackingRefBased/>
  <w15:docId w15:val="{C766E9A2-B94E-402E-A588-D175F8612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36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36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36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36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36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36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36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36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36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6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36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36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36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36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36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36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36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36E1"/>
    <w:rPr>
      <w:rFonts w:eastAsiaTheme="majorEastAsia" w:cstheme="majorBidi"/>
      <w:color w:val="272727" w:themeColor="text1" w:themeTint="D8"/>
    </w:rPr>
  </w:style>
  <w:style w:type="paragraph" w:styleId="Title">
    <w:name w:val="Title"/>
    <w:basedOn w:val="Normal"/>
    <w:next w:val="Normal"/>
    <w:link w:val="TitleChar"/>
    <w:uiPriority w:val="10"/>
    <w:qFormat/>
    <w:rsid w:val="004F36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36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36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36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36E1"/>
    <w:pPr>
      <w:spacing w:before="160"/>
      <w:jc w:val="center"/>
    </w:pPr>
    <w:rPr>
      <w:i/>
      <w:iCs/>
      <w:color w:val="404040" w:themeColor="text1" w:themeTint="BF"/>
    </w:rPr>
  </w:style>
  <w:style w:type="character" w:customStyle="1" w:styleId="QuoteChar">
    <w:name w:val="Quote Char"/>
    <w:basedOn w:val="DefaultParagraphFont"/>
    <w:link w:val="Quote"/>
    <w:uiPriority w:val="29"/>
    <w:rsid w:val="004F36E1"/>
    <w:rPr>
      <w:i/>
      <w:iCs/>
      <w:color w:val="404040" w:themeColor="text1" w:themeTint="BF"/>
    </w:rPr>
  </w:style>
  <w:style w:type="paragraph" w:styleId="ListParagraph">
    <w:name w:val="List Paragraph"/>
    <w:basedOn w:val="Normal"/>
    <w:uiPriority w:val="34"/>
    <w:qFormat/>
    <w:rsid w:val="004F36E1"/>
    <w:pPr>
      <w:ind w:left="720"/>
      <w:contextualSpacing/>
    </w:pPr>
  </w:style>
  <w:style w:type="character" w:styleId="IntenseEmphasis">
    <w:name w:val="Intense Emphasis"/>
    <w:basedOn w:val="DefaultParagraphFont"/>
    <w:uiPriority w:val="21"/>
    <w:qFormat/>
    <w:rsid w:val="004F36E1"/>
    <w:rPr>
      <w:i/>
      <w:iCs/>
      <w:color w:val="0F4761" w:themeColor="accent1" w:themeShade="BF"/>
    </w:rPr>
  </w:style>
  <w:style w:type="paragraph" w:styleId="IntenseQuote">
    <w:name w:val="Intense Quote"/>
    <w:basedOn w:val="Normal"/>
    <w:next w:val="Normal"/>
    <w:link w:val="IntenseQuoteChar"/>
    <w:uiPriority w:val="30"/>
    <w:qFormat/>
    <w:rsid w:val="004F36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36E1"/>
    <w:rPr>
      <w:i/>
      <w:iCs/>
      <w:color w:val="0F4761" w:themeColor="accent1" w:themeShade="BF"/>
    </w:rPr>
  </w:style>
  <w:style w:type="character" w:styleId="IntenseReference">
    <w:name w:val="Intense Reference"/>
    <w:basedOn w:val="DefaultParagraphFont"/>
    <w:uiPriority w:val="32"/>
    <w:qFormat/>
    <w:rsid w:val="004F36E1"/>
    <w:rPr>
      <w:b/>
      <w:bCs/>
      <w:smallCaps/>
      <w:color w:val="0F4761" w:themeColor="accent1" w:themeShade="BF"/>
      <w:spacing w:val="5"/>
    </w:rPr>
  </w:style>
  <w:style w:type="table" w:styleId="TableGrid">
    <w:name w:val="Table Grid"/>
    <w:basedOn w:val="TableNormal"/>
    <w:uiPriority w:val="39"/>
    <w:rsid w:val="002C2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959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
    <w:name w:val="Grid Table 5 Dark"/>
    <w:basedOn w:val="TableNormal"/>
    <w:uiPriority w:val="50"/>
    <w:rsid w:val="004959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ccc16d0">
    <w:name w:val="___ccc16d0"/>
    <w:basedOn w:val="Normal"/>
    <w:rsid w:val="003A013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60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817"/>
  </w:style>
  <w:style w:type="paragraph" w:styleId="Footer">
    <w:name w:val="footer"/>
    <w:basedOn w:val="Normal"/>
    <w:link w:val="FooterChar"/>
    <w:uiPriority w:val="99"/>
    <w:unhideWhenUsed/>
    <w:rsid w:val="007608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817"/>
  </w:style>
  <w:style w:type="paragraph" w:styleId="NormalWeb">
    <w:name w:val="Normal (Web)"/>
    <w:basedOn w:val="Normal"/>
    <w:uiPriority w:val="99"/>
    <w:semiHidden/>
    <w:unhideWhenUsed/>
    <w:rsid w:val="000F7EAF"/>
    <w:rPr>
      <w:rFonts w:ascii="Times New Roman" w:hAnsi="Times New Roman" w:cs="Times New Roman"/>
    </w:rPr>
  </w:style>
  <w:style w:type="character" w:styleId="Hyperlink">
    <w:name w:val="Hyperlink"/>
    <w:basedOn w:val="DefaultParagraphFont"/>
    <w:uiPriority w:val="99"/>
    <w:unhideWhenUsed/>
    <w:rsid w:val="00CC7351"/>
    <w:rPr>
      <w:color w:val="467886" w:themeColor="hyperlink"/>
      <w:u w:val="single"/>
    </w:rPr>
  </w:style>
  <w:style w:type="character" w:styleId="UnresolvedMention">
    <w:name w:val="Unresolved Mention"/>
    <w:basedOn w:val="DefaultParagraphFont"/>
    <w:uiPriority w:val="99"/>
    <w:semiHidden/>
    <w:unhideWhenUsed/>
    <w:rsid w:val="00CC7351"/>
    <w:rPr>
      <w:color w:val="605E5C"/>
      <w:shd w:val="clear" w:color="auto" w:fill="E1DFDD"/>
    </w:rPr>
  </w:style>
  <w:style w:type="paragraph" w:styleId="Revision">
    <w:name w:val="Revision"/>
    <w:hidden/>
    <w:uiPriority w:val="99"/>
    <w:semiHidden/>
    <w:rsid w:val="00BD7495"/>
    <w:pPr>
      <w:spacing w:after="0" w:line="240" w:lineRule="auto"/>
    </w:pPr>
  </w:style>
  <w:style w:type="character" w:styleId="CommentReference">
    <w:name w:val="annotation reference"/>
    <w:basedOn w:val="DefaultParagraphFont"/>
    <w:uiPriority w:val="99"/>
    <w:semiHidden/>
    <w:unhideWhenUsed/>
    <w:rsid w:val="00F75AFC"/>
    <w:rPr>
      <w:sz w:val="16"/>
      <w:szCs w:val="16"/>
    </w:rPr>
  </w:style>
  <w:style w:type="paragraph" w:styleId="CommentText">
    <w:name w:val="annotation text"/>
    <w:basedOn w:val="Normal"/>
    <w:link w:val="CommentTextChar"/>
    <w:uiPriority w:val="99"/>
    <w:unhideWhenUsed/>
    <w:rsid w:val="00F75AFC"/>
    <w:pPr>
      <w:spacing w:line="240" w:lineRule="auto"/>
    </w:pPr>
    <w:rPr>
      <w:sz w:val="20"/>
      <w:szCs w:val="20"/>
    </w:rPr>
  </w:style>
  <w:style w:type="character" w:customStyle="1" w:styleId="CommentTextChar">
    <w:name w:val="Comment Text Char"/>
    <w:basedOn w:val="DefaultParagraphFont"/>
    <w:link w:val="CommentText"/>
    <w:uiPriority w:val="99"/>
    <w:rsid w:val="00F75AFC"/>
    <w:rPr>
      <w:sz w:val="20"/>
      <w:szCs w:val="20"/>
    </w:rPr>
  </w:style>
  <w:style w:type="paragraph" w:styleId="CommentSubject">
    <w:name w:val="annotation subject"/>
    <w:basedOn w:val="CommentText"/>
    <w:next w:val="CommentText"/>
    <w:link w:val="CommentSubjectChar"/>
    <w:uiPriority w:val="99"/>
    <w:semiHidden/>
    <w:unhideWhenUsed/>
    <w:rsid w:val="00F75AFC"/>
    <w:rPr>
      <w:b/>
      <w:bCs/>
    </w:rPr>
  </w:style>
  <w:style w:type="character" w:customStyle="1" w:styleId="CommentSubjectChar">
    <w:name w:val="Comment Subject Char"/>
    <w:basedOn w:val="CommentTextChar"/>
    <w:link w:val="CommentSubject"/>
    <w:uiPriority w:val="99"/>
    <w:semiHidden/>
    <w:rsid w:val="00F75A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Durame\CERIAR\External%20Funded%20Projects\UK\CROSSROADS\Demonstration\Nursery%20data\Data%20seedling%20performanc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Graph!$D$3</c:f>
              <c:strCache>
                <c:ptCount val="1"/>
                <c:pt idx="0">
                  <c:v>Seedling hieght (cm)</c:v>
                </c:pt>
              </c:strCache>
            </c:strRef>
          </c:tx>
          <c:spPr>
            <a:solidFill>
              <a:srgbClr val="FFC000"/>
            </a:solidFill>
            <a:ln>
              <a:solidFill>
                <a:schemeClr val="tx1"/>
              </a:solidFill>
            </a:ln>
            <a:effectLst/>
          </c:spPr>
          <c:invertIfNegative val="0"/>
          <c:cat>
            <c:multiLvlStrRef>
              <c:f>Graph!$B$4:$C$9</c:f>
              <c:multiLvlStrCache>
                <c:ptCount val="6"/>
                <c:lvl>
                  <c:pt idx="0">
                    <c:v>HW</c:v>
                  </c:pt>
                  <c:pt idx="1">
                    <c:v>SC</c:v>
                  </c:pt>
                  <c:pt idx="2">
                    <c:v>CT</c:v>
                  </c:pt>
                  <c:pt idx="3">
                    <c:v>HW</c:v>
                  </c:pt>
                  <c:pt idx="4">
                    <c:v>SC</c:v>
                  </c:pt>
                  <c:pt idx="5">
                    <c:v>CT</c:v>
                  </c:pt>
                </c:lvl>
                <c:lvl>
                  <c:pt idx="0">
                    <c:v>LC</c:v>
                  </c:pt>
                  <c:pt idx="3">
                    <c:v>MC</c:v>
                  </c:pt>
                </c:lvl>
              </c:multiLvlStrCache>
            </c:multiLvlStrRef>
          </c:cat>
          <c:val>
            <c:numRef>
              <c:f>Graph!$D$4:$D$9</c:f>
              <c:numCache>
                <c:formatCode>0.00</c:formatCode>
                <c:ptCount val="6"/>
                <c:pt idx="0" formatCode="General">
                  <c:v>33.25</c:v>
                </c:pt>
                <c:pt idx="1">
                  <c:v>23.7</c:v>
                </c:pt>
                <c:pt idx="2">
                  <c:v>19.5</c:v>
                </c:pt>
                <c:pt idx="3" formatCode="General">
                  <c:v>21.55</c:v>
                </c:pt>
                <c:pt idx="4" formatCode="General">
                  <c:v>20.9</c:v>
                </c:pt>
                <c:pt idx="5" formatCode="General">
                  <c:v>14.65</c:v>
                </c:pt>
              </c:numCache>
            </c:numRef>
          </c:val>
          <c:extLst>
            <c:ext xmlns:c16="http://schemas.microsoft.com/office/drawing/2014/chart" uri="{C3380CC4-5D6E-409C-BE32-E72D297353CC}">
              <c16:uniqueId val="{00000000-AD60-4309-8419-81C282DA8788}"/>
            </c:ext>
          </c:extLst>
        </c:ser>
        <c:ser>
          <c:idx val="1"/>
          <c:order val="1"/>
          <c:tx>
            <c:strRef>
              <c:f>Graph!$E$3</c:f>
              <c:strCache>
                <c:ptCount val="1"/>
                <c:pt idx="0">
                  <c:v>Seedling collar diamter (mm)</c:v>
                </c:pt>
              </c:strCache>
            </c:strRef>
          </c:tx>
          <c:spPr>
            <a:solidFill>
              <a:schemeClr val="accent2"/>
            </a:solidFill>
            <a:ln>
              <a:solidFill>
                <a:schemeClr val="tx1"/>
              </a:solidFill>
            </a:ln>
            <a:effectLst/>
          </c:spPr>
          <c:invertIfNegative val="0"/>
          <c:cat>
            <c:multiLvlStrRef>
              <c:f>Graph!$B$4:$C$9</c:f>
              <c:multiLvlStrCache>
                <c:ptCount val="6"/>
                <c:lvl>
                  <c:pt idx="0">
                    <c:v>HW</c:v>
                  </c:pt>
                  <c:pt idx="1">
                    <c:v>SC</c:v>
                  </c:pt>
                  <c:pt idx="2">
                    <c:v>CT</c:v>
                  </c:pt>
                  <c:pt idx="3">
                    <c:v>HW</c:v>
                  </c:pt>
                  <c:pt idx="4">
                    <c:v>SC</c:v>
                  </c:pt>
                  <c:pt idx="5">
                    <c:v>CT</c:v>
                  </c:pt>
                </c:lvl>
                <c:lvl>
                  <c:pt idx="0">
                    <c:v>LC</c:v>
                  </c:pt>
                  <c:pt idx="3">
                    <c:v>MC</c:v>
                  </c:pt>
                </c:lvl>
              </c:multiLvlStrCache>
            </c:multiLvlStrRef>
          </c:cat>
          <c:val>
            <c:numRef>
              <c:f>Graph!$E$4:$E$9</c:f>
              <c:numCache>
                <c:formatCode>General</c:formatCode>
                <c:ptCount val="6"/>
                <c:pt idx="0">
                  <c:v>4.5</c:v>
                </c:pt>
                <c:pt idx="1">
                  <c:v>3.5999999999999996</c:v>
                </c:pt>
                <c:pt idx="2" formatCode="0.000">
                  <c:v>3.2</c:v>
                </c:pt>
                <c:pt idx="3" formatCode="0.00">
                  <c:v>3.65</c:v>
                </c:pt>
                <c:pt idx="4">
                  <c:v>3.3</c:v>
                </c:pt>
                <c:pt idx="5" formatCode="0.00">
                  <c:v>2.4500000000000002</c:v>
                </c:pt>
              </c:numCache>
            </c:numRef>
          </c:val>
          <c:extLst>
            <c:ext xmlns:c16="http://schemas.microsoft.com/office/drawing/2014/chart" uri="{C3380CC4-5D6E-409C-BE32-E72D297353CC}">
              <c16:uniqueId val="{00000001-AD60-4309-8419-81C282DA8788}"/>
            </c:ext>
          </c:extLst>
        </c:ser>
        <c:ser>
          <c:idx val="2"/>
          <c:order val="2"/>
          <c:tx>
            <c:strRef>
              <c:f>Graph!$F$3</c:f>
              <c:strCache>
                <c:ptCount val="1"/>
                <c:pt idx="0">
                  <c:v>Seedling branch number</c:v>
                </c:pt>
              </c:strCache>
            </c:strRef>
          </c:tx>
          <c:spPr>
            <a:solidFill>
              <a:schemeClr val="accent3"/>
            </a:solidFill>
            <a:ln>
              <a:solidFill>
                <a:schemeClr val="tx1"/>
              </a:solidFill>
            </a:ln>
            <a:effectLst/>
          </c:spPr>
          <c:invertIfNegative val="0"/>
          <c:cat>
            <c:multiLvlStrRef>
              <c:f>Graph!$B$4:$C$9</c:f>
              <c:multiLvlStrCache>
                <c:ptCount val="6"/>
                <c:lvl>
                  <c:pt idx="0">
                    <c:v>HW</c:v>
                  </c:pt>
                  <c:pt idx="1">
                    <c:v>SC</c:v>
                  </c:pt>
                  <c:pt idx="2">
                    <c:v>CT</c:v>
                  </c:pt>
                  <c:pt idx="3">
                    <c:v>HW</c:v>
                  </c:pt>
                  <c:pt idx="4">
                    <c:v>SC</c:v>
                  </c:pt>
                  <c:pt idx="5">
                    <c:v>CT</c:v>
                  </c:pt>
                </c:lvl>
                <c:lvl>
                  <c:pt idx="0">
                    <c:v>LC</c:v>
                  </c:pt>
                  <c:pt idx="3">
                    <c:v>MC</c:v>
                  </c:pt>
                </c:lvl>
              </c:multiLvlStrCache>
            </c:multiLvlStrRef>
          </c:cat>
          <c:val>
            <c:numRef>
              <c:f>Graph!$F$4:$F$9</c:f>
              <c:numCache>
                <c:formatCode>0.00</c:formatCode>
                <c:ptCount val="6"/>
                <c:pt idx="0">
                  <c:v>11.7</c:v>
                </c:pt>
                <c:pt idx="1">
                  <c:v>10.9</c:v>
                </c:pt>
                <c:pt idx="2">
                  <c:v>9.6999999999999993</c:v>
                </c:pt>
                <c:pt idx="3">
                  <c:v>10.5</c:v>
                </c:pt>
                <c:pt idx="4">
                  <c:v>10.3</c:v>
                </c:pt>
                <c:pt idx="5">
                  <c:v>8</c:v>
                </c:pt>
              </c:numCache>
            </c:numRef>
          </c:val>
          <c:extLst>
            <c:ext xmlns:c16="http://schemas.microsoft.com/office/drawing/2014/chart" uri="{C3380CC4-5D6E-409C-BE32-E72D297353CC}">
              <c16:uniqueId val="{00000002-AD60-4309-8419-81C282DA8788}"/>
            </c:ext>
          </c:extLst>
        </c:ser>
        <c:ser>
          <c:idx val="3"/>
          <c:order val="3"/>
          <c:tx>
            <c:strRef>
              <c:f>Graph!$G$3</c:f>
              <c:strCache>
                <c:ptCount val="1"/>
                <c:pt idx="0">
                  <c:v>Seedling root length (cm)</c:v>
                </c:pt>
              </c:strCache>
            </c:strRef>
          </c:tx>
          <c:spPr>
            <a:solidFill>
              <a:schemeClr val="accent4"/>
            </a:solidFill>
            <a:ln>
              <a:solidFill>
                <a:schemeClr val="tx1"/>
              </a:solidFill>
            </a:ln>
            <a:effectLst/>
          </c:spPr>
          <c:invertIfNegative val="0"/>
          <c:cat>
            <c:multiLvlStrRef>
              <c:f>Graph!$B$4:$C$9</c:f>
              <c:multiLvlStrCache>
                <c:ptCount val="6"/>
                <c:lvl>
                  <c:pt idx="0">
                    <c:v>HW</c:v>
                  </c:pt>
                  <c:pt idx="1">
                    <c:v>SC</c:v>
                  </c:pt>
                  <c:pt idx="2">
                    <c:v>CT</c:v>
                  </c:pt>
                  <c:pt idx="3">
                    <c:v>HW</c:v>
                  </c:pt>
                  <c:pt idx="4">
                    <c:v>SC</c:v>
                  </c:pt>
                  <c:pt idx="5">
                    <c:v>CT</c:v>
                  </c:pt>
                </c:lvl>
                <c:lvl>
                  <c:pt idx="0">
                    <c:v>LC</c:v>
                  </c:pt>
                  <c:pt idx="3">
                    <c:v>MC</c:v>
                  </c:pt>
                </c:lvl>
              </c:multiLvlStrCache>
            </c:multiLvlStrRef>
          </c:cat>
          <c:val>
            <c:numRef>
              <c:f>Graph!$G$4:$G$9</c:f>
              <c:numCache>
                <c:formatCode>0.00</c:formatCode>
                <c:ptCount val="6"/>
                <c:pt idx="0">
                  <c:v>20</c:v>
                </c:pt>
                <c:pt idx="1">
                  <c:v>17.833333333333332</c:v>
                </c:pt>
                <c:pt idx="2">
                  <c:v>12.666666666666666</c:v>
                </c:pt>
                <c:pt idx="3">
                  <c:v>22.5</c:v>
                </c:pt>
                <c:pt idx="4">
                  <c:v>20</c:v>
                </c:pt>
                <c:pt idx="5">
                  <c:v>13.333333333333334</c:v>
                </c:pt>
              </c:numCache>
            </c:numRef>
          </c:val>
          <c:extLst>
            <c:ext xmlns:c16="http://schemas.microsoft.com/office/drawing/2014/chart" uri="{C3380CC4-5D6E-409C-BE32-E72D297353CC}">
              <c16:uniqueId val="{00000003-AD60-4309-8419-81C282DA8788}"/>
            </c:ext>
          </c:extLst>
        </c:ser>
        <c:dLbls>
          <c:showLegendKey val="0"/>
          <c:showVal val="0"/>
          <c:showCatName val="0"/>
          <c:showSerName val="0"/>
          <c:showPercent val="0"/>
          <c:showBubbleSize val="0"/>
        </c:dLbls>
        <c:gapWidth val="219"/>
        <c:overlap val="-27"/>
        <c:axId val="684664112"/>
        <c:axId val="684664472"/>
      </c:barChart>
      <c:catAx>
        <c:axId val="6846641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Sub-catchments and seed dormancy treatment methods</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4664472"/>
        <c:crosses val="autoZero"/>
        <c:auto val="1"/>
        <c:lblAlgn val="ctr"/>
        <c:lblOffset val="100"/>
        <c:noMultiLvlLbl val="0"/>
      </c:catAx>
      <c:valAx>
        <c:axId val="68466447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Values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846641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2ED8C-90F1-40CE-8449-65DEBC301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 Wolde Mekuria (IWMI)</dc:creator>
  <cp:keywords/>
  <dc:description/>
  <cp:lastModifiedBy>Getahun Yakob</cp:lastModifiedBy>
  <cp:revision>2</cp:revision>
  <dcterms:created xsi:type="dcterms:W3CDTF">2026-07-12T17:17:00Z</dcterms:created>
  <dcterms:modified xsi:type="dcterms:W3CDTF">2026-07-12T17:17:00Z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c3568a03-7b3b-4d8e-97be-8e6a81555752</vt:lpwstr>
  </property>
</Properties>
</file>