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72542" w14:textId="77777777" w:rsidR="004F36E1" w:rsidRPr="00597B56" w:rsidRDefault="004F36E1" w:rsidP="00F247B0">
      <w:pPr>
        <w:rPr>
          <w:rFonts w:ascii="Times New Roman" w:hAnsi="Times New Roman" w:cs="Times New Roman"/>
          <w:b/>
          <w:bCs/>
          <w:sz w:val="22"/>
          <w:szCs w:val="22"/>
        </w:rPr>
      </w:pPr>
      <w:r w:rsidRPr="00597B56">
        <w:rPr>
          <w:rFonts w:ascii="Times New Roman" w:hAnsi="Times New Roman" w:cs="Times New Roman"/>
          <w:b/>
          <w:bCs/>
          <w:sz w:val="22"/>
          <w:szCs w:val="22"/>
        </w:rPr>
        <w:t>Back-to-Office Report: Field Day on Vermicompost Production and Quality Evaluation</w:t>
      </w:r>
    </w:p>
    <w:p w14:paraId="7B787D1D" w14:textId="19A11A24" w:rsidR="003A5B63" w:rsidRPr="00F247B0" w:rsidRDefault="003A5B63" w:rsidP="00F247B0">
      <w:pPr>
        <w:rPr>
          <w:rFonts w:ascii="Times New Roman" w:hAnsi="Times New Roman" w:cs="Times New Roman"/>
          <w:i/>
          <w:iCs/>
          <w:sz w:val="22"/>
          <w:szCs w:val="22"/>
        </w:rPr>
      </w:pPr>
      <w:r w:rsidRPr="00F247B0">
        <w:rPr>
          <w:rFonts w:ascii="Times New Roman" w:hAnsi="Times New Roman" w:cs="Times New Roman"/>
          <w:i/>
          <w:iCs/>
          <w:sz w:val="22"/>
          <w:szCs w:val="22"/>
        </w:rPr>
        <w:t>CROSSROADS team members</w:t>
      </w:r>
    </w:p>
    <w:p w14:paraId="2C3D47D8" w14:textId="2E8A25A0" w:rsidR="004F36E1" w:rsidRPr="00597B56" w:rsidRDefault="004F36E1" w:rsidP="00F247B0">
      <w:pPr>
        <w:rPr>
          <w:rFonts w:ascii="Times New Roman" w:hAnsi="Times New Roman" w:cs="Times New Roman"/>
          <w:b/>
          <w:bCs/>
          <w:kern w:val="0"/>
          <w:sz w:val="22"/>
          <w:szCs w:val="22"/>
        </w:rPr>
      </w:pPr>
      <w:r w:rsidRPr="00597B56">
        <w:rPr>
          <w:rFonts w:ascii="Times New Roman" w:hAnsi="Times New Roman" w:cs="Times New Roman"/>
          <w:b/>
          <w:bCs/>
          <w:kern w:val="0"/>
          <w:sz w:val="22"/>
          <w:szCs w:val="22"/>
        </w:rPr>
        <w:t>1. Introduction</w:t>
      </w:r>
    </w:p>
    <w:p w14:paraId="203BC375" w14:textId="42DC2A32" w:rsidR="004F36E1" w:rsidRPr="00F247B0" w:rsidRDefault="00F211BE"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The field day on vermicompost production was held to demonstrate practical vermicomposting techniques, evaluate the quality of the vermicompost produced, and document how farmers assess compost quality. The activity aimed to foster knowledge sharing among farmers, extension agents, and experts, particularly in response to the growing demand for affordable and sustainable fertilizer alternatives. By showcasing local practices, the event promoted adaptable, low-cost biological fertilizer solutions to enhance soil fertility and agricultural productivity.</w:t>
      </w:r>
    </w:p>
    <w:p w14:paraId="5C969B92" w14:textId="77777777" w:rsidR="004F36E1" w:rsidRPr="00597B56" w:rsidRDefault="004F36E1" w:rsidP="00F247B0">
      <w:pPr>
        <w:rPr>
          <w:rFonts w:ascii="Times New Roman" w:hAnsi="Times New Roman" w:cs="Times New Roman"/>
          <w:b/>
          <w:bCs/>
          <w:kern w:val="0"/>
          <w:sz w:val="22"/>
          <w:szCs w:val="22"/>
        </w:rPr>
      </w:pPr>
      <w:r w:rsidRPr="00597B56">
        <w:rPr>
          <w:rFonts w:ascii="Times New Roman" w:hAnsi="Times New Roman" w:cs="Times New Roman"/>
          <w:b/>
          <w:bCs/>
          <w:kern w:val="0"/>
          <w:sz w:val="22"/>
          <w:szCs w:val="22"/>
        </w:rPr>
        <w:t>2. Objectives</w:t>
      </w:r>
    </w:p>
    <w:p w14:paraId="4DD08EA1" w14:textId="77777777" w:rsidR="000E3285" w:rsidRDefault="004F36E1"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The field day was designed to:</w:t>
      </w:r>
      <w:r w:rsidR="00597B56">
        <w:rPr>
          <w:rFonts w:ascii="Times New Roman" w:hAnsi="Times New Roman" w:cs="Times New Roman"/>
          <w:kern w:val="0"/>
          <w:sz w:val="22"/>
          <w:szCs w:val="22"/>
        </w:rPr>
        <w:t xml:space="preserve"> (i) </w:t>
      </w:r>
      <w:r w:rsidRPr="00F247B0">
        <w:rPr>
          <w:rFonts w:ascii="Times New Roman" w:hAnsi="Times New Roman" w:cs="Times New Roman"/>
          <w:kern w:val="0"/>
          <w:sz w:val="22"/>
          <w:szCs w:val="22"/>
        </w:rPr>
        <w:t>Demonstrate vermicompost production practices</w:t>
      </w:r>
      <w:r w:rsidR="00597B56">
        <w:rPr>
          <w:rFonts w:ascii="Times New Roman" w:hAnsi="Times New Roman" w:cs="Times New Roman"/>
          <w:kern w:val="0"/>
          <w:sz w:val="22"/>
          <w:szCs w:val="22"/>
        </w:rPr>
        <w:t xml:space="preserve">, (ii) </w:t>
      </w:r>
      <w:r w:rsidRPr="00F247B0">
        <w:rPr>
          <w:rFonts w:ascii="Times New Roman" w:hAnsi="Times New Roman" w:cs="Times New Roman"/>
          <w:kern w:val="0"/>
          <w:sz w:val="22"/>
          <w:szCs w:val="22"/>
        </w:rPr>
        <w:t>Co-evaluate the quality of the produced vermicompost</w:t>
      </w:r>
      <w:r w:rsidR="000E3285">
        <w:rPr>
          <w:rFonts w:ascii="Times New Roman" w:hAnsi="Times New Roman" w:cs="Times New Roman"/>
          <w:kern w:val="0"/>
          <w:sz w:val="22"/>
          <w:szCs w:val="22"/>
        </w:rPr>
        <w:t xml:space="preserve">, and (iii) </w:t>
      </w:r>
      <w:r w:rsidRPr="00F247B0">
        <w:rPr>
          <w:rFonts w:ascii="Times New Roman" w:hAnsi="Times New Roman" w:cs="Times New Roman"/>
          <w:kern w:val="0"/>
          <w:sz w:val="22"/>
          <w:szCs w:val="22"/>
        </w:rPr>
        <w:t>Gather farmers’ perspectives and experiences in</w:t>
      </w:r>
      <w:r w:rsidR="000E3285">
        <w:rPr>
          <w:rFonts w:ascii="Times New Roman" w:hAnsi="Times New Roman" w:cs="Times New Roman"/>
          <w:kern w:val="0"/>
          <w:sz w:val="22"/>
          <w:szCs w:val="22"/>
        </w:rPr>
        <w:t xml:space="preserve"> </w:t>
      </w:r>
      <w:r w:rsidR="001A1A03" w:rsidRPr="00F247B0">
        <w:rPr>
          <w:rFonts w:ascii="Times New Roman" w:hAnsi="Times New Roman" w:cs="Times New Roman"/>
          <w:kern w:val="0"/>
          <w:sz w:val="22"/>
          <w:szCs w:val="22"/>
        </w:rPr>
        <w:t>evaluating vermicompost quality.</w:t>
      </w:r>
    </w:p>
    <w:p w14:paraId="6D42019C" w14:textId="28FDA3A9" w:rsidR="004F36E1" w:rsidRPr="000E3285" w:rsidRDefault="004F36E1" w:rsidP="00F247B0">
      <w:pPr>
        <w:rPr>
          <w:rFonts w:ascii="Times New Roman" w:hAnsi="Times New Roman" w:cs="Times New Roman"/>
          <w:b/>
          <w:bCs/>
          <w:kern w:val="0"/>
          <w:sz w:val="22"/>
          <w:szCs w:val="22"/>
        </w:rPr>
      </w:pPr>
      <w:r w:rsidRPr="000E3285">
        <w:rPr>
          <w:rFonts w:ascii="Times New Roman" w:hAnsi="Times New Roman" w:cs="Times New Roman"/>
          <w:b/>
          <w:bCs/>
          <w:kern w:val="0"/>
          <w:sz w:val="22"/>
          <w:szCs w:val="22"/>
        </w:rPr>
        <w:t>3. Approach and Methodology</w:t>
      </w:r>
    </w:p>
    <w:p w14:paraId="1844A287" w14:textId="6527988B" w:rsidR="004F36E1" w:rsidRPr="000E3285" w:rsidRDefault="004F36E1" w:rsidP="00F247B0">
      <w:pPr>
        <w:rPr>
          <w:rFonts w:ascii="Times New Roman" w:hAnsi="Times New Roman" w:cs="Times New Roman"/>
          <w:b/>
          <w:bCs/>
          <w:kern w:val="0"/>
          <w:sz w:val="22"/>
          <w:szCs w:val="22"/>
        </w:rPr>
      </w:pPr>
      <w:r w:rsidRPr="000E3285">
        <w:rPr>
          <w:rFonts w:ascii="Times New Roman" w:hAnsi="Times New Roman" w:cs="Times New Roman"/>
          <w:b/>
          <w:bCs/>
          <w:kern w:val="0"/>
          <w:sz w:val="22"/>
          <w:szCs w:val="22"/>
        </w:rPr>
        <w:t>3.1 Field Demonstration</w:t>
      </w:r>
    </w:p>
    <w:p w14:paraId="1B3F1078" w14:textId="17BBA351" w:rsidR="00940A41" w:rsidRPr="00F247B0" w:rsidRDefault="004F36E1"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 xml:space="preserve">The activity </w:t>
      </w:r>
      <w:r w:rsidR="007A75B8" w:rsidRPr="00F247B0">
        <w:rPr>
          <w:rFonts w:ascii="Times New Roman" w:hAnsi="Times New Roman" w:cs="Times New Roman"/>
          <w:kern w:val="0"/>
          <w:sz w:val="22"/>
          <w:szCs w:val="22"/>
        </w:rPr>
        <w:t xml:space="preserve">followed </w:t>
      </w:r>
      <w:r w:rsidRPr="00F247B0">
        <w:rPr>
          <w:rFonts w:ascii="Times New Roman" w:hAnsi="Times New Roman" w:cs="Times New Roman"/>
          <w:kern w:val="0"/>
          <w:sz w:val="22"/>
          <w:szCs w:val="22"/>
        </w:rPr>
        <w:t xml:space="preserve">a participatory </w:t>
      </w:r>
      <w:r w:rsidR="00846CAA">
        <w:rPr>
          <w:rFonts w:ascii="Times New Roman" w:hAnsi="Times New Roman" w:cs="Times New Roman"/>
          <w:kern w:val="0"/>
          <w:sz w:val="22"/>
          <w:szCs w:val="22"/>
        </w:rPr>
        <w:t>field-day approach that combined practical demonstrations (Picture 1), farmers' interactions (Picture 2), and joint compost quality evaluations</w:t>
      </w:r>
      <w:r w:rsidR="00113372" w:rsidRPr="00F247B0">
        <w:rPr>
          <w:rFonts w:ascii="Times New Roman" w:hAnsi="Times New Roman" w:cs="Times New Roman"/>
          <w:kern w:val="0"/>
          <w:sz w:val="22"/>
          <w:szCs w:val="22"/>
        </w:rPr>
        <w:t xml:space="preserve"> (Picture 3)</w:t>
      </w:r>
      <w:r w:rsidRPr="00F247B0">
        <w:rPr>
          <w:rFonts w:ascii="Times New Roman" w:hAnsi="Times New Roman" w:cs="Times New Roman"/>
          <w:kern w:val="0"/>
          <w:sz w:val="22"/>
          <w:szCs w:val="22"/>
        </w:rPr>
        <w:t>.</w:t>
      </w:r>
      <w:r w:rsidR="007945C9" w:rsidRPr="00F247B0">
        <w:rPr>
          <w:rFonts w:ascii="Times New Roman" w:hAnsi="Times New Roman" w:cs="Times New Roman"/>
          <w:kern w:val="0"/>
          <w:sz w:val="22"/>
          <w:szCs w:val="22"/>
        </w:rPr>
        <w:t xml:space="preserve"> </w:t>
      </w:r>
      <w:r w:rsidRPr="00F247B0">
        <w:rPr>
          <w:rFonts w:ascii="Times New Roman" w:hAnsi="Times New Roman" w:cs="Times New Roman"/>
          <w:kern w:val="0"/>
          <w:sz w:val="22"/>
          <w:szCs w:val="22"/>
        </w:rPr>
        <w:t>The process included</w:t>
      </w:r>
      <w:r w:rsidR="007945C9" w:rsidRPr="00F247B0">
        <w:rPr>
          <w:rFonts w:ascii="Times New Roman" w:hAnsi="Times New Roman" w:cs="Times New Roman"/>
          <w:kern w:val="0"/>
          <w:sz w:val="22"/>
          <w:szCs w:val="22"/>
        </w:rPr>
        <w:t xml:space="preserve"> </w:t>
      </w:r>
      <w:r w:rsidR="00940A41" w:rsidRPr="00F247B0">
        <w:rPr>
          <w:rFonts w:ascii="Times New Roman" w:hAnsi="Times New Roman" w:cs="Times New Roman"/>
          <w:kern w:val="0"/>
          <w:sz w:val="22"/>
          <w:szCs w:val="22"/>
        </w:rPr>
        <w:t>(i) introduction of objectives by the project team, (ii) remarks from district agricultural leaders highlighting fertilizer challenges and the importance of biological alternatives</w:t>
      </w:r>
      <w:r w:rsidR="00A86CB8">
        <w:rPr>
          <w:rFonts w:ascii="Times New Roman" w:hAnsi="Times New Roman" w:cs="Times New Roman"/>
          <w:kern w:val="0"/>
          <w:sz w:val="22"/>
          <w:szCs w:val="22"/>
        </w:rPr>
        <w:t xml:space="preserve"> (</w:t>
      </w:r>
      <w:r w:rsidR="00FA2D52">
        <w:rPr>
          <w:rFonts w:ascii="Times New Roman" w:hAnsi="Times New Roman" w:cs="Times New Roman"/>
          <w:kern w:val="0"/>
          <w:sz w:val="22"/>
          <w:szCs w:val="22"/>
        </w:rPr>
        <w:t xml:space="preserve">Picture </w:t>
      </w:r>
      <w:r w:rsidR="00A86CB8">
        <w:rPr>
          <w:rFonts w:ascii="Times New Roman" w:hAnsi="Times New Roman" w:cs="Times New Roman"/>
          <w:kern w:val="0"/>
          <w:sz w:val="22"/>
          <w:szCs w:val="22"/>
        </w:rPr>
        <w:t>4)</w:t>
      </w:r>
      <w:r w:rsidR="00A86CB8" w:rsidRPr="00F247B0">
        <w:rPr>
          <w:rFonts w:ascii="Times New Roman" w:hAnsi="Times New Roman" w:cs="Times New Roman"/>
          <w:kern w:val="0"/>
          <w:sz w:val="22"/>
          <w:szCs w:val="22"/>
        </w:rPr>
        <w:t xml:space="preserve">, </w:t>
      </w:r>
      <w:r w:rsidR="00940A41" w:rsidRPr="00F247B0">
        <w:rPr>
          <w:rFonts w:ascii="Times New Roman" w:hAnsi="Times New Roman" w:cs="Times New Roman"/>
          <w:kern w:val="0"/>
          <w:sz w:val="22"/>
          <w:szCs w:val="22"/>
        </w:rPr>
        <w:t>and (iii) hands-on demonstration of vermicompost production techniques.</w:t>
      </w:r>
    </w:p>
    <w:p w14:paraId="75AD074D" w14:textId="16321D37" w:rsidR="00FC32F5" w:rsidRPr="00F247B0" w:rsidRDefault="00FC32F5" w:rsidP="00F247B0">
      <w:pPr>
        <w:rPr>
          <w:rFonts w:ascii="Times New Roman" w:hAnsi="Times New Roman" w:cs="Times New Roman"/>
          <w:kern w:val="0"/>
          <w:sz w:val="22"/>
          <w:szCs w:val="22"/>
        </w:rPr>
      </w:pPr>
      <w:r w:rsidRPr="00F247B0">
        <w:rPr>
          <w:rFonts w:ascii="Times New Roman" w:hAnsi="Times New Roman" w:cs="Times New Roman"/>
          <w:noProof/>
          <w:kern w:val="0"/>
          <w:sz w:val="22"/>
          <w:szCs w:val="22"/>
        </w:rPr>
        <w:drawing>
          <wp:inline distT="0" distB="0" distL="0" distR="0" wp14:anchorId="46FD121F" wp14:editId="5C03CA64">
            <wp:extent cx="5943600" cy="2744470"/>
            <wp:effectExtent l="0" t="0" r="0" b="0"/>
            <wp:docPr id="266454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744470"/>
                    </a:xfrm>
                    <a:prstGeom prst="rect">
                      <a:avLst/>
                    </a:prstGeom>
                    <a:noFill/>
                    <a:ln>
                      <a:noFill/>
                    </a:ln>
                  </pic:spPr>
                </pic:pic>
              </a:graphicData>
            </a:graphic>
          </wp:inline>
        </w:drawing>
      </w:r>
    </w:p>
    <w:p w14:paraId="45030B46" w14:textId="7EB8428B" w:rsidR="001649D6" w:rsidRPr="00F247B0" w:rsidRDefault="00CD504B"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 xml:space="preserve">Picture 1. Farmers </w:t>
      </w:r>
      <w:r w:rsidR="000F5104" w:rsidRPr="00F247B0">
        <w:rPr>
          <w:rFonts w:ascii="Times New Roman" w:hAnsi="Times New Roman" w:cs="Times New Roman"/>
          <w:kern w:val="0"/>
          <w:sz w:val="22"/>
          <w:szCs w:val="22"/>
        </w:rPr>
        <w:t xml:space="preserve">observing the production of vermicompost </w:t>
      </w:r>
      <w:proofErr w:type="gramStart"/>
      <w:r w:rsidR="000F5104" w:rsidRPr="00F247B0">
        <w:rPr>
          <w:rFonts w:ascii="Times New Roman" w:hAnsi="Times New Roman" w:cs="Times New Roman"/>
          <w:kern w:val="0"/>
          <w:sz w:val="22"/>
          <w:szCs w:val="22"/>
        </w:rPr>
        <w:t>in</w:t>
      </w:r>
      <w:proofErr w:type="gramEnd"/>
      <w:r w:rsidR="000F5104" w:rsidRPr="00F247B0">
        <w:rPr>
          <w:rFonts w:ascii="Times New Roman" w:hAnsi="Times New Roman" w:cs="Times New Roman"/>
          <w:kern w:val="0"/>
          <w:sz w:val="22"/>
          <w:szCs w:val="22"/>
        </w:rPr>
        <w:t xml:space="preserve"> an organized farmers' day</w:t>
      </w:r>
      <w:r w:rsidR="00A84E1F" w:rsidRPr="00F247B0">
        <w:rPr>
          <w:rFonts w:ascii="Times New Roman" w:hAnsi="Times New Roman" w:cs="Times New Roman"/>
          <w:kern w:val="0"/>
          <w:sz w:val="22"/>
          <w:szCs w:val="22"/>
        </w:rPr>
        <w:t xml:space="preserve"> (Photo: Wolde Mekuria)</w:t>
      </w:r>
    </w:p>
    <w:p w14:paraId="2BC506D4" w14:textId="46657A3B" w:rsidR="001649D6" w:rsidRPr="00F247B0" w:rsidRDefault="001649D6" w:rsidP="00F247B0">
      <w:pPr>
        <w:rPr>
          <w:rFonts w:ascii="Times New Roman" w:hAnsi="Times New Roman" w:cs="Times New Roman"/>
          <w:kern w:val="0"/>
          <w:sz w:val="22"/>
          <w:szCs w:val="22"/>
        </w:rPr>
      </w:pPr>
      <w:r w:rsidRPr="00F247B0">
        <w:rPr>
          <w:rFonts w:ascii="Times New Roman" w:hAnsi="Times New Roman" w:cs="Times New Roman"/>
          <w:noProof/>
          <w:kern w:val="0"/>
          <w:sz w:val="22"/>
          <w:szCs w:val="22"/>
        </w:rPr>
        <w:lastRenderedPageBreak/>
        <w:drawing>
          <wp:inline distT="0" distB="0" distL="0" distR="0" wp14:anchorId="0825C361" wp14:editId="7B5A8597">
            <wp:extent cx="5943600" cy="2744470"/>
            <wp:effectExtent l="0" t="0" r="0" b="0"/>
            <wp:docPr id="2100560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744470"/>
                    </a:xfrm>
                    <a:prstGeom prst="rect">
                      <a:avLst/>
                    </a:prstGeom>
                    <a:noFill/>
                    <a:ln>
                      <a:noFill/>
                    </a:ln>
                  </pic:spPr>
                </pic:pic>
              </a:graphicData>
            </a:graphic>
          </wp:inline>
        </w:drawing>
      </w:r>
    </w:p>
    <w:p w14:paraId="0A7E8BBA" w14:textId="2CE8723B" w:rsidR="000F5104" w:rsidRPr="00F247B0" w:rsidRDefault="000F5104"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P</w:t>
      </w:r>
      <w:r w:rsidR="000418E9" w:rsidRPr="00F247B0">
        <w:rPr>
          <w:rFonts w:ascii="Times New Roman" w:hAnsi="Times New Roman" w:cs="Times New Roman"/>
          <w:kern w:val="0"/>
          <w:sz w:val="22"/>
          <w:szCs w:val="22"/>
        </w:rPr>
        <w:t xml:space="preserve">icture 2. Farmers interacting with each other during the field day </w:t>
      </w:r>
      <w:r w:rsidR="00A84E1F" w:rsidRPr="00F247B0">
        <w:rPr>
          <w:rFonts w:ascii="Times New Roman" w:hAnsi="Times New Roman" w:cs="Times New Roman"/>
          <w:kern w:val="0"/>
          <w:sz w:val="22"/>
          <w:szCs w:val="22"/>
        </w:rPr>
        <w:t>(Photo: Wolde Mekuria)</w:t>
      </w:r>
      <w:r w:rsidR="000418E9" w:rsidRPr="00F247B0">
        <w:rPr>
          <w:rFonts w:ascii="Times New Roman" w:hAnsi="Times New Roman" w:cs="Times New Roman"/>
          <w:kern w:val="0"/>
          <w:sz w:val="22"/>
          <w:szCs w:val="22"/>
        </w:rPr>
        <w:t xml:space="preserve"> </w:t>
      </w:r>
    </w:p>
    <w:p w14:paraId="4B5CA432" w14:textId="25E0BAE9" w:rsidR="00CD504B" w:rsidRPr="00F247B0" w:rsidRDefault="00CD504B" w:rsidP="00F247B0">
      <w:pPr>
        <w:rPr>
          <w:rFonts w:ascii="Times New Roman" w:hAnsi="Times New Roman" w:cs="Times New Roman"/>
          <w:kern w:val="0"/>
          <w:sz w:val="22"/>
          <w:szCs w:val="22"/>
        </w:rPr>
      </w:pPr>
      <w:r w:rsidRPr="00F247B0">
        <w:rPr>
          <w:rFonts w:ascii="Times New Roman" w:hAnsi="Times New Roman" w:cs="Times New Roman"/>
          <w:noProof/>
          <w:kern w:val="0"/>
          <w:sz w:val="22"/>
          <w:szCs w:val="22"/>
        </w:rPr>
        <w:drawing>
          <wp:inline distT="0" distB="0" distL="0" distR="0" wp14:anchorId="736D838D" wp14:editId="5C65645F">
            <wp:extent cx="5943600" cy="2744470"/>
            <wp:effectExtent l="0" t="0" r="0" b="0"/>
            <wp:docPr id="2104418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744470"/>
                    </a:xfrm>
                    <a:prstGeom prst="rect">
                      <a:avLst/>
                    </a:prstGeom>
                    <a:noFill/>
                    <a:ln>
                      <a:noFill/>
                    </a:ln>
                  </pic:spPr>
                </pic:pic>
              </a:graphicData>
            </a:graphic>
          </wp:inline>
        </w:drawing>
      </w:r>
    </w:p>
    <w:p w14:paraId="0CA49BEA" w14:textId="1CE26FB6" w:rsidR="000362A5" w:rsidRDefault="000418E9"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 xml:space="preserve">Picture 3. Farmers evaluating the quality of vermicompost produced from </w:t>
      </w:r>
      <w:r w:rsidR="002F20AF">
        <w:rPr>
          <w:rFonts w:ascii="Times New Roman" w:hAnsi="Times New Roman" w:cs="Times New Roman"/>
          <w:kern w:val="0"/>
          <w:sz w:val="22"/>
          <w:szCs w:val="22"/>
        </w:rPr>
        <w:t xml:space="preserve">treatments made based </w:t>
      </w:r>
      <w:r w:rsidR="00FA2D52">
        <w:rPr>
          <w:rFonts w:ascii="Times New Roman" w:hAnsi="Times New Roman" w:cs="Times New Roman"/>
          <w:kern w:val="0"/>
          <w:sz w:val="22"/>
          <w:szCs w:val="22"/>
        </w:rPr>
        <w:t>on</w:t>
      </w:r>
      <w:r w:rsidR="002F20AF">
        <w:rPr>
          <w:rFonts w:ascii="Times New Roman" w:hAnsi="Times New Roman" w:cs="Times New Roman"/>
          <w:kern w:val="0"/>
          <w:sz w:val="22"/>
          <w:szCs w:val="22"/>
        </w:rPr>
        <w:t xml:space="preserve"> </w:t>
      </w:r>
      <w:proofErr w:type="spellStart"/>
      <w:r w:rsidR="002F20AF">
        <w:rPr>
          <w:rFonts w:ascii="Times New Roman" w:hAnsi="Times New Roman" w:cs="Times New Roman"/>
          <w:kern w:val="0"/>
          <w:sz w:val="22"/>
          <w:szCs w:val="22"/>
        </w:rPr>
        <w:t>Kortch</w:t>
      </w:r>
      <w:proofErr w:type="spellEnd"/>
      <w:r w:rsidR="00D703C8">
        <w:rPr>
          <w:rFonts w:ascii="Times New Roman" w:hAnsi="Times New Roman" w:cs="Times New Roman"/>
          <w:kern w:val="0"/>
          <w:sz w:val="22"/>
          <w:szCs w:val="22"/>
        </w:rPr>
        <w:t xml:space="preserve"> (</w:t>
      </w:r>
      <w:r w:rsidR="00D703C8" w:rsidRPr="00F247B0">
        <w:rPr>
          <w:rFonts w:ascii="Times New Roman" w:hAnsi="Times New Roman" w:cs="Times New Roman"/>
          <w:kern w:val="0"/>
          <w:sz w:val="22"/>
          <w:szCs w:val="22"/>
        </w:rPr>
        <w:t>Erythrina brucei</w:t>
      </w:r>
      <w:r w:rsidR="00D703C8">
        <w:rPr>
          <w:rFonts w:ascii="Times New Roman" w:hAnsi="Times New Roman" w:cs="Times New Roman"/>
          <w:kern w:val="0"/>
          <w:sz w:val="22"/>
          <w:szCs w:val="22"/>
        </w:rPr>
        <w:t>)</w:t>
      </w:r>
      <w:r w:rsidR="002F20AF">
        <w:rPr>
          <w:rFonts w:ascii="Times New Roman" w:hAnsi="Times New Roman" w:cs="Times New Roman"/>
          <w:kern w:val="0"/>
          <w:sz w:val="22"/>
          <w:szCs w:val="22"/>
        </w:rPr>
        <w:t xml:space="preserve">, identified </w:t>
      </w:r>
      <w:r w:rsidRPr="00F247B0">
        <w:rPr>
          <w:rFonts w:ascii="Times New Roman" w:hAnsi="Times New Roman" w:cs="Times New Roman"/>
          <w:kern w:val="0"/>
          <w:sz w:val="22"/>
          <w:szCs w:val="22"/>
        </w:rPr>
        <w:t xml:space="preserve">underutilized plant species </w:t>
      </w:r>
      <w:r w:rsidR="00A84E1F" w:rsidRPr="00F247B0">
        <w:rPr>
          <w:rFonts w:ascii="Times New Roman" w:hAnsi="Times New Roman" w:cs="Times New Roman"/>
          <w:kern w:val="0"/>
          <w:sz w:val="22"/>
          <w:szCs w:val="22"/>
        </w:rPr>
        <w:t>(Photo: Wolde Mekuria)</w:t>
      </w:r>
    </w:p>
    <w:p w14:paraId="783C3EBC" w14:textId="2F84CD8B" w:rsidR="00FA2D52" w:rsidRPr="00FA2D52" w:rsidRDefault="00FA2D52" w:rsidP="00FA2D52">
      <w:pPr>
        <w:rPr>
          <w:rFonts w:ascii="Times New Roman" w:hAnsi="Times New Roman" w:cs="Times New Roman"/>
          <w:kern w:val="0"/>
          <w:sz w:val="22"/>
          <w:szCs w:val="22"/>
        </w:rPr>
      </w:pPr>
      <w:r w:rsidRPr="00FA2D52">
        <w:rPr>
          <w:rFonts w:ascii="Times New Roman" w:hAnsi="Times New Roman" w:cs="Times New Roman"/>
          <w:noProof/>
          <w:kern w:val="0"/>
          <w:sz w:val="22"/>
          <w:szCs w:val="22"/>
        </w:rPr>
        <w:lastRenderedPageBreak/>
        <w:drawing>
          <wp:inline distT="0" distB="0" distL="0" distR="0" wp14:anchorId="2A541F29" wp14:editId="4E11A12E">
            <wp:extent cx="5943600" cy="2744470"/>
            <wp:effectExtent l="0" t="0" r="0" b="0"/>
            <wp:docPr id="1493786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744470"/>
                    </a:xfrm>
                    <a:prstGeom prst="rect">
                      <a:avLst/>
                    </a:prstGeom>
                    <a:noFill/>
                    <a:ln>
                      <a:noFill/>
                    </a:ln>
                  </pic:spPr>
                </pic:pic>
              </a:graphicData>
            </a:graphic>
          </wp:inline>
        </w:drawing>
      </w:r>
    </w:p>
    <w:p w14:paraId="3C4476DC" w14:textId="750DE908" w:rsidR="00A86CB8" w:rsidRPr="00F247B0" w:rsidRDefault="00FA2D52" w:rsidP="00F247B0">
      <w:pPr>
        <w:rPr>
          <w:rFonts w:ascii="Times New Roman" w:hAnsi="Times New Roman" w:cs="Times New Roman"/>
          <w:kern w:val="0"/>
          <w:sz w:val="22"/>
          <w:szCs w:val="22"/>
        </w:rPr>
      </w:pPr>
      <w:r>
        <w:rPr>
          <w:rFonts w:ascii="Times New Roman" w:hAnsi="Times New Roman" w:cs="Times New Roman"/>
          <w:kern w:val="0"/>
          <w:sz w:val="22"/>
          <w:szCs w:val="22"/>
        </w:rPr>
        <w:t>Picture</w:t>
      </w:r>
      <w:r w:rsidR="00A86CB8">
        <w:rPr>
          <w:rFonts w:ascii="Times New Roman" w:hAnsi="Times New Roman" w:cs="Times New Roman"/>
          <w:kern w:val="0"/>
          <w:sz w:val="22"/>
          <w:szCs w:val="22"/>
        </w:rPr>
        <w:t xml:space="preserve"> 4</w:t>
      </w:r>
      <w:r>
        <w:rPr>
          <w:rFonts w:ascii="Times New Roman" w:hAnsi="Times New Roman" w:cs="Times New Roman"/>
          <w:kern w:val="0"/>
          <w:sz w:val="22"/>
          <w:szCs w:val="22"/>
        </w:rPr>
        <w:t>.</w:t>
      </w:r>
      <w:r w:rsidR="00A86CB8">
        <w:rPr>
          <w:rFonts w:ascii="Times New Roman" w:hAnsi="Times New Roman" w:cs="Times New Roman"/>
          <w:kern w:val="0"/>
          <w:sz w:val="22"/>
          <w:szCs w:val="22"/>
        </w:rPr>
        <w:t xml:space="preserve"> </w:t>
      </w:r>
      <w:r w:rsidR="00D703C8">
        <w:rPr>
          <w:rFonts w:ascii="Times New Roman" w:hAnsi="Times New Roman" w:cs="Times New Roman"/>
          <w:kern w:val="0"/>
          <w:sz w:val="22"/>
          <w:szCs w:val="22"/>
        </w:rPr>
        <w:t xml:space="preserve">Opening the field day and briefing the participants about the importance of compost in reducing fertilizer use- </w:t>
      </w:r>
      <w:proofErr w:type="spellStart"/>
      <w:r w:rsidR="00A86CB8">
        <w:rPr>
          <w:rFonts w:ascii="Times New Roman" w:hAnsi="Times New Roman" w:cs="Times New Roman"/>
          <w:kern w:val="0"/>
          <w:sz w:val="22"/>
          <w:szCs w:val="22"/>
        </w:rPr>
        <w:t>Alicho</w:t>
      </w:r>
      <w:proofErr w:type="spellEnd"/>
      <w:r w:rsidR="00A86CB8">
        <w:rPr>
          <w:rFonts w:ascii="Times New Roman" w:hAnsi="Times New Roman" w:cs="Times New Roman"/>
          <w:kern w:val="0"/>
          <w:sz w:val="22"/>
          <w:szCs w:val="22"/>
        </w:rPr>
        <w:t xml:space="preserve"> </w:t>
      </w:r>
      <w:r w:rsidR="00AE6EBF">
        <w:rPr>
          <w:rFonts w:ascii="Times New Roman" w:hAnsi="Times New Roman" w:cs="Times New Roman"/>
          <w:kern w:val="0"/>
          <w:sz w:val="22"/>
          <w:szCs w:val="22"/>
        </w:rPr>
        <w:t>Woreda</w:t>
      </w:r>
      <w:r w:rsidR="00A86CB8">
        <w:rPr>
          <w:rFonts w:ascii="Times New Roman" w:hAnsi="Times New Roman" w:cs="Times New Roman"/>
          <w:kern w:val="0"/>
          <w:sz w:val="22"/>
          <w:szCs w:val="22"/>
        </w:rPr>
        <w:t xml:space="preserve"> agricultural office head </w:t>
      </w:r>
      <w:r>
        <w:rPr>
          <w:rFonts w:ascii="Times New Roman" w:hAnsi="Times New Roman" w:cs="Times New Roman"/>
          <w:kern w:val="0"/>
          <w:sz w:val="22"/>
          <w:szCs w:val="22"/>
        </w:rPr>
        <w:t>(Photo: Wolde Mekuria)</w:t>
      </w:r>
    </w:p>
    <w:p w14:paraId="5248245C" w14:textId="6337537B" w:rsidR="004F36E1" w:rsidRPr="00FF3609" w:rsidRDefault="004F36E1" w:rsidP="00F247B0">
      <w:pPr>
        <w:rPr>
          <w:rFonts w:ascii="Times New Roman" w:hAnsi="Times New Roman" w:cs="Times New Roman"/>
          <w:b/>
          <w:bCs/>
          <w:kern w:val="0"/>
          <w:sz w:val="22"/>
          <w:szCs w:val="22"/>
        </w:rPr>
      </w:pPr>
      <w:r w:rsidRPr="00FF3609">
        <w:rPr>
          <w:rFonts w:ascii="Times New Roman" w:hAnsi="Times New Roman" w:cs="Times New Roman"/>
          <w:b/>
          <w:bCs/>
          <w:kern w:val="0"/>
          <w:sz w:val="22"/>
          <w:szCs w:val="22"/>
        </w:rPr>
        <w:t>3.2 Evaluation of Vermicompost Quality</w:t>
      </w:r>
    </w:p>
    <w:p w14:paraId="2B93BCAA" w14:textId="2402D187" w:rsidR="00C47E8C" w:rsidRPr="00F247B0" w:rsidRDefault="00C47E8C"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A simple and farmer-friendly evaluation framework was developed using visual, odor, and touch-based indicators, enabling participants to assess vermicompost quality without laboratory analysis</w:t>
      </w:r>
      <w:r w:rsidR="008A7BC0" w:rsidRPr="00F247B0">
        <w:rPr>
          <w:rFonts w:ascii="Times New Roman" w:hAnsi="Times New Roman" w:cs="Times New Roman"/>
          <w:kern w:val="0"/>
          <w:sz w:val="22"/>
          <w:szCs w:val="22"/>
        </w:rPr>
        <w:t xml:space="preserve"> (Table 1)</w:t>
      </w:r>
      <w:r w:rsidRPr="00F247B0">
        <w:rPr>
          <w:rFonts w:ascii="Times New Roman" w:hAnsi="Times New Roman" w:cs="Times New Roman"/>
          <w:kern w:val="0"/>
          <w:sz w:val="22"/>
          <w:szCs w:val="22"/>
        </w:rPr>
        <w:t xml:space="preserve">. The assessment focused on six key indicators: </w:t>
      </w:r>
      <w:proofErr w:type="spellStart"/>
      <w:r w:rsidRPr="00F247B0">
        <w:rPr>
          <w:rFonts w:ascii="Times New Roman" w:hAnsi="Times New Roman" w:cs="Times New Roman"/>
          <w:kern w:val="0"/>
          <w:sz w:val="22"/>
          <w:szCs w:val="22"/>
        </w:rPr>
        <w:t>colour</w:t>
      </w:r>
      <w:proofErr w:type="spellEnd"/>
      <w:r w:rsidRPr="00F247B0">
        <w:rPr>
          <w:rFonts w:ascii="Times New Roman" w:hAnsi="Times New Roman" w:cs="Times New Roman"/>
          <w:kern w:val="0"/>
          <w:sz w:val="22"/>
          <w:szCs w:val="22"/>
        </w:rPr>
        <w:t xml:space="preserve">, </w:t>
      </w:r>
      <w:proofErr w:type="spellStart"/>
      <w:r w:rsidRPr="00F247B0">
        <w:rPr>
          <w:rFonts w:ascii="Times New Roman" w:hAnsi="Times New Roman" w:cs="Times New Roman"/>
          <w:kern w:val="0"/>
          <w:sz w:val="22"/>
          <w:szCs w:val="22"/>
        </w:rPr>
        <w:t>odour</w:t>
      </w:r>
      <w:proofErr w:type="spellEnd"/>
      <w:r w:rsidRPr="00F247B0">
        <w:rPr>
          <w:rFonts w:ascii="Times New Roman" w:hAnsi="Times New Roman" w:cs="Times New Roman"/>
          <w:kern w:val="0"/>
          <w:sz w:val="22"/>
          <w:szCs w:val="22"/>
        </w:rPr>
        <w:t xml:space="preserve"> (smell), texture, moisture level, visible biological activity (worms/insects), and presence of undecomposed materials.</w:t>
      </w:r>
      <w:r w:rsidR="000362A5" w:rsidRPr="00F247B0">
        <w:rPr>
          <w:rFonts w:ascii="Times New Roman" w:hAnsi="Times New Roman" w:cs="Times New Roman"/>
          <w:kern w:val="0"/>
          <w:sz w:val="22"/>
          <w:szCs w:val="22"/>
        </w:rPr>
        <w:t xml:space="preserve"> </w:t>
      </w:r>
      <w:r w:rsidRPr="00F247B0">
        <w:rPr>
          <w:rFonts w:ascii="Times New Roman" w:hAnsi="Times New Roman" w:cs="Times New Roman"/>
          <w:kern w:val="0"/>
          <w:sz w:val="22"/>
          <w:szCs w:val="22"/>
        </w:rPr>
        <w:t>Each indicator was scored on a scale of 1 (poor) to 3 (good), allowing farmers to identify high-quality compost (“black gold”) and areas requiring improvement.</w:t>
      </w:r>
    </w:p>
    <w:p w14:paraId="5B8DFDEE" w14:textId="280581FC" w:rsidR="002C24F0" w:rsidRPr="00F247B0" w:rsidRDefault="002C24F0"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 xml:space="preserve">Table 1. Indicators used to assess </w:t>
      </w:r>
      <w:r w:rsidR="000362A5" w:rsidRPr="00F247B0">
        <w:rPr>
          <w:rFonts w:ascii="Times New Roman" w:hAnsi="Times New Roman" w:cs="Times New Roman"/>
          <w:kern w:val="0"/>
          <w:sz w:val="22"/>
          <w:szCs w:val="22"/>
        </w:rPr>
        <w:t xml:space="preserve">vermicompost </w:t>
      </w:r>
      <w:r w:rsidRPr="00F247B0">
        <w:rPr>
          <w:rFonts w:ascii="Times New Roman" w:hAnsi="Times New Roman" w:cs="Times New Roman"/>
          <w:kern w:val="0"/>
          <w:sz w:val="22"/>
          <w:szCs w:val="22"/>
        </w:rPr>
        <w:t xml:space="preserve">quality </w:t>
      </w:r>
    </w:p>
    <w:tbl>
      <w:tblPr>
        <w:tblStyle w:val="GridTable5Dark"/>
        <w:tblW w:w="0" w:type="auto"/>
        <w:tblLayout w:type="fixed"/>
        <w:tblLook w:val="04A0" w:firstRow="1" w:lastRow="0" w:firstColumn="1" w:lastColumn="0" w:noHBand="0" w:noVBand="1"/>
      </w:tblPr>
      <w:tblGrid>
        <w:gridCol w:w="1345"/>
        <w:gridCol w:w="2700"/>
        <w:gridCol w:w="2340"/>
        <w:gridCol w:w="2965"/>
      </w:tblGrid>
      <w:tr w:rsidR="002C24F0" w:rsidRPr="00F247B0" w14:paraId="52B98AF0" w14:textId="77777777" w:rsidTr="00495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3B77EF9F" w14:textId="77777777" w:rsidR="002C24F0" w:rsidRPr="00F247B0" w:rsidRDefault="002C24F0" w:rsidP="00F247B0">
            <w:pPr>
              <w:rPr>
                <w:rFonts w:ascii="Times New Roman" w:hAnsi="Times New Roman" w:cs="Times New Roman"/>
                <w:b w:val="0"/>
                <w:bCs w:val="0"/>
                <w:sz w:val="22"/>
                <w:szCs w:val="22"/>
              </w:rPr>
            </w:pPr>
            <w:r w:rsidRPr="00F247B0">
              <w:rPr>
                <w:rFonts w:ascii="Times New Roman" w:hAnsi="Times New Roman" w:cs="Times New Roman"/>
                <w:sz w:val="22"/>
                <w:szCs w:val="22"/>
              </w:rPr>
              <w:t>Indicator</w:t>
            </w:r>
          </w:p>
        </w:tc>
        <w:tc>
          <w:tcPr>
            <w:tcW w:w="2700" w:type="dxa"/>
            <w:hideMark/>
          </w:tcPr>
          <w:p w14:paraId="03307CA2" w14:textId="77777777" w:rsidR="002C24F0" w:rsidRPr="00F247B0" w:rsidRDefault="002C24F0" w:rsidP="00F247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F247B0">
              <w:rPr>
                <w:rFonts w:ascii="Times New Roman" w:hAnsi="Times New Roman" w:cs="Times New Roman"/>
                <w:sz w:val="22"/>
                <w:szCs w:val="22"/>
              </w:rPr>
              <w:t>3 (Good Quality)</w:t>
            </w:r>
          </w:p>
        </w:tc>
        <w:tc>
          <w:tcPr>
            <w:tcW w:w="2340" w:type="dxa"/>
            <w:hideMark/>
          </w:tcPr>
          <w:p w14:paraId="762A0C78" w14:textId="77777777" w:rsidR="002C24F0" w:rsidRPr="00F247B0" w:rsidRDefault="002C24F0" w:rsidP="00F247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F247B0">
              <w:rPr>
                <w:rFonts w:ascii="Times New Roman" w:hAnsi="Times New Roman" w:cs="Times New Roman"/>
                <w:sz w:val="22"/>
                <w:szCs w:val="22"/>
              </w:rPr>
              <w:t>2 (Moderate)</w:t>
            </w:r>
          </w:p>
        </w:tc>
        <w:tc>
          <w:tcPr>
            <w:tcW w:w="2965" w:type="dxa"/>
            <w:hideMark/>
          </w:tcPr>
          <w:p w14:paraId="462D4B96" w14:textId="77777777" w:rsidR="002C24F0" w:rsidRPr="00F247B0" w:rsidRDefault="002C24F0" w:rsidP="00F247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F247B0">
              <w:rPr>
                <w:rFonts w:ascii="Times New Roman" w:hAnsi="Times New Roman" w:cs="Times New Roman"/>
                <w:sz w:val="22"/>
                <w:szCs w:val="22"/>
              </w:rPr>
              <w:t>1 (Poor Quality)</w:t>
            </w:r>
          </w:p>
        </w:tc>
      </w:tr>
      <w:tr w:rsidR="002C24F0" w:rsidRPr="00F247B0" w14:paraId="75BC6A65" w14:textId="77777777" w:rsidTr="00495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33140409" w14:textId="77777777" w:rsidR="002C24F0" w:rsidRPr="00F247B0" w:rsidRDefault="002C24F0" w:rsidP="00F247B0">
            <w:pPr>
              <w:rPr>
                <w:rFonts w:ascii="Times New Roman" w:hAnsi="Times New Roman" w:cs="Times New Roman"/>
                <w:b w:val="0"/>
                <w:bCs w:val="0"/>
                <w:sz w:val="22"/>
                <w:szCs w:val="22"/>
              </w:rPr>
            </w:pPr>
            <w:r w:rsidRPr="00F247B0">
              <w:rPr>
                <w:rFonts w:ascii="Times New Roman" w:hAnsi="Times New Roman" w:cs="Times New Roman"/>
                <w:sz w:val="22"/>
                <w:szCs w:val="22"/>
              </w:rPr>
              <w:t>Color</w:t>
            </w:r>
          </w:p>
        </w:tc>
        <w:tc>
          <w:tcPr>
            <w:tcW w:w="2700" w:type="dxa"/>
            <w:hideMark/>
          </w:tcPr>
          <w:p w14:paraId="21EBA7DC"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Consistently dark brown to black (uniformly matured) </w:t>
            </w:r>
          </w:p>
        </w:tc>
        <w:tc>
          <w:tcPr>
            <w:tcW w:w="2340" w:type="dxa"/>
            <w:hideMark/>
          </w:tcPr>
          <w:p w14:paraId="68936D8C"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Mostly brown with some lighter patches or bits </w:t>
            </w:r>
          </w:p>
        </w:tc>
        <w:tc>
          <w:tcPr>
            <w:tcW w:w="2965" w:type="dxa"/>
            <w:hideMark/>
          </w:tcPr>
          <w:p w14:paraId="7ADE90C3"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Lighter or patchy color with many visible original bits (not fully broken down) </w:t>
            </w:r>
          </w:p>
          <w:p w14:paraId="4764812D"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2C24F0" w:rsidRPr="00F247B0" w14:paraId="4C093508" w14:textId="77777777" w:rsidTr="004959E3">
        <w:tc>
          <w:tcPr>
            <w:cnfStyle w:val="001000000000" w:firstRow="0" w:lastRow="0" w:firstColumn="1" w:lastColumn="0" w:oddVBand="0" w:evenVBand="0" w:oddHBand="0" w:evenHBand="0" w:firstRowFirstColumn="0" w:firstRowLastColumn="0" w:lastRowFirstColumn="0" w:lastRowLastColumn="0"/>
            <w:tcW w:w="1345" w:type="dxa"/>
            <w:hideMark/>
          </w:tcPr>
          <w:p w14:paraId="584A96BB" w14:textId="77777777" w:rsidR="002C24F0" w:rsidRPr="00F247B0" w:rsidRDefault="002C24F0" w:rsidP="00F247B0">
            <w:pPr>
              <w:rPr>
                <w:rFonts w:ascii="Times New Roman" w:hAnsi="Times New Roman" w:cs="Times New Roman"/>
                <w:b w:val="0"/>
                <w:bCs w:val="0"/>
                <w:sz w:val="22"/>
                <w:szCs w:val="22"/>
              </w:rPr>
            </w:pPr>
            <w:r w:rsidRPr="00F247B0">
              <w:rPr>
                <w:rFonts w:ascii="Times New Roman" w:hAnsi="Times New Roman" w:cs="Times New Roman"/>
                <w:sz w:val="22"/>
                <w:szCs w:val="22"/>
              </w:rPr>
              <w:t>Odor (Smell)</w:t>
            </w:r>
          </w:p>
        </w:tc>
        <w:tc>
          <w:tcPr>
            <w:tcW w:w="2700" w:type="dxa"/>
            <w:hideMark/>
          </w:tcPr>
          <w:p w14:paraId="40856F75"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Earthy “fresh soil” scent; no foul odors </w:t>
            </w:r>
          </w:p>
          <w:p w14:paraId="5A11A814"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2340" w:type="dxa"/>
            <w:hideMark/>
          </w:tcPr>
          <w:p w14:paraId="7269F987"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Slight ammonia or musty hint (still curing) </w:t>
            </w:r>
          </w:p>
          <w:p w14:paraId="6696B051"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2965" w:type="dxa"/>
            <w:hideMark/>
          </w:tcPr>
          <w:p w14:paraId="3DF7126E"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Strong rotten or ammonia smell (anaerobic; incomplete) </w:t>
            </w:r>
          </w:p>
          <w:p w14:paraId="4A8ADB3B"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2C24F0" w:rsidRPr="00F247B0" w14:paraId="4F58BAAF" w14:textId="77777777" w:rsidTr="00495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18446281" w14:textId="77777777" w:rsidR="002C24F0" w:rsidRPr="00F247B0" w:rsidRDefault="002C24F0" w:rsidP="00F247B0">
            <w:pPr>
              <w:rPr>
                <w:rFonts w:ascii="Times New Roman" w:hAnsi="Times New Roman" w:cs="Times New Roman"/>
                <w:b w:val="0"/>
                <w:bCs w:val="0"/>
                <w:sz w:val="22"/>
                <w:szCs w:val="22"/>
              </w:rPr>
            </w:pPr>
            <w:r w:rsidRPr="00F247B0">
              <w:rPr>
                <w:rFonts w:ascii="Times New Roman" w:hAnsi="Times New Roman" w:cs="Times New Roman"/>
                <w:sz w:val="22"/>
                <w:szCs w:val="22"/>
              </w:rPr>
              <w:t>Texture</w:t>
            </w:r>
          </w:p>
        </w:tc>
        <w:tc>
          <w:tcPr>
            <w:tcW w:w="2700" w:type="dxa"/>
            <w:hideMark/>
          </w:tcPr>
          <w:p w14:paraId="1283A63D" w14:textId="7DF8F01E"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Fine, loose, crumbly (like </w:t>
            </w:r>
            <w:r w:rsidR="00D703C8">
              <w:rPr>
                <w:rFonts w:ascii="Times New Roman" w:hAnsi="Times New Roman" w:cs="Times New Roman"/>
                <w:sz w:val="22"/>
                <w:szCs w:val="22"/>
              </w:rPr>
              <w:t xml:space="preserve">medium </w:t>
            </w:r>
            <w:r w:rsidRPr="00F247B0">
              <w:rPr>
                <w:rFonts w:ascii="Times New Roman" w:hAnsi="Times New Roman" w:cs="Times New Roman"/>
                <w:sz w:val="22"/>
                <w:szCs w:val="22"/>
              </w:rPr>
              <w:t xml:space="preserve">coffee grounds) </w:t>
            </w:r>
          </w:p>
          <w:p w14:paraId="5F8D2E8D"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2340" w:type="dxa"/>
            <w:hideMark/>
          </w:tcPr>
          <w:p w14:paraId="463FC07F"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Some small clumps/fibers; partly crumbly</w:t>
            </w:r>
          </w:p>
        </w:tc>
        <w:tc>
          <w:tcPr>
            <w:tcW w:w="2965" w:type="dxa"/>
            <w:hideMark/>
          </w:tcPr>
          <w:p w14:paraId="16C8A9D9"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Wet, slimy clumps or large intact fibers (undigested material) </w:t>
            </w:r>
          </w:p>
          <w:p w14:paraId="2B2897EA"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2C24F0" w:rsidRPr="00F247B0" w14:paraId="3EA6B9AA" w14:textId="77777777" w:rsidTr="004959E3">
        <w:tc>
          <w:tcPr>
            <w:cnfStyle w:val="001000000000" w:firstRow="0" w:lastRow="0" w:firstColumn="1" w:lastColumn="0" w:oddVBand="0" w:evenVBand="0" w:oddHBand="0" w:evenHBand="0" w:firstRowFirstColumn="0" w:firstRowLastColumn="0" w:lastRowFirstColumn="0" w:lastRowLastColumn="0"/>
            <w:tcW w:w="1345" w:type="dxa"/>
            <w:hideMark/>
          </w:tcPr>
          <w:p w14:paraId="19FE9AC7" w14:textId="77777777" w:rsidR="002C24F0" w:rsidRPr="00F247B0" w:rsidRDefault="002C24F0" w:rsidP="00F247B0">
            <w:pPr>
              <w:rPr>
                <w:rFonts w:ascii="Times New Roman" w:hAnsi="Times New Roman" w:cs="Times New Roman"/>
                <w:b w:val="0"/>
                <w:bCs w:val="0"/>
                <w:sz w:val="22"/>
                <w:szCs w:val="22"/>
              </w:rPr>
            </w:pPr>
            <w:r w:rsidRPr="00F247B0">
              <w:rPr>
                <w:rFonts w:ascii="Times New Roman" w:hAnsi="Times New Roman" w:cs="Times New Roman"/>
                <w:sz w:val="22"/>
                <w:szCs w:val="22"/>
              </w:rPr>
              <w:t>Moisture Level</w:t>
            </w:r>
          </w:p>
        </w:tc>
        <w:tc>
          <w:tcPr>
            <w:tcW w:w="2700" w:type="dxa"/>
            <w:hideMark/>
          </w:tcPr>
          <w:p w14:paraId="5784778B"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Feels moist like a wrung sponge (forms a ball when squeezed, no dripping) </w:t>
            </w:r>
          </w:p>
          <w:p w14:paraId="0FEAF2A1"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2340" w:type="dxa"/>
            <w:hideMark/>
          </w:tcPr>
          <w:p w14:paraId="436AC9E1"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Slightly dry or somewhat sticky, but not extreme</w:t>
            </w:r>
          </w:p>
        </w:tc>
        <w:tc>
          <w:tcPr>
            <w:tcW w:w="2965" w:type="dxa"/>
            <w:hideMark/>
          </w:tcPr>
          <w:p w14:paraId="72CF89D6"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Too dry (dusty, won’t hold shape) or waterlogged (drips when squeezed) </w:t>
            </w:r>
          </w:p>
          <w:p w14:paraId="1EE7D36D"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2C24F0" w:rsidRPr="00F247B0" w14:paraId="78923BF4" w14:textId="77777777" w:rsidTr="00495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1D2D8A06" w14:textId="77777777" w:rsidR="002C24F0" w:rsidRPr="00F247B0" w:rsidRDefault="002C24F0" w:rsidP="00F247B0">
            <w:pPr>
              <w:rPr>
                <w:rFonts w:ascii="Times New Roman" w:hAnsi="Times New Roman" w:cs="Times New Roman"/>
                <w:b w:val="0"/>
                <w:bCs w:val="0"/>
                <w:sz w:val="22"/>
                <w:szCs w:val="22"/>
              </w:rPr>
            </w:pPr>
            <w:r w:rsidRPr="00F247B0">
              <w:rPr>
                <w:rFonts w:ascii="Times New Roman" w:hAnsi="Times New Roman" w:cs="Times New Roman"/>
                <w:sz w:val="22"/>
                <w:szCs w:val="22"/>
              </w:rPr>
              <w:t>Visible Life (worms/insects)</w:t>
            </w:r>
          </w:p>
        </w:tc>
        <w:tc>
          <w:tcPr>
            <w:tcW w:w="2700" w:type="dxa"/>
            <w:hideMark/>
          </w:tcPr>
          <w:p w14:paraId="7714C4CB"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A few worms or cocoons; small, harmless soil insects present – healthy compost </w:t>
            </w:r>
          </w:p>
          <w:p w14:paraId="72CE9DEC"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2340" w:type="dxa"/>
            <w:hideMark/>
          </w:tcPr>
          <w:p w14:paraId="7B8D6270"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Several worms are still active (compose nearly finished)</w:t>
            </w:r>
          </w:p>
        </w:tc>
        <w:tc>
          <w:tcPr>
            <w:tcW w:w="2965" w:type="dxa"/>
            <w:hideMark/>
          </w:tcPr>
          <w:p w14:paraId="7A065EB1"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No worms (pile overheated or dried out) or many worms feeding (not yet finished) </w:t>
            </w:r>
          </w:p>
          <w:p w14:paraId="616B9DD1" w14:textId="77777777" w:rsidR="002C24F0" w:rsidRPr="00F247B0" w:rsidRDefault="002C24F0" w:rsidP="00F247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2C24F0" w:rsidRPr="00F247B0" w14:paraId="686400BB" w14:textId="77777777" w:rsidTr="004959E3">
        <w:tc>
          <w:tcPr>
            <w:cnfStyle w:val="001000000000" w:firstRow="0" w:lastRow="0" w:firstColumn="1" w:lastColumn="0" w:oddVBand="0" w:evenVBand="0" w:oddHBand="0" w:evenHBand="0" w:firstRowFirstColumn="0" w:firstRowLastColumn="0" w:lastRowFirstColumn="0" w:lastRowLastColumn="0"/>
            <w:tcW w:w="1345" w:type="dxa"/>
            <w:hideMark/>
          </w:tcPr>
          <w:p w14:paraId="1D130876" w14:textId="77777777" w:rsidR="002C24F0" w:rsidRPr="00F247B0" w:rsidRDefault="002C24F0" w:rsidP="00F247B0">
            <w:pPr>
              <w:rPr>
                <w:rFonts w:ascii="Times New Roman" w:hAnsi="Times New Roman" w:cs="Times New Roman"/>
                <w:b w:val="0"/>
                <w:bCs w:val="0"/>
                <w:sz w:val="22"/>
                <w:szCs w:val="22"/>
              </w:rPr>
            </w:pPr>
            <w:r w:rsidRPr="00F247B0">
              <w:rPr>
                <w:rFonts w:ascii="Times New Roman" w:hAnsi="Times New Roman" w:cs="Times New Roman"/>
                <w:sz w:val="22"/>
                <w:szCs w:val="22"/>
              </w:rPr>
              <w:t>Undecomposed Material</w:t>
            </w:r>
          </w:p>
        </w:tc>
        <w:tc>
          <w:tcPr>
            <w:tcW w:w="2700" w:type="dxa"/>
            <w:hideMark/>
          </w:tcPr>
          <w:p w14:paraId="7E38646A"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No obvious original feedstock (only dark, soil-like particles) </w:t>
            </w:r>
          </w:p>
          <w:p w14:paraId="547136A2"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2340" w:type="dxa"/>
            <w:hideMark/>
          </w:tcPr>
          <w:p w14:paraId="1649D612"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Only a few small bits of leaves or straw remain</w:t>
            </w:r>
          </w:p>
        </w:tc>
        <w:tc>
          <w:tcPr>
            <w:tcW w:w="2965" w:type="dxa"/>
            <w:hideMark/>
          </w:tcPr>
          <w:p w14:paraId="29A635A0" w14:textId="77777777" w:rsidR="002C24F0" w:rsidRPr="00F247B0" w:rsidRDefault="002C24F0" w:rsidP="00F247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247B0">
              <w:rPr>
                <w:rFonts w:ascii="Times New Roman" w:hAnsi="Times New Roman" w:cs="Times New Roman"/>
                <w:sz w:val="22"/>
                <w:szCs w:val="22"/>
              </w:rPr>
              <w:t xml:space="preserve">Many recognizable scraps of manure, straw, etc. (needs more time) </w:t>
            </w:r>
          </w:p>
        </w:tc>
      </w:tr>
    </w:tbl>
    <w:p w14:paraId="21FED4A7" w14:textId="3A92C2B1" w:rsidR="004F36E1" w:rsidRPr="00FF3609" w:rsidRDefault="004F36E1" w:rsidP="00F247B0">
      <w:pPr>
        <w:rPr>
          <w:rFonts w:ascii="Times New Roman" w:hAnsi="Times New Roman" w:cs="Times New Roman"/>
          <w:b/>
          <w:bCs/>
          <w:kern w:val="0"/>
          <w:sz w:val="22"/>
          <w:szCs w:val="22"/>
        </w:rPr>
      </w:pPr>
      <w:r w:rsidRPr="00FF3609">
        <w:rPr>
          <w:rFonts w:ascii="Times New Roman" w:hAnsi="Times New Roman" w:cs="Times New Roman"/>
          <w:b/>
          <w:bCs/>
          <w:kern w:val="0"/>
          <w:sz w:val="22"/>
          <w:szCs w:val="22"/>
        </w:rPr>
        <w:lastRenderedPageBreak/>
        <w:t>3.3 Evaluation Procedure</w:t>
      </w:r>
    </w:p>
    <w:p w14:paraId="782FFD6D" w14:textId="11BC90A8" w:rsidR="00F24C97" w:rsidRPr="00F247B0" w:rsidRDefault="00F24C97"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Fifteen vermicompost boxes were assessed using a participatory and comparative approach. The boxes were numbered (1–15), and participants were grouped into three categories: inexperienced farmers (6: 3 women, 3 men), experienced farmers (6: 3 women, 3 men), and experts (6 participants).</w:t>
      </w:r>
      <w:r w:rsidR="00FF3609">
        <w:rPr>
          <w:rFonts w:ascii="Times New Roman" w:hAnsi="Times New Roman" w:cs="Times New Roman"/>
          <w:kern w:val="0"/>
          <w:sz w:val="22"/>
          <w:szCs w:val="22"/>
        </w:rPr>
        <w:t xml:space="preserve"> </w:t>
      </w:r>
      <w:r w:rsidRPr="00F247B0">
        <w:rPr>
          <w:rFonts w:ascii="Times New Roman" w:hAnsi="Times New Roman" w:cs="Times New Roman"/>
          <w:kern w:val="0"/>
          <w:sz w:val="22"/>
          <w:szCs w:val="22"/>
        </w:rPr>
        <w:t xml:space="preserve">After explaining the evaluation criteria and scoring system, each group independently assessed compost quality using the </w:t>
      </w:r>
      <w:r w:rsidR="00F1692D" w:rsidRPr="00F247B0">
        <w:rPr>
          <w:rFonts w:ascii="Times New Roman" w:hAnsi="Times New Roman" w:cs="Times New Roman"/>
          <w:kern w:val="0"/>
          <w:sz w:val="22"/>
          <w:szCs w:val="22"/>
        </w:rPr>
        <w:t>agreed-upon</w:t>
      </w:r>
      <w:r w:rsidRPr="00F247B0">
        <w:rPr>
          <w:rFonts w:ascii="Times New Roman" w:hAnsi="Times New Roman" w:cs="Times New Roman"/>
          <w:kern w:val="0"/>
          <w:sz w:val="22"/>
          <w:szCs w:val="22"/>
        </w:rPr>
        <w:t xml:space="preserve"> indicators. Reflections were then collected on the clarity, usability, and practicality of the evaluation approach.</w:t>
      </w:r>
    </w:p>
    <w:p w14:paraId="3880CA2E" w14:textId="77777777" w:rsidR="004F36E1" w:rsidRPr="00FF3609" w:rsidRDefault="004F36E1" w:rsidP="00F247B0">
      <w:pPr>
        <w:rPr>
          <w:rFonts w:ascii="Times New Roman" w:hAnsi="Times New Roman" w:cs="Times New Roman"/>
          <w:b/>
          <w:bCs/>
          <w:kern w:val="0"/>
          <w:sz w:val="22"/>
          <w:szCs w:val="22"/>
        </w:rPr>
      </w:pPr>
      <w:r w:rsidRPr="00FF3609">
        <w:rPr>
          <w:rFonts w:ascii="Times New Roman" w:hAnsi="Times New Roman" w:cs="Times New Roman"/>
          <w:b/>
          <w:bCs/>
          <w:kern w:val="0"/>
          <w:sz w:val="22"/>
          <w:szCs w:val="22"/>
        </w:rPr>
        <w:t>4. Participants</w:t>
      </w:r>
    </w:p>
    <w:p w14:paraId="289F52A1" w14:textId="3C1086E7" w:rsidR="004F36E1" w:rsidRPr="00F247B0" w:rsidRDefault="00F1692D"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The field day brought together 93 participants. This included 79 farmers from the demonstration kebele (47 women and 32 men), 8 representatives (kebele chairpersons and extension agents) from four neighboring kebeles, 4 district-level experts, and 2 development agents from the host kebele.</w:t>
      </w:r>
      <w:r w:rsidR="00FF3609">
        <w:rPr>
          <w:rFonts w:ascii="Times New Roman" w:hAnsi="Times New Roman" w:cs="Times New Roman"/>
          <w:kern w:val="0"/>
          <w:sz w:val="22"/>
          <w:szCs w:val="22"/>
        </w:rPr>
        <w:t xml:space="preserve"> </w:t>
      </w:r>
      <w:r w:rsidRPr="00F247B0">
        <w:rPr>
          <w:rFonts w:ascii="Times New Roman" w:hAnsi="Times New Roman" w:cs="Times New Roman"/>
          <w:kern w:val="0"/>
          <w:sz w:val="22"/>
          <w:szCs w:val="22"/>
        </w:rPr>
        <w:t>This diverse participation facilitated knowledge exchange and strengthened linkages among farmers, extension services, and local institutions.</w:t>
      </w:r>
    </w:p>
    <w:p w14:paraId="22CD8FA9" w14:textId="77777777" w:rsidR="004F36E1" w:rsidRPr="00FF3609" w:rsidRDefault="004F36E1" w:rsidP="00F247B0">
      <w:pPr>
        <w:rPr>
          <w:rFonts w:ascii="Times New Roman" w:hAnsi="Times New Roman" w:cs="Times New Roman"/>
          <w:b/>
          <w:bCs/>
          <w:kern w:val="0"/>
          <w:sz w:val="22"/>
          <w:szCs w:val="22"/>
        </w:rPr>
      </w:pPr>
      <w:r w:rsidRPr="00FF3609">
        <w:rPr>
          <w:rFonts w:ascii="Times New Roman" w:hAnsi="Times New Roman" w:cs="Times New Roman"/>
          <w:b/>
          <w:bCs/>
          <w:kern w:val="0"/>
          <w:sz w:val="22"/>
          <w:szCs w:val="22"/>
        </w:rPr>
        <w:t>5. Results and Key Findings</w:t>
      </w:r>
    </w:p>
    <w:p w14:paraId="430D1658" w14:textId="77777777" w:rsidR="004F36E1" w:rsidRPr="00FF3609" w:rsidRDefault="004F36E1" w:rsidP="00F247B0">
      <w:pPr>
        <w:rPr>
          <w:rFonts w:ascii="Times New Roman" w:hAnsi="Times New Roman" w:cs="Times New Roman"/>
          <w:b/>
          <w:bCs/>
          <w:kern w:val="0"/>
          <w:sz w:val="22"/>
          <w:szCs w:val="22"/>
        </w:rPr>
      </w:pPr>
      <w:r w:rsidRPr="00FF3609">
        <w:rPr>
          <w:rFonts w:ascii="Times New Roman" w:hAnsi="Times New Roman" w:cs="Times New Roman"/>
          <w:b/>
          <w:bCs/>
          <w:kern w:val="0"/>
          <w:sz w:val="22"/>
          <w:szCs w:val="22"/>
        </w:rPr>
        <w:t>5.1 Overall Assessment of Vermicompost Quality</w:t>
      </w:r>
    </w:p>
    <w:p w14:paraId="70F14058" w14:textId="7D463155" w:rsidR="0014671B" w:rsidRPr="00F247B0" w:rsidRDefault="0014671B"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The results show that vermicompost quality improves with increasing proportions of </w:t>
      </w:r>
      <w:r w:rsidRPr="00F247B0">
        <w:rPr>
          <w:rFonts w:ascii="Times New Roman" w:hAnsi="Times New Roman" w:cs="Times New Roman"/>
          <w:i/>
          <w:iCs/>
          <w:kern w:val="0"/>
          <w:sz w:val="22"/>
          <w:szCs w:val="22"/>
        </w:rPr>
        <w:t>Erythrina brucei</w:t>
      </w:r>
      <w:r w:rsidRPr="00F247B0">
        <w:rPr>
          <w:rFonts w:ascii="Times New Roman" w:hAnsi="Times New Roman" w:cs="Times New Roman"/>
          <w:kern w:val="0"/>
          <w:sz w:val="22"/>
          <w:szCs w:val="22"/>
        </w:rPr>
        <w:t> biomass (Figure 1). Treatments T5 (100% </w:t>
      </w:r>
      <w:r w:rsidRPr="00F247B0">
        <w:rPr>
          <w:rFonts w:ascii="Times New Roman" w:hAnsi="Times New Roman" w:cs="Times New Roman"/>
          <w:i/>
          <w:iCs/>
          <w:kern w:val="0"/>
          <w:sz w:val="22"/>
          <w:szCs w:val="22"/>
        </w:rPr>
        <w:t>Erythrina</w:t>
      </w:r>
      <w:r w:rsidRPr="00F247B0">
        <w:rPr>
          <w:rFonts w:ascii="Times New Roman" w:hAnsi="Times New Roman" w:cs="Times New Roman"/>
          <w:kern w:val="0"/>
          <w:sz w:val="22"/>
          <w:szCs w:val="22"/>
        </w:rPr>
        <w:t>) and T4 (75% </w:t>
      </w:r>
      <w:r w:rsidRPr="00F247B0">
        <w:rPr>
          <w:rFonts w:ascii="Times New Roman" w:hAnsi="Times New Roman" w:cs="Times New Roman"/>
          <w:i/>
          <w:iCs/>
          <w:kern w:val="0"/>
          <w:sz w:val="22"/>
          <w:szCs w:val="22"/>
        </w:rPr>
        <w:t>Erythrina</w:t>
      </w:r>
      <w:r w:rsidRPr="00F247B0">
        <w:rPr>
          <w:rFonts w:ascii="Times New Roman" w:hAnsi="Times New Roman" w:cs="Times New Roman"/>
          <w:kern w:val="0"/>
          <w:sz w:val="22"/>
          <w:szCs w:val="22"/>
        </w:rPr>
        <w:t xml:space="preserve">) consistently achieved the highest scores across most indicators. </w:t>
      </w:r>
      <w:proofErr w:type="spellStart"/>
      <w:r w:rsidRPr="00F247B0">
        <w:rPr>
          <w:rFonts w:ascii="Times New Roman" w:hAnsi="Times New Roman" w:cs="Times New Roman"/>
          <w:kern w:val="0"/>
          <w:sz w:val="22"/>
          <w:szCs w:val="22"/>
        </w:rPr>
        <w:t>Odour</w:t>
      </w:r>
      <w:proofErr w:type="spellEnd"/>
      <w:r w:rsidRPr="00F247B0">
        <w:rPr>
          <w:rFonts w:ascii="Times New Roman" w:hAnsi="Times New Roman" w:cs="Times New Roman"/>
          <w:kern w:val="0"/>
          <w:sz w:val="22"/>
          <w:szCs w:val="22"/>
        </w:rPr>
        <w:t xml:space="preserve"> scores were uniformly high across all treatments (approximately 2.4–2.9), indicating good decomposition. Texture and moisture improved with higher </w:t>
      </w:r>
      <w:r w:rsidRPr="00F247B0">
        <w:rPr>
          <w:rFonts w:ascii="Times New Roman" w:hAnsi="Times New Roman" w:cs="Times New Roman"/>
          <w:i/>
          <w:iCs/>
          <w:kern w:val="0"/>
          <w:sz w:val="22"/>
          <w:szCs w:val="22"/>
        </w:rPr>
        <w:t>Erythrina</w:t>
      </w:r>
      <w:r w:rsidRPr="00F247B0">
        <w:rPr>
          <w:rFonts w:ascii="Times New Roman" w:hAnsi="Times New Roman" w:cs="Times New Roman"/>
          <w:kern w:val="0"/>
          <w:sz w:val="22"/>
          <w:szCs w:val="22"/>
        </w:rPr>
        <w:t xml:space="preserve"> content, reaching peak values in T5. </w:t>
      </w:r>
      <w:proofErr w:type="spellStart"/>
      <w:r w:rsidRPr="00F247B0">
        <w:rPr>
          <w:rFonts w:ascii="Times New Roman" w:hAnsi="Times New Roman" w:cs="Times New Roman"/>
          <w:kern w:val="0"/>
          <w:sz w:val="22"/>
          <w:szCs w:val="22"/>
        </w:rPr>
        <w:t>Colour</w:t>
      </w:r>
      <w:proofErr w:type="spellEnd"/>
      <w:r w:rsidRPr="00F247B0">
        <w:rPr>
          <w:rFonts w:ascii="Times New Roman" w:hAnsi="Times New Roman" w:cs="Times New Roman"/>
          <w:kern w:val="0"/>
          <w:sz w:val="22"/>
          <w:szCs w:val="22"/>
        </w:rPr>
        <w:t xml:space="preserve"> remained acceptable across treatments with only minor variation. However, scores for visible biological activity were relatively low (around 1.2–1.4), suggesting either limited biological presence or under-recognition by evaluators. Treatments T4 and T5 also showed the best results for absence of undecomposed material, indicating more complete decomposition. Overall, the findings confirm that increasing the proportion of </w:t>
      </w:r>
      <w:r w:rsidRPr="00F247B0">
        <w:rPr>
          <w:rFonts w:ascii="Times New Roman" w:hAnsi="Times New Roman" w:cs="Times New Roman"/>
          <w:i/>
          <w:iCs/>
          <w:kern w:val="0"/>
          <w:sz w:val="22"/>
          <w:szCs w:val="22"/>
        </w:rPr>
        <w:t>Erythrina brucei</w:t>
      </w:r>
      <w:r w:rsidRPr="00F247B0">
        <w:rPr>
          <w:rFonts w:ascii="Times New Roman" w:hAnsi="Times New Roman" w:cs="Times New Roman"/>
          <w:kern w:val="0"/>
          <w:sz w:val="22"/>
          <w:szCs w:val="22"/>
        </w:rPr>
        <w:t> biomass significantly enhances vermicompost quality.</w:t>
      </w:r>
    </w:p>
    <w:p w14:paraId="56926F82" w14:textId="1734200D" w:rsidR="003828B0" w:rsidRPr="00F247B0" w:rsidRDefault="00184601"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 xml:space="preserve">. </w:t>
      </w:r>
    </w:p>
    <w:p w14:paraId="710D2D5E" w14:textId="0C8F3F93" w:rsidR="00DE051E" w:rsidRPr="00F247B0" w:rsidRDefault="009F65FE" w:rsidP="00750D2A">
      <w:pPr>
        <w:spacing w:after="0" w:line="240" w:lineRule="auto"/>
        <w:rPr>
          <w:rFonts w:ascii="Times New Roman" w:hAnsi="Times New Roman" w:cs="Times New Roman"/>
          <w:kern w:val="0"/>
          <w:sz w:val="22"/>
          <w:szCs w:val="22"/>
        </w:rPr>
      </w:pPr>
      <w:r w:rsidRPr="00F247B0">
        <w:rPr>
          <w:rFonts w:ascii="Times New Roman" w:hAnsi="Times New Roman" w:cs="Times New Roman"/>
          <w:noProof/>
          <w:sz w:val="22"/>
          <w:szCs w:val="22"/>
        </w:rPr>
        <w:lastRenderedPageBreak/>
        <w:drawing>
          <wp:inline distT="0" distB="0" distL="0" distR="0" wp14:anchorId="6E86A00C" wp14:editId="3DB6EEA9">
            <wp:extent cx="5426076" cy="3333750"/>
            <wp:effectExtent l="0" t="0" r="3175" b="0"/>
            <wp:docPr id="1918114877" name="Chart 1">
              <a:extLst xmlns:a="http://schemas.openxmlformats.org/drawingml/2006/main">
                <a:ext uri="{FF2B5EF4-FFF2-40B4-BE49-F238E27FC236}">
                  <a16:creationId xmlns:a16="http://schemas.microsoft.com/office/drawing/2014/main" id="{775955F8-C6F7-5D9F-29B2-43DFA987BA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9C421A" w14:textId="7E6F9275" w:rsidR="00AC17BC" w:rsidRPr="00F247B0" w:rsidRDefault="00B74DBE"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Figure 1. Average quality scores of vermicompost produced using different input material combinations. T1 represents the existing Farmers Training Center (FTC) practice (45 kg manure + 100% barley residue). T2–T4 represent mixtures of barley residue and Erythrina brucei biomass in varying proportions (75:25, 50:50, and 25:75, respectively) combined with 45 kg manure. T5 represents 45 kg manure combined with 100% Erythrina brucei biomass.</w:t>
      </w:r>
      <w:r w:rsidR="00397EC4" w:rsidRPr="00F247B0">
        <w:rPr>
          <w:rFonts w:ascii="Times New Roman" w:hAnsi="Times New Roman" w:cs="Times New Roman"/>
          <w:kern w:val="0"/>
          <w:sz w:val="22"/>
          <w:szCs w:val="22"/>
        </w:rPr>
        <w:t xml:space="preserve"> </w:t>
      </w:r>
    </w:p>
    <w:p w14:paraId="5F9D275A" w14:textId="77777777" w:rsidR="004F36E1" w:rsidRPr="00FF3609" w:rsidRDefault="004F36E1" w:rsidP="00F247B0">
      <w:pPr>
        <w:rPr>
          <w:rFonts w:ascii="Times New Roman" w:hAnsi="Times New Roman" w:cs="Times New Roman"/>
          <w:b/>
          <w:bCs/>
          <w:kern w:val="0"/>
          <w:sz w:val="22"/>
          <w:szCs w:val="22"/>
        </w:rPr>
      </w:pPr>
      <w:r w:rsidRPr="00FF3609">
        <w:rPr>
          <w:rFonts w:ascii="Times New Roman" w:hAnsi="Times New Roman" w:cs="Times New Roman"/>
          <w:b/>
          <w:bCs/>
          <w:kern w:val="0"/>
          <w:sz w:val="22"/>
          <w:szCs w:val="22"/>
        </w:rPr>
        <w:t>5.2 Comparison Across Groups</w:t>
      </w:r>
    </w:p>
    <w:p w14:paraId="5E30B2DD" w14:textId="0251C902" w:rsidR="000419E9" w:rsidRPr="00F247B0" w:rsidRDefault="000419E9"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 xml:space="preserve">Within each evaluation group, compost quality increases steadily from T1 to T5, indicating that higher proportions of </w:t>
      </w:r>
      <w:r w:rsidRPr="00F247B0">
        <w:rPr>
          <w:rFonts w:ascii="Times New Roman" w:hAnsi="Times New Roman" w:cs="Times New Roman"/>
          <w:i/>
          <w:iCs/>
          <w:kern w:val="0"/>
          <w:sz w:val="22"/>
          <w:szCs w:val="22"/>
        </w:rPr>
        <w:t>Erythrina brucei</w:t>
      </w:r>
      <w:r w:rsidRPr="00F247B0">
        <w:rPr>
          <w:rFonts w:ascii="Times New Roman" w:hAnsi="Times New Roman" w:cs="Times New Roman"/>
          <w:kern w:val="0"/>
          <w:sz w:val="22"/>
          <w:szCs w:val="22"/>
        </w:rPr>
        <w:t xml:space="preserve"> biomass improve performance across all indicators</w:t>
      </w:r>
      <w:r w:rsidR="001227A6" w:rsidRPr="00F247B0">
        <w:rPr>
          <w:rFonts w:ascii="Times New Roman" w:hAnsi="Times New Roman" w:cs="Times New Roman"/>
          <w:kern w:val="0"/>
          <w:sz w:val="22"/>
          <w:szCs w:val="22"/>
        </w:rPr>
        <w:t xml:space="preserve"> (Figure 2)</w:t>
      </w:r>
      <w:r w:rsidRPr="00F247B0">
        <w:rPr>
          <w:rFonts w:ascii="Times New Roman" w:hAnsi="Times New Roman" w:cs="Times New Roman"/>
          <w:kern w:val="0"/>
          <w:sz w:val="22"/>
          <w:szCs w:val="22"/>
        </w:rPr>
        <w:t xml:space="preserve">. In Group 1 (inexperienced farmers), total scores are consistently high (approximately 14 to above 15), with clear gains in moisture, texture, and undecomposed material as treatments progress toward T5. In Group 2 (experienced farmers), overall scores are noticeably lower (around 10.5 to 13.5), although the same increasing trend from T1 to T5 is maintained, suggesting stricter evaluation, particularly for moisture and texture. In Group 3 (experts), scores range from about 12 to over 15, again showing improvement with higher </w:t>
      </w:r>
      <w:r w:rsidRPr="00F247B0">
        <w:rPr>
          <w:rFonts w:ascii="Times New Roman" w:hAnsi="Times New Roman" w:cs="Times New Roman"/>
          <w:i/>
          <w:iCs/>
          <w:kern w:val="0"/>
          <w:sz w:val="22"/>
          <w:szCs w:val="22"/>
        </w:rPr>
        <w:t>Erythrina</w:t>
      </w:r>
      <w:r w:rsidRPr="00F247B0">
        <w:rPr>
          <w:rFonts w:ascii="Times New Roman" w:hAnsi="Times New Roman" w:cs="Times New Roman"/>
          <w:kern w:val="0"/>
          <w:sz w:val="22"/>
          <w:szCs w:val="22"/>
        </w:rPr>
        <w:t xml:space="preserve"> content, but generally remaining slightly below or comparable to Group 1 totals.</w:t>
      </w:r>
    </w:p>
    <w:p w14:paraId="0D4AB310" w14:textId="11F836D5" w:rsidR="000419E9" w:rsidRPr="00F247B0" w:rsidRDefault="00076424" w:rsidP="00F247B0">
      <w:pPr>
        <w:rPr>
          <w:rFonts w:ascii="Times New Roman" w:hAnsi="Times New Roman" w:cs="Times New Roman"/>
          <w:kern w:val="0"/>
          <w:sz w:val="22"/>
          <w:szCs w:val="22"/>
        </w:rPr>
      </w:pPr>
      <w:r>
        <w:rPr>
          <w:rFonts w:ascii="Times New Roman" w:hAnsi="Times New Roman" w:cs="Times New Roman"/>
          <w:kern w:val="0"/>
          <w:sz w:val="22"/>
          <w:szCs w:val="22"/>
        </w:rPr>
        <w:t>Across groups, Group 1 consistently receives the highest overall ratings, followed by Group 3, while Group 2 receives</w:t>
      </w:r>
      <w:r w:rsidR="000419E9" w:rsidRPr="00F247B0">
        <w:rPr>
          <w:rFonts w:ascii="Times New Roman" w:hAnsi="Times New Roman" w:cs="Times New Roman"/>
          <w:kern w:val="0"/>
          <w:sz w:val="22"/>
          <w:szCs w:val="22"/>
        </w:rPr>
        <w:t xml:space="preserve"> the lowest scores. </w:t>
      </w:r>
      <w:r w:rsidR="00E437B0" w:rsidRPr="00E437B0">
        <w:rPr>
          <w:rFonts w:ascii="Times New Roman" w:hAnsi="Times New Roman" w:cs="Times New Roman"/>
          <w:kern w:val="0"/>
          <w:sz w:val="22"/>
          <w:szCs w:val="22"/>
        </w:rPr>
        <w:t xml:space="preserve">Experienced farmers </w:t>
      </w:r>
      <w:r w:rsidR="00BE326A">
        <w:rPr>
          <w:rFonts w:ascii="Times New Roman" w:hAnsi="Times New Roman" w:cs="Times New Roman"/>
          <w:kern w:val="0"/>
          <w:sz w:val="22"/>
          <w:szCs w:val="22"/>
        </w:rPr>
        <w:t>are</w:t>
      </w:r>
      <w:r w:rsidR="00E437B0" w:rsidRPr="00E437B0">
        <w:rPr>
          <w:rFonts w:ascii="Times New Roman" w:hAnsi="Times New Roman" w:cs="Times New Roman"/>
          <w:kern w:val="0"/>
          <w:sz w:val="22"/>
          <w:szCs w:val="22"/>
        </w:rPr>
        <w:t xml:space="preserve"> conservative</w:t>
      </w:r>
      <w:r w:rsidR="00BE326A">
        <w:rPr>
          <w:rFonts w:ascii="Times New Roman" w:hAnsi="Times New Roman" w:cs="Times New Roman"/>
          <w:kern w:val="0"/>
          <w:sz w:val="22"/>
          <w:szCs w:val="22"/>
        </w:rPr>
        <w:t>,</w:t>
      </w:r>
      <w:r w:rsidR="00E437B0" w:rsidRPr="00E437B0">
        <w:rPr>
          <w:rFonts w:ascii="Times New Roman" w:hAnsi="Times New Roman" w:cs="Times New Roman"/>
          <w:kern w:val="0"/>
          <w:sz w:val="22"/>
          <w:szCs w:val="22"/>
        </w:rPr>
        <w:t xml:space="preserve"> while inexperienced farmers </w:t>
      </w:r>
      <w:r w:rsidR="00E437B0">
        <w:rPr>
          <w:rFonts w:ascii="Times New Roman" w:hAnsi="Times New Roman" w:cs="Times New Roman"/>
          <w:kern w:val="0"/>
          <w:sz w:val="22"/>
          <w:szCs w:val="22"/>
        </w:rPr>
        <w:t xml:space="preserve">look </w:t>
      </w:r>
      <w:r w:rsidR="00E437B0" w:rsidRPr="00E437B0">
        <w:rPr>
          <w:rFonts w:ascii="Times New Roman" w:hAnsi="Times New Roman" w:cs="Times New Roman"/>
          <w:kern w:val="0"/>
          <w:sz w:val="22"/>
          <w:szCs w:val="22"/>
        </w:rPr>
        <w:t xml:space="preserve">generous. May seem logical that the more you know you have a bases to compare with. The experts are between the </w:t>
      </w:r>
      <w:r>
        <w:rPr>
          <w:rFonts w:ascii="Times New Roman" w:hAnsi="Times New Roman" w:cs="Times New Roman"/>
          <w:kern w:val="0"/>
          <w:sz w:val="22"/>
          <w:szCs w:val="22"/>
        </w:rPr>
        <w:t>two, know</w:t>
      </w:r>
      <w:r w:rsidR="00E437B0" w:rsidRPr="00E437B0">
        <w:rPr>
          <w:rFonts w:ascii="Times New Roman" w:hAnsi="Times New Roman" w:cs="Times New Roman"/>
          <w:kern w:val="0"/>
          <w:sz w:val="22"/>
          <w:szCs w:val="22"/>
        </w:rPr>
        <w:t xml:space="preserve"> theoretically but </w:t>
      </w:r>
      <w:r>
        <w:rPr>
          <w:rFonts w:ascii="Times New Roman" w:hAnsi="Times New Roman" w:cs="Times New Roman"/>
          <w:kern w:val="0"/>
          <w:sz w:val="22"/>
          <w:szCs w:val="22"/>
        </w:rPr>
        <w:t xml:space="preserve">are </w:t>
      </w:r>
      <w:r w:rsidR="00E437B0" w:rsidRPr="00E437B0">
        <w:rPr>
          <w:rFonts w:ascii="Times New Roman" w:hAnsi="Times New Roman" w:cs="Times New Roman"/>
          <w:kern w:val="0"/>
          <w:sz w:val="22"/>
          <w:szCs w:val="22"/>
        </w:rPr>
        <w:t>less experienced</w:t>
      </w:r>
      <w:r w:rsidR="00E437B0">
        <w:rPr>
          <w:rFonts w:ascii="Times New Roman" w:hAnsi="Times New Roman" w:cs="Times New Roman"/>
          <w:kern w:val="0"/>
          <w:sz w:val="22"/>
          <w:szCs w:val="22"/>
        </w:rPr>
        <w:t xml:space="preserve">. </w:t>
      </w:r>
      <w:r w:rsidR="000419E9" w:rsidRPr="00F247B0">
        <w:rPr>
          <w:rFonts w:ascii="Times New Roman" w:hAnsi="Times New Roman" w:cs="Times New Roman"/>
          <w:kern w:val="0"/>
          <w:sz w:val="22"/>
          <w:szCs w:val="22"/>
        </w:rPr>
        <w:t xml:space="preserve">Despite these differences in scoring levels, all groups agree on the relative performance of treatments, with T4 and T5 ranked highest. This indicates strong consensus that increasing </w:t>
      </w:r>
      <w:r w:rsidR="000419E9" w:rsidRPr="00F247B0">
        <w:rPr>
          <w:rFonts w:ascii="Times New Roman" w:hAnsi="Times New Roman" w:cs="Times New Roman"/>
          <w:i/>
          <w:iCs/>
          <w:kern w:val="0"/>
          <w:sz w:val="22"/>
          <w:szCs w:val="22"/>
        </w:rPr>
        <w:t>Erythrina brucei</w:t>
      </w:r>
      <w:r w:rsidR="000419E9" w:rsidRPr="00F247B0">
        <w:rPr>
          <w:rFonts w:ascii="Times New Roman" w:hAnsi="Times New Roman" w:cs="Times New Roman"/>
          <w:kern w:val="0"/>
          <w:sz w:val="22"/>
          <w:szCs w:val="22"/>
        </w:rPr>
        <w:t xml:space="preserve"> biomass enhances vermicompost quality, while differences among groups reflect variation in scoring stringency and evaluation perspectives rather than disagreement on treatment performance.</w:t>
      </w:r>
    </w:p>
    <w:p w14:paraId="45BE1B9A" w14:textId="38BE95DD" w:rsidR="000419E9" w:rsidRPr="00F247B0" w:rsidRDefault="001227A6" w:rsidP="00750D2A">
      <w:pPr>
        <w:spacing w:after="0" w:line="240" w:lineRule="auto"/>
        <w:rPr>
          <w:rFonts w:ascii="Times New Roman" w:hAnsi="Times New Roman" w:cs="Times New Roman"/>
          <w:kern w:val="0"/>
          <w:sz w:val="22"/>
          <w:szCs w:val="22"/>
        </w:rPr>
      </w:pPr>
      <w:r w:rsidRPr="00F247B0">
        <w:rPr>
          <w:rFonts w:ascii="Times New Roman" w:hAnsi="Times New Roman" w:cs="Times New Roman"/>
          <w:noProof/>
          <w:sz w:val="22"/>
          <w:szCs w:val="22"/>
        </w:rPr>
        <w:lastRenderedPageBreak/>
        <w:drawing>
          <wp:inline distT="0" distB="0" distL="0" distR="0" wp14:anchorId="0288129C" wp14:editId="393E9D8D">
            <wp:extent cx="5597526" cy="3365500"/>
            <wp:effectExtent l="0" t="0" r="3175" b="6350"/>
            <wp:docPr id="1153692611" name="Chart 1">
              <a:extLst xmlns:a="http://schemas.openxmlformats.org/drawingml/2006/main">
                <a:ext uri="{FF2B5EF4-FFF2-40B4-BE49-F238E27FC236}">
                  <a16:creationId xmlns:a16="http://schemas.microsoft.com/office/drawing/2014/main" id="{8DF3F911-CDBF-13AF-8FF4-CA3772D82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02C36B" w14:textId="148095B9" w:rsidR="000419E9" w:rsidRPr="00F247B0" w:rsidRDefault="001227A6"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 xml:space="preserve">Figure 2. </w:t>
      </w:r>
      <w:r w:rsidR="00B256C3" w:rsidRPr="00F247B0">
        <w:rPr>
          <w:rFonts w:ascii="Times New Roman" w:hAnsi="Times New Roman" w:cs="Times New Roman"/>
          <w:kern w:val="0"/>
          <w:sz w:val="22"/>
          <w:szCs w:val="22"/>
        </w:rPr>
        <w:t>Perceived quality of vermicompost across the three groups</w:t>
      </w:r>
    </w:p>
    <w:p w14:paraId="7C7CBBAE" w14:textId="77777777" w:rsidR="004F36E1" w:rsidRPr="00750D2A" w:rsidRDefault="004F36E1" w:rsidP="00F247B0">
      <w:pPr>
        <w:rPr>
          <w:rFonts w:ascii="Times New Roman" w:hAnsi="Times New Roman" w:cs="Times New Roman"/>
          <w:b/>
          <w:bCs/>
          <w:kern w:val="0"/>
          <w:sz w:val="22"/>
          <w:szCs w:val="22"/>
        </w:rPr>
      </w:pPr>
      <w:r w:rsidRPr="00750D2A">
        <w:rPr>
          <w:rFonts w:ascii="Times New Roman" w:hAnsi="Times New Roman" w:cs="Times New Roman"/>
          <w:b/>
          <w:bCs/>
          <w:kern w:val="0"/>
          <w:sz w:val="22"/>
          <w:szCs w:val="22"/>
        </w:rPr>
        <w:t>5.3 Key Insights</w:t>
      </w:r>
    </w:p>
    <w:p w14:paraId="4AEC208B" w14:textId="77777777" w:rsidR="003A0137" w:rsidRPr="00750D2A" w:rsidRDefault="003A0137" w:rsidP="00750D2A">
      <w:pPr>
        <w:pStyle w:val="ListParagraph"/>
        <w:numPr>
          <w:ilvl w:val="0"/>
          <w:numId w:val="15"/>
        </w:numPr>
        <w:rPr>
          <w:rFonts w:ascii="Times New Roman" w:hAnsi="Times New Roman" w:cs="Times New Roman"/>
          <w:color w:val="424242"/>
          <w:sz w:val="22"/>
          <w:szCs w:val="22"/>
        </w:rPr>
      </w:pPr>
      <w:r w:rsidRPr="00750D2A">
        <w:rPr>
          <w:rFonts w:ascii="Times New Roman" w:hAnsi="Times New Roman" w:cs="Times New Roman"/>
          <w:color w:val="424242"/>
          <w:sz w:val="22"/>
          <w:szCs w:val="22"/>
        </w:rPr>
        <w:t>Farmers can effectively use simple sensory indicators (sight, smell, and touch) to evaluate vermicompost quality.</w:t>
      </w:r>
    </w:p>
    <w:p w14:paraId="7F59D1F3" w14:textId="77777777" w:rsidR="003A0137" w:rsidRDefault="003A0137" w:rsidP="00750D2A">
      <w:pPr>
        <w:pStyle w:val="ListParagraph"/>
        <w:numPr>
          <w:ilvl w:val="0"/>
          <w:numId w:val="15"/>
        </w:numPr>
        <w:rPr>
          <w:rFonts w:ascii="Times New Roman" w:hAnsi="Times New Roman" w:cs="Times New Roman"/>
          <w:color w:val="424242"/>
          <w:sz w:val="22"/>
          <w:szCs w:val="22"/>
        </w:rPr>
      </w:pPr>
      <w:r w:rsidRPr="00750D2A">
        <w:rPr>
          <w:rFonts w:ascii="Times New Roman" w:hAnsi="Times New Roman" w:cs="Times New Roman"/>
          <w:color w:val="424242"/>
          <w:sz w:val="22"/>
          <w:szCs w:val="22"/>
        </w:rPr>
        <w:t xml:space="preserve">The developed evaluation checklist is practical, easy to use, and suitable for field </w:t>
      </w:r>
      <w:proofErr w:type="gramStart"/>
      <w:r w:rsidRPr="00750D2A">
        <w:rPr>
          <w:rFonts w:ascii="Times New Roman" w:hAnsi="Times New Roman" w:cs="Times New Roman"/>
          <w:color w:val="424242"/>
          <w:sz w:val="22"/>
          <w:szCs w:val="22"/>
        </w:rPr>
        <w:t>application</w:t>
      </w:r>
      <w:proofErr w:type="gramEnd"/>
      <w:r w:rsidRPr="00750D2A">
        <w:rPr>
          <w:rFonts w:ascii="Times New Roman" w:hAnsi="Times New Roman" w:cs="Times New Roman"/>
          <w:color w:val="424242"/>
          <w:sz w:val="22"/>
          <w:szCs w:val="22"/>
        </w:rPr>
        <w:t>.</w:t>
      </w:r>
    </w:p>
    <w:p w14:paraId="051AC121" w14:textId="19CB1A18" w:rsidR="00E437B0" w:rsidRPr="00E437B0" w:rsidRDefault="00E437B0" w:rsidP="00E437B0">
      <w:pPr>
        <w:pStyle w:val="ListParagraph"/>
        <w:numPr>
          <w:ilvl w:val="0"/>
          <w:numId w:val="15"/>
        </w:numPr>
        <w:rPr>
          <w:rFonts w:ascii="Times New Roman" w:hAnsi="Times New Roman" w:cs="Times New Roman"/>
          <w:color w:val="424242"/>
          <w:sz w:val="22"/>
          <w:szCs w:val="22"/>
        </w:rPr>
      </w:pPr>
      <w:r>
        <w:rPr>
          <w:rFonts w:ascii="Times New Roman" w:hAnsi="Times New Roman" w:cs="Times New Roman"/>
          <w:color w:val="424242"/>
          <w:sz w:val="22"/>
          <w:szCs w:val="22"/>
        </w:rPr>
        <w:t>Further t</w:t>
      </w:r>
      <w:r w:rsidRPr="00750D2A">
        <w:rPr>
          <w:rFonts w:ascii="Times New Roman" w:hAnsi="Times New Roman" w:cs="Times New Roman"/>
          <w:color w:val="424242"/>
          <w:sz w:val="22"/>
          <w:szCs w:val="22"/>
        </w:rPr>
        <w:t xml:space="preserve">raining and practical experience </w:t>
      </w:r>
      <w:r>
        <w:rPr>
          <w:rFonts w:ascii="Times New Roman" w:hAnsi="Times New Roman" w:cs="Times New Roman"/>
          <w:color w:val="424242"/>
          <w:sz w:val="22"/>
          <w:szCs w:val="22"/>
        </w:rPr>
        <w:t xml:space="preserve">could contribute to </w:t>
      </w:r>
      <w:r w:rsidR="00AE6EBF">
        <w:rPr>
          <w:rFonts w:ascii="Times New Roman" w:hAnsi="Times New Roman" w:cs="Times New Roman"/>
          <w:color w:val="424242"/>
          <w:sz w:val="22"/>
          <w:szCs w:val="22"/>
        </w:rPr>
        <w:t>improving</w:t>
      </w:r>
      <w:r w:rsidRPr="00750D2A">
        <w:rPr>
          <w:rFonts w:ascii="Times New Roman" w:hAnsi="Times New Roman" w:cs="Times New Roman"/>
          <w:color w:val="424242"/>
          <w:sz w:val="22"/>
          <w:szCs w:val="22"/>
        </w:rPr>
        <w:t xml:space="preserve"> the accuracy of quality assessment.</w:t>
      </w:r>
    </w:p>
    <w:p w14:paraId="1E4CD58D" w14:textId="77777777" w:rsidR="004F36E1" w:rsidRPr="00750D2A" w:rsidRDefault="004F36E1" w:rsidP="00F247B0">
      <w:pPr>
        <w:rPr>
          <w:rFonts w:ascii="Times New Roman" w:hAnsi="Times New Roman" w:cs="Times New Roman"/>
          <w:b/>
          <w:bCs/>
          <w:kern w:val="0"/>
          <w:sz w:val="22"/>
          <w:szCs w:val="22"/>
        </w:rPr>
      </w:pPr>
      <w:r w:rsidRPr="00750D2A">
        <w:rPr>
          <w:rFonts w:ascii="Times New Roman" w:hAnsi="Times New Roman" w:cs="Times New Roman"/>
          <w:b/>
          <w:bCs/>
          <w:kern w:val="0"/>
          <w:sz w:val="22"/>
          <w:szCs w:val="22"/>
        </w:rPr>
        <w:t>6. Community Reflections</w:t>
      </w:r>
    </w:p>
    <w:p w14:paraId="1D202D79" w14:textId="77777777" w:rsidR="00A322FF" w:rsidRPr="00F247B0" w:rsidRDefault="00A322FF"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Participants expressed strong appreciation for the field day, emphasizing its practical relevance and learning value. The demonstration enhanced their understanding of vermicompost production and quality assessment, particularly through hands-on engagement.</w:t>
      </w:r>
    </w:p>
    <w:p w14:paraId="767D40B6" w14:textId="77777777" w:rsidR="00A322FF" w:rsidRPr="00F247B0" w:rsidRDefault="00A322FF"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Farmers highlighted that vermicompost production relies on locally available materials and requires relatively low labor and financial input, making it accessible to smallholders. Importantly, experienced farmers confirmed observable improvements in crop performance when using vermicompost, reinforcing its practical benefits.</w:t>
      </w:r>
    </w:p>
    <w:p w14:paraId="5C496A5E" w14:textId="3E288A71" w:rsidR="00A322FF" w:rsidRPr="00F247B0" w:rsidRDefault="00A322FF"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Overall, the reflections indicate strong local acceptance of vermicomposting as a feasible and beneficial soil fertility management practice.</w:t>
      </w:r>
    </w:p>
    <w:p w14:paraId="0CF13409" w14:textId="361BAB5E" w:rsidR="004F36E1" w:rsidRPr="00750D2A" w:rsidRDefault="004F36E1" w:rsidP="00F247B0">
      <w:pPr>
        <w:rPr>
          <w:rFonts w:ascii="Times New Roman" w:hAnsi="Times New Roman" w:cs="Times New Roman"/>
          <w:b/>
          <w:bCs/>
          <w:kern w:val="0"/>
          <w:sz w:val="22"/>
          <w:szCs w:val="22"/>
        </w:rPr>
      </w:pPr>
      <w:r w:rsidRPr="00750D2A">
        <w:rPr>
          <w:rFonts w:ascii="Times New Roman" w:hAnsi="Times New Roman" w:cs="Times New Roman"/>
          <w:b/>
          <w:bCs/>
          <w:kern w:val="0"/>
          <w:sz w:val="22"/>
          <w:szCs w:val="22"/>
        </w:rPr>
        <w:t>7. Conclusions</w:t>
      </w:r>
    </w:p>
    <w:p w14:paraId="6D01D525" w14:textId="7789776B" w:rsidR="00316FD2" w:rsidRPr="00F247B0" w:rsidRDefault="00316FD2"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 xml:space="preserve">The field day effectively demonstrated the feasibility and benefits of vermicompost production while providing a platform for participatory learning and evaluation. The use of a simple, farmer-friendly assessment approach improved participants’ understanding of compost quality and strengthened their </w:t>
      </w:r>
      <w:r w:rsidRPr="00F247B0">
        <w:rPr>
          <w:rFonts w:ascii="Times New Roman" w:hAnsi="Times New Roman" w:cs="Times New Roman"/>
          <w:kern w:val="0"/>
          <w:sz w:val="22"/>
          <w:szCs w:val="22"/>
        </w:rPr>
        <w:lastRenderedPageBreak/>
        <w:t>capacity to independently evaluate their products. The results clearly show that vermicompost quality improves with higher proportions of </w:t>
      </w:r>
      <w:r w:rsidRPr="00F247B0">
        <w:rPr>
          <w:rFonts w:ascii="Times New Roman" w:hAnsi="Times New Roman" w:cs="Times New Roman"/>
          <w:i/>
          <w:iCs/>
          <w:kern w:val="0"/>
          <w:sz w:val="22"/>
          <w:szCs w:val="22"/>
        </w:rPr>
        <w:t>Erythrina brucei</w:t>
      </w:r>
      <w:r w:rsidRPr="00F247B0">
        <w:rPr>
          <w:rFonts w:ascii="Times New Roman" w:hAnsi="Times New Roman" w:cs="Times New Roman"/>
          <w:kern w:val="0"/>
          <w:sz w:val="22"/>
          <w:szCs w:val="22"/>
        </w:rPr>
        <w:t xml:space="preserve"> biomass, with T4 and T5 performing best across all indicators. Combined with strong farmer interest and positive field experiences, this confirms that vermicomposting is a viable, low-cost alternative to inorganic fertilizers. </w:t>
      </w:r>
      <w:r w:rsidR="00A80A3D">
        <w:rPr>
          <w:rFonts w:ascii="Times New Roman" w:hAnsi="Times New Roman" w:cs="Times New Roman"/>
          <w:kern w:val="0"/>
          <w:sz w:val="22"/>
          <w:szCs w:val="22"/>
        </w:rPr>
        <w:t xml:space="preserve">Apart from the compost produced the propagation of the </w:t>
      </w:r>
      <w:proofErr w:type="spellStart"/>
      <w:r w:rsidR="00A80A3D">
        <w:rPr>
          <w:rFonts w:ascii="Times New Roman" w:hAnsi="Times New Roman" w:cs="Times New Roman"/>
          <w:kern w:val="0"/>
          <w:sz w:val="22"/>
          <w:szCs w:val="22"/>
        </w:rPr>
        <w:t>vermi</w:t>
      </w:r>
      <w:proofErr w:type="spellEnd"/>
      <w:r w:rsidR="00A80A3D">
        <w:rPr>
          <w:rFonts w:ascii="Times New Roman" w:hAnsi="Times New Roman" w:cs="Times New Roman"/>
          <w:kern w:val="0"/>
          <w:sz w:val="22"/>
          <w:szCs w:val="22"/>
        </w:rPr>
        <w:t xml:space="preserve"> warms could also be used as input material for others to be engaged in vermicompost production and income source for the producers. </w:t>
      </w:r>
      <w:r w:rsidRPr="00F247B0">
        <w:rPr>
          <w:rFonts w:ascii="Times New Roman" w:hAnsi="Times New Roman" w:cs="Times New Roman"/>
          <w:kern w:val="0"/>
          <w:sz w:val="22"/>
          <w:szCs w:val="22"/>
        </w:rPr>
        <w:t>Given current fertilizer constraints, vermicomposting presents a practical and scalable solution for improving soil fertility and supporting sustainable agricultural production.</w:t>
      </w:r>
    </w:p>
    <w:p w14:paraId="3CEC6CF9" w14:textId="77777777" w:rsidR="004F36E1" w:rsidRPr="00750D2A" w:rsidRDefault="004F36E1" w:rsidP="00F247B0">
      <w:pPr>
        <w:rPr>
          <w:rFonts w:ascii="Times New Roman" w:hAnsi="Times New Roman" w:cs="Times New Roman"/>
          <w:b/>
          <w:bCs/>
          <w:kern w:val="0"/>
          <w:sz w:val="22"/>
          <w:szCs w:val="22"/>
        </w:rPr>
      </w:pPr>
      <w:r w:rsidRPr="00750D2A">
        <w:rPr>
          <w:rFonts w:ascii="Times New Roman" w:hAnsi="Times New Roman" w:cs="Times New Roman"/>
          <w:b/>
          <w:bCs/>
          <w:kern w:val="0"/>
          <w:sz w:val="22"/>
          <w:szCs w:val="22"/>
        </w:rPr>
        <w:t>8. Recommendations</w:t>
      </w:r>
    </w:p>
    <w:p w14:paraId="6597BB41" w14:textId="77777777" w:rsidR="0015473D" w:rsidRPr="00F247B0" w:rsidRDefault="0015473D" w:rsidP="00F247B0">
      <w:pPr>
        <w:rPr>
          <w:rFonts w:ascii="Times New Roman" w:hAnsi="Times New Roman" w:cs="Times New Roman"/>
          <w:kern w:val="0"/>
          <w:sz w:val="22"/>
          <w:szCs w:val="22"/>
        </w:rPr>
      </w:pPr>
      <w:r w:rsidRPr="00F247B0">
        <w:rPr>
          <w:rFonts w:ascii="Times New Roman" w:hAnsi="Times New Roman" w:cs="Times New Roman"/>
          <w:kern w:val="0"/>
          <w:sz w:val="22"/>
          <w:szCs w:val="22"/>
        </w:rPr>
        <w:t>Based on the findings and participant feedback, the following actions are recommended:</w:t>
      </w:r>
    </w:p>
    <w:p w14:paraId="08F78FBF" w14:textId="77777777" w:rsidR="0015473D" w:rsidRPr="00750D2A" w:rsidRDefault="0015473D" w:rsidP="00750D2A">
      <w:pPr>
        <w:pStyle w:val="ListParagraph"/>
        <w:numPr>
          <w:ilvl w:val="0"/>
          <w:numId w:val="16"/>
        </w:numPr>
        <w:rPr>
          <w:rFonts w:ascii="Times New Roman" w:hAnsi="Times New Roman" w:cs="Times New Roman"/>
          <w:kern w:val="0"/>
          <w:sz w:val="22"/>
          <w:szCs w:val="22"/>
        </w:rPr>
      </w:pPr>
      <w:r w:rsidRPr="00750D2A">
        <w:rPr>
          <w:rFonts w:ascii="Times New Roman" w:hAnsi="Times New Roman" w:cs="Times New Roman"/>
          <w:b/>
          <w:bCs/>
          <w:kern w:val="0"/>
          <w:sz w:val="22"/>
          <w:szCs w:val="22"/>
        </w:rPr>
        <w:t>Capacity building</w:t>
      </w:r>
      <w:r w:rsidRPr="00750D2A">
        <w:rPr>
          <w:rFonts w:ascii="Times New Roman" w:hAnsi="Times New Roman" w:cs="Times New Roman"/>
          <w:kern w:val="0"/>
          <w:sz w:val="22"/>
          <w:szCs w:val="22"/>
        </w:rPr>
        <w:t>: Provide targeted training on vermicompost maturity indicators, particularly biological indicators, to improve farmers’ assessment skills.</w:t>
      </w:r>
    </w:p>
    <w:p w14:paraId="1C5251C7" w14:textId="77777777" w:rsidR="0015473D" w:rsidRPr="00750D2A" w:rsidRDefault="0015473D" w:rsidP="00750D2A">
      <w:pPr>
        <w:pStyle w:val="ListParagraph"/>
        <w:numPr>
          <w:ilvl w:val="0"/>
          <w:numId w:val="16"/>
        </w:numPr>
        <w:rPr>
          <w:rFonts w:ascii="Times New Roman" w:hAnsi="Times New Roman" w:cs="Times New Roman"/>
          <w:kern w:val="0"/>
          <w:sz w:val="22"/>
          <w:szCs w:val="22"/>
        </w:rPr>
      </w:pPr>
      <w:r w:rsidRPr="00750D2A">
        <w:rPr>
          <w:rFonts w:ascii="Times New Roman" w:hAnsi="Times New Roman" w:cs="Times New Roman"/>
          <w:b/>
          <w:bCs/>
          <w:kern w:val="0"/>
          <w:sz w:val="22"/>
          <w:szCs w:val="22"/>
        </w:rPr>
        <w:t>Scaling up</w:t>
      </w:r>
      <w:r w:rsidRPr="00750D2A">
        <w:rPr>
          <w:rFonts w:ascii="Times New Roman" w:hAnsi="Times New Roman" w:cs="Times New Roman"/>
          <w:kern w:val="0"/>
          <w:sz w:val="22"/>
          <w:szCs w:val="22"/>
        </w:rPr>
        <w:t>: Promote vermicompost production in neighboring kebeles, with emphasis on using high-quality biomass inputs such as </w:t>
      </w:r>
      <w:r w:rsidRPr="00750D2A">
        <w:rPr>
          <w:rFonts w:ascii="Times New Roman" w:hAnsi="Times New Roman" w:cs="Times New Roman"/>
          <w:i/>
          <w:iCs/>
          <w:kern w:val="0"/>
          <w:sz w:val="22"/>
          <w:szCs w:val="22"/>
        </w:rPr>
        <w:t>Erythrina brucei</w:t>
      </w:r>
      <w:r w:rsidRPr="00750D2A">
        <w:rPr>
          <w:rFonts w:ascii="Times New Roman" w:hAnsi="Times New Roman" w:cs="Times New Roman"/>
          <w:kern w:val="0"/>
          <w:sz w:val="22"/>
          <w:szCs w:val="22"/>
        </w:rPr>
        <w:t> to enhance compost quality.</w:t>
      </w:r>
    </w:p>
    <w:p w14:paraId="1D180C66" w14:textId="77777777" w:rsidR="0015473D" w:rsidRPr="00750D2A" w:rsidRDefault="0015473D" w:rsidP="00750D2A">
      <w:pPr>
        <w:pStyle w:val="ListParagraph"/>
        <w:numPr>
          <w:ilvl w:val="0"/>
          <w:numId w:val="16"/>
        </w:numPr>
        <w:rPr>
          <w:rFonts w:ascii="Times New Roman" w:hAnsi="Times New Roman" w:cs="Times New Roman"/>
          <w:kern w:val="0"/>
          <w:sz w:val="22"/>
          <w:szCs w:val="22"/>
        </w:rPr>
      </w:pPr>
      <w:r w:rsidRPr="00750D2A">
        <w:rPr>
          <w:rFonts w:ascii="Times New Roman" w:hAnsi="Times New Roman" w:cs="Times New Roman"/>
          <w:b/>
          <w:bCs/>
          <w:kern w:val="0"/>
          <w:sz w:val="22"/>
          <w:szCs w:val="22"/>
        </w:rPr>
        <w:t>Follow-up support</w:t>
      </w:r>
      <w:r w:rsidRPr="00750D2A">
        <w:rPr>
          <w:rFonts w:ascii="Times New Roman" w:hAnsi="Times New Roman" w:cs="Times New Roman"/>
          <w:kern w:val="0"/>
          <w:sz w:val="22"/>
          <w:szCs w:val="22"/>
        </w:rPr>
        <w:t>: Strengthen extension services to provide continuous technical guidance and monitor adoption at the farmer level.</w:t>
      </w:r>
    </w:p>
    <w:p w14:paraId="3EA05502" w14:textId="77777777" w:rsidR="0015473D" w:rsidRPr="00750D2A" w:rsidRDefault="0015473D" w:rsidP="00750D2A">
      <w:pPr>
        <w:pStyle w:val="ListParagraph"/>
        <w:numPr>
          <w:ilvl w:val="0"/>
          <w:numId w:val="16"/>
        </w:numPr>
        <w:rPr>
          <w:rFonts w:ascii="Times New Roman" w:hAnsi="Times New Roman" w:cs="Times New Roman"/>
          <w:kern w:val="0"/>
          <w:sz w:val="22"/>
          <w:szCs w:val="22"/>
        </w:rPr>
      </w:pPr>
      <w:r w:rsidRPr="00750D2A">
        <w:rPr>
          <w:rFonts w:ascii="Times New Roman" w:hAnsi="Times New Roman" w:cs="Times New Roman"/>
          <w:b/>
          <w:bCs/>
          <w:kern w:val="0"/>
          <w:sz w:val="22"/>
          <w:szCs w:val="22"/>
        </w:rPr>
        <w:t>Tool dissemination</w:t>
      </w:r>
      <w:r w:rsidRPr="00750D2A">
        <w:rPr>
          <w:rFonts w:ascii="Times New Roman" w:hAnsi="Times New Roman" w:cs="Times New Roman"/>
          <w:kern w:val="0"/>
          <w:sz w:val="22"/>
          <w:szCs w:val="22"/>
        </w:rPr>
        <w:t>: Simplify and widely disseminate the compost evaluation checklist to support broader use by farmers and development agents.</w:t>
      </w:r>
    </w:p>
    <w:p w14:paraId="27EA1128" w14:textId="77777777" w:rsidR="0015473D" w:rsidRPr="00750D2A" w:rsidRDefault="0015473D" w:rsidP="00750D2A">
      <w:pPr>
        <w:pStyle w:val="ListParagraph"/>
        <w:numPr>
          <w:ilvl w:val="0"/>
          <w:numId w:val="16"/>
        </w:numPr>
        <w:rPr>
          <w:rFonts w:ascii="Times New Roman" w:hAnsi="Times New Roman" w:cs="Times New Roman"/>
          <w:kern w:val="0"/>
          <w:sz w:val="22"/>
          <w:szCs w:val="22"/>
        </w:rPr>
      </w:pPr>
      <w:r w:rsidRPr="00750D2A">
        <w:rPr>
          <w:rFonts w:ascii="Times New Roman" w:hAnsi="Times New Roman" w:cs="Times New Roman"/>
          <w:b/>
          <w:bCs/>
          <w:kern w:val="0"/>
          <w:sz w:val="22"/>
          <w:szCs w:val="22"/>
        </w:rPr>
        <w:t>Policy engagement</w:t>
      </w:r>
      <w:r w:rsidRPr="00750D2A">
        <w:rPr>
          <w:rFonts w:ascii="Times New Roman" w:hAnsi="Times New Roman" w:cs="Times New Roman"/>
          <w:kern w:val="0"/>
          <w:sz w:val="22"/>
          <w:szCs w:val="22"/>
        </w:rPr>
        <w:t>: Advocate for the integration of biological fertilizers, including vermicompost, into local and national sustainable agriculture strategies.</w:t>
      </w:r>
    </w:p>
    <w:p w14:paraId="0EB68EAC" w14:textId="77777777" w:rsidR="005F4BC3" w:rsidRPr="00F247B0" w:rsidRDefault="005F4BC3" w:rsidP="00F247B0">
      <w:pPr>
        <w:rPr>
          <w:rFonts w:ascii="Times New Roman" w:hAnsi="Times New Roman" w:cs="Times New Roman"/>
          <w:sz w:val="22"/>
          <w:szCs w:val="22"/>
        </w:rPr>
      </w:pPr>
    </w:p>
    <w:p w14:paraId="77EEF832" w14:textId="77777777" w:rsidR="00F247B0" w:rsidRPr="00F247B0" w:rsidRDefault="00F247B0" w:rsidP="00F247B0">
      <w:pPr>
        <w:rPr>
          <w:rFonts w:ascii="Times New Roman" w:hAnsi="Times New Roman" w:cs="Times New Roman"/>
          <w:sz w:val="22"/>
          <w:szCs w:val="22"/>
        </w:rPr>
      </w:pPr>
    </w:p>
    <w:sectPr w:rsidR="00F247B0" w:rsidRPr="00F247B0">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F00AD" w14:textId="77777777" w:rsidR="00EA7125" w:rsidRDefault="00EA7125" w:rsidP="00760817">
      <w:pPr>
        <w:spacing w:after="0" w:line="240" w:lineRule="auto"/>
      </w:pPr>
      <w:r>
        <w:separator/>
      </w:r>
    </w:p>
  </w:endnote>
  <w:endnote w:type="continuationSeparator" w:id="0">
    <w:p w14:paraId="24768B44" w14:textId="77777777" w:rsidR="00EA7125" w:rsidRDefault="00EA7125" w:rsidP="00760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927855"/>
      <w:docPartObj>
        <w:docPartGallery w:val="Page Numbers (Bottom of Page)"/>
        <w:docPartUnique/>
      </w:docPartObj>
    </w:sdtPr>
    <w:sdtEndPr>
      <w:rPr>
        <w:noProof/>
      </w:rPr>
    </w:sdtEndPr>
    <w:sdtContent>
      <w:p w14:paraId="2CA90B1E" w14:textId="78C8A727" w:rsidR="00760817" w:rsidRDefault="007608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BB79C2" w14:textId="77777777" w:rsidR="00760817" w:rsidRDefault="00760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71C7F" w14:textId="77777777" w:rsidR="00EA7125" w:rsidRDefault="00EA7125" w:rsidP="00760817">
      <w:pPr>
        <w:spacing w:after="0" w:line="240" w:lineRule="auto"/>
      </w:pPr>
      <w:r>
        <w:separator/>
      </w:r>
    </w:p>
  </w:footnote>
  <w:footnote w:type="continuationSeparator" w:id="0">
    <w:p w14:paraId="2627EABC" w14:textId="77777777" w:rsidR="00EA7125" w:rsidRDefault="00EA7125" w:rsidP="007608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603"/>
    <w:multiLevelType w:val="multilevel"/>
    <w:tmpl w:val="E9F2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14140"/>
    <w:multiLevelType w:val="multilevel"/>
    <w:tmpl w:val="EA78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D23D9"/>
    <w:multiLevelType w:val="multilevel"/>
    <w:tmpl w:val="D58C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05D92"/>
    <w:multiLevelType w:val="multilevel"/>
    <w:tmpl w:val="E27A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87B97"/>
    <w:multiLevelType w:val="multilevel"/>
    <w:tmpl w:val="4944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0828F4"/>
    <w:multiLevelType w:val="multilevel"/>
    <w:tmpl w:val="C7406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B51F3"/>
    <w:multiLevelType w:val="multilevel"/>
    <w:tmpl w:val="460E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BD3C0E"/>
    <w:multiLevelType w:val="multilevel"/>
    <w:tmpl w:val="2D268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E2674E"/>
    <w:multiLevelType w:val="multilevel"/>
    <w:tmpl w:val="CA08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561902"/>
    <w:multiLevelType w:val="hybridMultilevel"/>
    <w:tmpl w:val="32A66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E83C1D"/>
    <w:multiLevelType w:val="multilevel"/>
    <w:tmpl w:val="D81A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47D34"/>
    <w:multiLevelType w:val="multilevel"/>
    <w:tmpl w:val="F34A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7934BA"/>
    <w:multiLevelType w:val="hybridMultilevel"/>
    <w:tmpl w:val="08421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462C32"/>
    <w:multiLevelType w:val="multilevel"/>
    <w:tmpl w:val="5A50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25775D"/>
    <w:multiLevelType w:val="multilevel"/>
    <w:tmpl w:val="02E4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AD0B72"/>
    <w:multiLevelType w:val="multilevel"/>
    <w:tmpl w:val="843A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954679">
    <w:abstractNumId w:val="1"/>
  </w:num>
  <w:num w:numId="2" w16cid:durableId="974677038">
    <w:abstractNumId w:val="6"/>
  </w:num>
  <w:num w:numId="3" w16cid:durableId="2042703549">
    <w:abstractNumId w:val="2"/>
  </w:num>
  <w:num w:numId="4" w16cid:durableId="568271452">
    <w:abstractNumId w:val="7"/>
  </w:num>
  <w:num w:numId="5" w16cid:durableId="128791076">
    <w:abstractNumId w:val="11"/>
  </w:num>
  <w:num w:numId="6" w16cid:durableId="1535344284">
    <w:abstractNumId w:val="10"/>
  </w:num>
  <w:num w:numId="7" w16cid:durableId="1902935536">
    <w:abstractNumId w:val="15"/>
  </w:num>
  <w:num w:numId="8" w16cid:durableId="245576724">
    <w:abstractNumId w:val="5"/>
  </w:num>
  <w:num w:numId="9" w16cid:durableId="762577211">
    <w:abstractNumId w:val="3"/>
  </w:num>
  <w:num w:numId="10" w16cid:durableId="209270783">
    <w:abstractNumId w:val="13"/>
  </w:num>
  <w:num w:numId="11" w16cid:durableId="1788230364">
    <w:abstractNumId w:val="14"/>
  </w:num>
  <w:num w:numId="12" w16cid:durableId="2052001462">
    <w:abstractNumId w:val="8"/>
  </w:num>
  <w:num w:numId="13" w16cid:durableId="310643856">
    <w:abstractNumId w:val="0"/>
  </w:num>
  <w:num w:numId="14" w16cid:durableId="376707027">
    <w:abstractNumId w:val="4"/>
  </w:num>
  <w:num w:numId="15" w16cid:durableId="689915883">
    <w:abstractNumId w:val="9"/>
  </w:num>
  <w:num w:numId="16" w16cid:durableId="1195265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6E1"/>
    <w:rsid w:val="000362A5"/>
    <w:rsid w:val="000418E9"/>
    <w:rsid w:val="000419E9"/>
    <w:rsid w:val="00076424"/>
    <w:rsid w:val="00082CFC"/>
    <w:rsid w:val="00083A01"/>
    <w:rsid w:val="00094C1D"/>
    <w:rsid w:val="000B3472"/>
    <w:rsid w:val="000B6AB9"/>
    <w:rsid w:val="000E3285"/>
    <w:rsid w:val="000F5104"/>
    <w:rsid w:val="00103177"/>
    <w:rsid w:val="00113372"/>
    <w:rsid w:val="00121DF1"/>
    <w:rsid w:val="001227A6"/>
    <w:rsid w:val="0014671B"/>
    <w:rsid w:val="0015473D"/>
    <w:rsid w:val="001649D6"/>
    <w:rsid w:val="001653F8"/>
    <w:rsid w:val="00184601"/>
    <w:rsid w:val="001A1A03"/>
    <w:rsid w:val="001D3D92"/>
    <w:rsid w:val="00211494"/>
    <w:rsid w:val="0023742E"/>
    <w:rsid w:val="0029209D"/>
    <w:rsid w:val="002B2A3C"/>
    <w:rsid w:val="002C24F0"/>
    <w:rsid w:val="002F20AF"/>
    <w:rsid w:val="00316FD2"/>
    <w:rsid w:val="00321362"/>
    <w:rsid w:val="003828B0"/>
    <w:rsid w:val="00397EC4"/>
    <w:rsid w:val="003A0137"/>
    <w:rsid w:val="003A5B63"/>
    <w:rsid w:val="003B0071"/>
    <w:rsid w:val="003D3B0E"/>
    <w:rsid w:val="003E488A"/>
    <w:rsid w:val="00463E89"/>
    <w:rsid w:val="00473454"/>
    <w:rsid w:val="0049398C"/>
    <w:rsid w:val="004959E3"/>
    <w:rsid w:val="004C0A36"/>
    <w:rsid w:val="004F36E1"/>
    <w:rsid w:val="005213F1"/>
    <w:rsid w:val="00543083"/>
    <w:rsid w:val="00554147"/>
    <w:rsid w:val="00597B56"/>
    <w:rsid w:val="005A21D2"/>
    <w:rsid w:val="005D0082"/>
    <w:rsid w:val="005F4BC3"/>
    <w:rsid w:val="00602F1A"/>
    <w:rsid w:val="00674BF7"/>
    <w:rsid w:val="00682167"/>
    <w:rsid w:val="00686E94"/>
    <w:rsid w:val="006B32DD"/>
    <w:rsid w:val="006C2F45"/>
    <w:rsid w:val="006C61B2"/>
    <w:rsid w:val="00722547"/>
    <w:rsid w:val="00750D2A"/>
    <w:rsid w:val="00760817"/>
    <w:rsid w:val="0077101A"/>
    <w:rsid w:val="0079040F"/>
    <w:rsid w:val="007945C9"/>
    <w:rsid w:val="007A75B8"/>
    <w:rsid w:val="007F5EA6"/>
    <w:rsid w:val="00816AE7"/>
    <w:rsid w:val="00846CAA"/>
    <w:rsid w:val="00847350"/>
    <w:rsid w:val="00875233"/>
    <w:rsid w:val="008A7BC0"/>
    <w:rsid w:val="008C22B5"/>
    <w:rsid w:val="008D6DF9"/>
    <w:rsid w:val="0092114A"/>
    <w:rsid w:val="009230F8"/>
    <w:rsid w:val="00940A41"/>
    <w:rsid w:val="00943648"/>
    <w:rsid w:val="009822D5"/>
    <w:rsid w:val="009B665F"/>
    <w:rsid w:val="009E7A13"/>
    <w:rsid w:val="009F65FE"/>
    <w:rsid w:val="00A322FF"/>
    <w:rsid w:val="00A80A3D"/>
    <w:rsid w:val="00A84E1F"/>
    <w:rsid w:val="00A86CB8"/>
    <w:rsid w:val="00AB7640"/>
    <w:rsid w:val="00AC17BC"/>
    <w:rsid w:val="00AE6EBF"/>
    <w:rsid w:val="00B23764"/>
    <w:rsid w:val="00B25630"/>
    <w:rsid w:val="00B256C3"/>
    <w:rsid w:val="00B273E2"/>
    <w:rsid w:val="00B74DBE"/>
    <w:rsid w:val="00B94A88"/>
    <w:rsid w:val="00BB2EAA"/>
    <w:rsid w:val="00BE326A"/>
    <w:rsid w:val="00C0436F"/>
    <w:rsid w:val="00C47E8C"/>
    <w:rsid w:val="00CD504B"/>
    <w:rsid w:val="00CE08EC"/>
    <w:rsid w:val="00D5440A"/>
    <w:rsid w:val="00D609DE"/>
    <w:rsid w:val="00D703C8"/>
    <w:rsid w:val="00D96B5A"/>
    <w:rsid w:val="00DC71C5"/>
    <w:rsid w:val="00DE051E"/>
    <w:rsid w:val="00E0466B"/>
    <w:rsid w:val="00E32668"/>
    <w:rsid w:val="00E437B0"/>
    <w:rsid w:val="00E51F39"/>
    <w:rsid w:val="00EA7125"/>
    <w:rsid w:val="00ED0098"/>
    <w:rsid w:val="00F1692D"/>
    <w:rsid w:val="00F211BE"/>
    <w:rsid w:val="00F21F87"/>
    <w:rsid w:val="00F247B0"/>
    <w:rsid w:val="00F24C97"/>
    <w:rsid w:val="00F3469C"/>
    <w:rsid w:val="00FA2D52"/>
    <w:rsid w:val="00FC32F5"/>
    <w:rsid w:val="00FE4447"/>
    <w:rsid w:val="00FF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D2DF"/>
  <w15:chartTrackingRefBased/>
  <w15:docId w15:val="{C766E9A2-B94E-402E-A588-D175F861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6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6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6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6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6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6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6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6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6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6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6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6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6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6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6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6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6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6E1"/>
    <w:rPr>
      <w:rFonts w:eastAsiaTheme="majorEastAsia" w:cstheme="majorBidi"/>
      <w:color w:val="272727" w:themeColor="text1" w:themeTint="D8"/>
    </w:rPr>
  </w:style>
  <w:style w:type="paragraph" w:styleId="Title">
    <w:name w:val="Title"/>
    <w:basedOn w:val="Normal"/>
    <w:next w:val="Normal"/>
    <w:link w:val="TitleChar"/>
    <w:uiPriority w:val="10"/>
    <w:qFormat/>
    <w:rsid w:val="004F36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6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6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6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6E1"/>
    <w:pPr>
      <w:spacing w:before="160"/>
      <w:jc w:val="center"/>
    </w:pPr>
    <w:rPr>
      <w:i/>
      <w:iCs/>
      <w:color w:val="404040" w:themeColor="text1" w:themeTint="BF"/>
    </w:rPr>
  </w:style>
  <w:style w:type="character" w:customStyle="1" w:styleId="QuoteChar">
    <w:name w:val="Quote Char"/>
    <w:basedOn w:val="DefaultParagraphFont"/>
    <w:link w:val="Quote"/>
    <w:uiPriority w:val="29"/>
    <w:rsid w:val="004F36E1"/>
    <w:rPr>
      <w:i/>
      <w:iCs/>
      <w:color w:val="404040" w:themeColor="text1" w:themeTint="BF"/>
    </w:rPr>
  </w:style>
  <w:style w:type="paragraph" w:styleId="ListParagraph">
    <w:name w:val="List Paragraph"/>
    <w:basedOn w:val="Normal"/>
    <w:uiPriority w:val="34"/>
    <w:qFormat/>
    <w:rsid w:val="004F36E1"/>
    <w:pPr>
      <w:ind w:left="720"/>
      <w:contextualSpacing/>
    </w:pPr>
  </w:style>
  <w:style w:type="character" w:styleId="IntenseEmphasis">
    <w:name w:val="Intense Emphasis"/>
    <w:basedOn w:val="DefaultParagraphFont"/>
    <w:uiPriority w:val="21"/>
    <w:qFormat/>
    <w:rsid w:val="004F36E1"/>
    <w:rPr>
      <w:i/>
      <w:iCs/>
      <w:color w:val="0F4761" w:themeColor="accent1" w:themeShade="BF"/>
    </w:rPr>
  </w:style>
  <w:style w:type="paragraph" w:styleId="IntenseQuote">
    <w:name w:val="Intense Quote"/>
    <w:basedOn w:val="Normal"/>
    <w:next w:val="Normal"/>
    <w:link w:val="IntenseQuoteChar"/>
    <w:uiPriority w:val="30"/>
    <w:qFormat/>
    <w:rsid w:val="004F36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6E1"/>
    <w:rPr>
      <w:i/>
      <w:iCs/>
      <w:color w:val="0F4761" w:themeColor="accent1" w:themeShade="BF"/>
    </w:rPr>
  </w:style>
  <w:style w:type="character" w:styleId="IntenseReference">
    <w:name w:val="Intense Reference"/>
    <w:basedOn w:val="DefaultParagraphFont"/>
    <w:uiPriority w:val="32"/>
    <w:qFormat/>
    <w:rsid w:val="004F36E1"/>
    <w:rPr>
      <w:b/>
      <w:bCs/>
      <w:smallCaps/>
      <w:color w:val="0F4761" w:themeColor="accent1" w:themeShade="BF"/>
      <w:spacing w:val="5"/>
    </w:rPr>
  </w:style>
  <w:style w:type="table" w:styleId="TableGrid">
    <w:name w:val="Table Grid"/>
    <w:basedOn w:val="TableNormal"/>
    <w:uiPriority w:val="39"/>
    <w:rsid w:val="002C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4959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
    <w:name w:val="Grid Table 5 Dark"/>
    <w:basedOn w:val="TableNormal"/>
    <w:uiPriority w:val="50"/>
    <w:rsid w:val="004959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ccc16d0">
    <w:name w:val="___ccc16d0"/>
    <w:basedOn w:val="Normal"/>
    <w:rsid w:val="003A013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60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817"/>
  </w:style>
  <w:style w:type="paragraph" w:styleId="Footer">
    <w:name w:val="footer"/>
    <w:basedOn w:val="Normal"/>
    <w:link w:val="FooterChar"/>
    <w:uiPriority w:val="99"/>
    <w:unhideWhenUsed/>
    <w:rsid w:val="00760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817"/>
  </w:style>
  <w:style w:type="paragraph" w:styleId="Revision">
    <w:name w:val="Revision"/>
    <w:hidden/>
    <w:uiPriority w:val="99"/>
    <w:semiHidden/>
    <w:rsid w:val="00A86CB8"/>
    <w:pPr>
      <w:spacing w:after="0" w:line="240" w:lineRule="auto"/>
    </w:pPr>
  </w:style>
  <w:style w:type="character" w:styleId="CommentReference">
    <w:name w:val="annotation reference"/>
    <w:basedOn w:val="DefaultParagraphFont"/>
    <w:uiPriority w:val="99"/>
    <w:semiHidden/>
    <w:unhideWhenUsed/>
    <w:rsid w:val="00A86CB8"/>
    <w:rPr>
      <w:sz w:val="16"/>
      <w:szCs w:val="16"/>
    </w:rPr>
  </w:style>
  <w:style w:type="paragraph" w:styleId="CommentText">
    <w:name w:val="annotation text"/>
    <w:basedOn w:val="Normal"/>
    <w:link w:val="CommentTextChar"/>
    <w:uiPriority w:val="99"/>
    <w:semiHidden/>
    <w:unhideWhenUsed/>
    <w:rsid w:val="00A86CB8"/>
    <w:pPr>
      <w:spacing w:line="240" w:lineRule="auto"/>
    </w:pPr>
    <w:rPr>
      <w:sz w:val="20"/>
      <w:szCs w:val="20"/>
    </w:rPr>
  </w:style>
  <w:style w:type="character" w:customStyle="1" w:styleId="CommentTextChar">
    <w:name w:val="Comment Text Char"/>
    <w:basedOn w:val="DefaultParagraphFont"/>
    <w:link w:val="CommentText"/>
    <w:uiPriority w:val="99"/>
    <w:semiHidden/>
    <w:rsid w:val="00A86CB8"/>
    <w:rPr>
      <w:sz w:val="20"/>
      <w:szCs w:val="20"/>
    </w:rPr>
  </w:style>
  <w:style w:type="paragraph" w:styleId="CommentSubject">
    <w:name w:val="annotation subject"/>
    <w:basedOn w:val="CommentText"/>
    <w:next w:val="CommentText"/>
    <w:link w:val="CommentSubjectChar"/>
    <w:uiPriority w:val="99"/>
    <w:semiHidden/>
    <w:unhideWhenUsed/>
    <w:rsid w:val="00A86CB8"/>
    <w:rPr>
      <w:b/>
      <w:bCs/>
    </w:rPr>
  </w:style>
  <w:style w:type="character" w:customStyle="1" w:styleId="CommentSubjectChar">
    <w:name w:val="Comment Subject Char"/>
    <w:basedOn w:val="CommentTextChar"/>
    <w:link w:val="CommentSubject"/>
    <w:uiPriority w:val="99"/>
    <w:semiHidden/>
    <w:rsid w:val="00A86C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'T-description'!$E$34</c:f>
              <c:strCache>
                <c:ptCount val="1"/>
                <c:pt idx="0">
                  <c:v>T - 1</c:v>
                </c:pt>
              </c:strCache>
            </c:strRef>
          </c:tx>
          <c:spPr>
            <a:solidFill>
              <a:schemeClr val="accent1"/>
            </a:solidFill>
            <a:ln>
              <a:noFill/>
            </a:ln>
            <a:effectLst/>
          </c:spPr>
          <c:invertIfNegative val="0"/>
          <c:cat>
            <c:strRef>
              <c:f>'T-description'!$D$35:$D$40</c:f>
              <c:strCache>
                <c:ptCount val="6"/>
                <c:pt idx="0">
                  <c:v>Color</c:v>
                </c:pt>
                <c:pt idx="1">
                  <c:v>Odor (Smell)</c:v>
                </c:pt>
                <c:pt idx="2">
                  <c:v>Texture</c:v>
                </c:pt>
                <c:pt idx="3">
                  <c:v>Moisture Level</c:v>
                </c:pt>
                <c:pt idx="4">
                  <c:v>Visible Life</c:v>
                </c:pt>
                <c:pt idx="5">
                  <c:v>Undecomposed</c:v>
                </c:pt>
              </c:strCache>
            </c:strRef>
          </c:cat>
          <c:val>
            <c:numRef>
              <c:f>'T-description'!$E$35:$E$40</c:f>
              <c:numCache>
                <c:formatCode>General</c:formatCode>
                <c:ptCount val="6"/>
                <c:pt idx="0">
                  <c:v>2.3333333333333335</c:v>
                </c:pt>
                <c:pt idx="1">
                  <c:v>2.8888888888888888</c:v>
                </c:pt>
                <c:pt idx="2">
                  <c:v>2.2222222222222219</c:v>
                </c:pt>
                <c:pt idx="3">
                  <c:v>2.4444444444444446</c:v>
                </c:pt>
                <c:pt idx="4">
                  <c:v>1.2222222222222223</c:v>
                </c:pt>
                <c:pt idx="5">
                  <c:v>1.7777777777777779</c:v>
                </c:pt>
              </c:numCache>
            </c:numRef>
          </c:val>
          <c:extLst>
            <c:ext xmlns:c16="http://schemas.microsoft.com/office/drawing/2014/chart" uri="{C3380CC4-5D6E-409C-BE32-E72D297353CC}">
              <c16:uniqueId val="{00000000-A75F-4C8D-8D9C-DB0715E5F69E}"/>
            </c:ext>
          </c:extLst>
        </c:ser>
        <c:ser>
          <c:idx val="1"/>
          <c:order val="1"/>
          <c:tx>
            <c:strRef>
              <c:f>'T-description'!$F$34</c:f>
              <c:strCache>
                <c:ptCount val="1"/>
                <c:pt idx="0">
                  <c:v>T - 2</c:v>
                </c:pt>
              </c:strCache>
            </c:strRef>
          </c:tx>
          <c:spPr>
            <a:solidFill>
              <a:schemeClr val="accent2"/>
            </a:solidFill>
            <a:ln>
              <a:noFill/>
            </a:ln>
            <a:effectLst/>
          </c:spPr>
          <c:invertIfNegative val="0"/>
          <c:cat>
            <c:strRef>
              <c:f>'T-description'!$D$35:$D$40</c:f>
              <c:strCache>
                <c:ptCount val="6"/>
                <c:pt idx="0">
                  <c:v>Color</c:v>
                </c:pt>
                <c:pt idx="1">
                  <c:v>Odor (Smell)</c:v>
                </c:pt>
                <c:pt idx="2">
                  <c:v>Texture</c:v>
                </c:pt>
                <c:pt idx="3">
                  <c:v>Moisture Level</c:v>
                </c:pt>
                <c:pt idx="4">
                  <c:v>Visible Life</c:v>
                </c:pt>
                <c:pt idx="5">
                  <c:v>Undecomposed</c:v>
                </c:pt>
              </c:strCache>
            </c:strRef>
          </c:cat>
          <c:val>
            <c:numRef>
              <c:f>'T-description'!$F$35:$F$40</c:f>
              <c:numCache>
                <c:formatCode>General</c:formatCode>
                <c:ptCount val="6"/>
                <c:pt idx="0">
                  <c:v>2.2222222222222219</c:v>
                </c:pt>
                <c:pt idx="1">
                  <c:v>2.4444444444444442</c:v>
                </c:pt>
                <c:pt idx="2">
                  <c:v>2.2222222222222223</c:v>
                </c:pt>
                <c:pt idx="3">
                  <c:v>2.1111111111111112</c:v>
                </c:pt>
                <c:pt idx="4">
                  <c:v>1.3333333333333333</c:v>
                </c:pt>
                <c:pt idx="5">
                  <c:v>2.1111111111111112</c:v>
                </c:pt>
              </c:numCache>
            </c:numRef>
          </c:val>
          <c:extLst>
            <c:ext xmlns:c16="http://schemas.microsoft.com/office/drawing/2014/chart" uri="{C3380CC4-5D6E-409C-BE32-E72D297353CC}">
              <c16:uniqueId val="{00000001-A75F-4C8D-8D9C-DB0715E5F69E}"/>
            </c:ext>
          </c:extLst>
        </c:ser>
        <c:ser>
          <c:idx val="2"/>
          <c:order val="2"/>
          <c:tx>
            <c:strRef>
              <c:f>'T-description'!$G$34</c:f>
              <c:strCache>
                <c:ptCount val="1"/>
                <c:pt idx="0">
                  <c:v>T - 3</c:v>
                </c:pt>
              </c:strCache>
            </c:strRef>
          </c:tx>
          <c:spPr>
            <a:solidFill>
              <a:schemeClr val="accent3"/>
            </a:solidFill>
            <a:ln>
              <a:noFill/>
            </a:ln>
            <a:effectLst/>
          </c:spPr>
          <c:invertIfNegative val="0"/>
          <c:cat>
            <c:strRef>
              <c:f>'T-description'!$D$35:$D$40</c:f>
              <c:strCache>
                <c:ptCount val="6"/>
                <c:pt idx="0">
                  <c:v>Color</c:v>
                </c:pt>
                <c:pt idx="1">
                  <c:v>Odor (Smell)</c:v>
                </c:pt>
                <c:pt idx="2">
                  <c:v>Texture</c:v>
                </c:pt>
                <c:pt idx="3">
                  <c:v>Moisture Level</c:v>
                </c:pt>
                <c:pt idx="4">
                  <c:v>Visible Life</c:v>
                </c:pt>
                <c:pt idx="5">
                  <c:v>Undecomposed</c:v>
                </c:pt>
              </c:strCache>
            </c:strRef>
          </c:cat>
          <c:val>
            <c:numRef>
              <c:f>'T-description'!$G$35:$G$40</c:f>
              <c:numCache>
                <c:formatCode>General</c:formatCode>
                <c:ptCount val="6"/>
                <c:pt idx="0">
                  <c:v>2.1111111111111112</c:v>
                </c:pt>
                <c:pt idx="1">
                  <c:v>2.7777777777777781</c:v>
                </c:pt>
                <c:pt idx="2">
                  <c:v>2.3333333333333335</c:v>
                </c:pt>
                <c:pt idx="3">
                  <c:v>2.4444444444444446</c:v>
                </c:pt>
                <c:pt idx="4">
                  <c:v>1.3333333333333333</c:v>
                </c:pt>
                <c:pt idx="5">
                  <c:v>2.1111111111111112</c:v>
                </c:pt>
              </c:numCache>
            </c:numRef>
          </c:val>
          <c:extLst>
            <c:ext xmlns:c16="http://schemas.microsoft.com/office/drawing/2014/chart" uri="{C3380CC4-5D6E-409C-BE32-E72D297353CC}">
              <c16:uniqueId val="{00000002-A75F-4C8D-8D9C-DB0715E5F69E}"/>
            </c:ext>
          </c:extLst>
        </c:ser>
        <c:ser>
          <c:idx val="3"/>
          <c:order val="3"/>
          <c:tx>
            <c:strRef>
              <c:f>'T-description'!$H$34</c:f>
              <c:strCache>
                <c:ptCount val="1"/>
                <c:pt idx="0">
                  <c:v>T - 4</c:v>
                </c:pt>
              </c:strCache>
            </c:strRef>
          </c:tx>
          <c:spPr>
            <a:solidFill>
              <a:schemeClr val="accent4"/>
            </a:solidFill>
            <a:ln>
              <a:noFill/>
            </a:ln>
            <a:effectLst/>
          </c:spPr>
          <c:invertIfNegative val="0"/>
          <c:cat>
            <c:strRef>
              <c:f>'T-description'!$D$35:$D$40</c:f>
              <c:strCache>
                <c:ptCount val="6"/>
                <c:pt idx="0">
                  <c:v>Color</c:v>
                </c:pt>
                <c:pt idx="1">
                  <c:v>Odor (Smell)</c:v>
                </c:pt>
                <c:pt idx="2">
                  <c:v>Texture</c:v>
                </c:pt>
                <c:pt idx="3">
                  <c:v>Moisture Level</c:v>
                </c:pt>
                <c:pt idx="4">
                  <c:v>Visible Life</c:v>
                </c:pt>
                <c:pt idx="5">
                  <c:v>Undecomposed</c:v>
                </c:pt>
              </c:strCache>
            </c:strRef>
          </c:cat>
          <c:val>
            <c:numRef>
              <c:f>'T-description'!$H$35:$H$40</c:f>
              <c:numCache>
                <c:formatCode>General</c:formatCode>
                <c:ptCount val="6"/>
                <c:pt idx="0">
                  <c:v>2.4444444444444446</c:v>
                </c:pt>
                <c:pt idx="1">
                  <c:v>2.7777777777777772</c:v>
                </c:pt>
                <c:pt idx="2">
                  <c:v>2.2222222222222219</c:v>
                </c:pt>
                <c:pt idx="3">
                  <c:v>2.3333333333333335</c:v>
                </c:pt>
                <c:pt idx="4">
                  <c:v>1.4444444444444446</c:v>
                </c:pt>
                <c:pt idx="5">
                  <c:v>2.5555555555555558</c:v>
                </c:pt>
              </c:numCache>
            </c:numRef>
          </c:val>
          <c:extLst>
            <c:ext xmlns:c16="http://schemas.microsoft.com/office/drawing/2014/chart" uri="{C3380CC4-5D6E-409C-BE32-E72D297353CC}">
              <c16:uniqueId val="{00000003-A75F-4C8D-8D9C-DB0715E5F69E}"/>
            </c:ext>
          </c:extLst>
        </c:ser>
        <c:ser>
          <c:idx val="4"/>
          <c:order val="4"/>
          <c:tx>
            <c:strRef>
              <c:f>'T-description'!$I$34</c:f>
              <c:strCache>
                <c:ptCount val="1"/>
                <c:pt idx="0">
                  <c:v>T - 5</c:v>
                </c:pt>
              </c:strCache>
            </c:strRef>
          </c:tx>
          <c:spPr>
            <a:solidFill>
              <a:schemeClr val="accent5"/>
            </a:solidFill>
            <a:ln>
              <a:noFill/>
            </a:ln>
            <a:effectLst/>
          </c:spPr>
          <c:invertIfNegative val="0"/>
          <c:cat>
            <c:strRef>
              <c:f>'T-description'!$D$35:$D$40</c:f>
              <c:strCache>
                <c:ptCount val="6"/>
                <c:pt idx="0">
                  <c:v>Color</c:v>
                </c:pt>
                <c:pt idx="1">
                  <c:v>Odor (Smell)</c:v>
                </c:pt>
                <c:pt idx="2">
                  <c:v>Texture</c:v>
                </c:pt>
                <c:pt idx="3">
                  <c:v>Moisture Level</c:v>
                </c:pt>
                <c:pt idx="4">
                  <c:v>Visible Life</c:v>
                </c:pt>
                <c:pt idx="5">
                  <c:v>Undecomposed</c:v>
                </c:pt>
              </c:strCache>
            </c:strRef>
          </c:cat>
          <c:val>
            <c:numRef>
              <c:f>'T-description'!$I$35:$I$40</c:f>
              <c:numCache>
                <c:formatCode>General</c:formatCode>
                <c:ptCount val="6"/>
                <c:pt idx="0">
                  <c:v>2.3333333333333335</c:v>
                </c:pt>
                <c:pt idx="1">
                  <c:v>2.8888888888888888</c:v>
                </c:pt>
                <c:pt idx="2">
                  <c:v>2.6666666666666665</c:v>
                </c:pt>
                <c:pt idx="3">
                  <c:v>2.7777777777777772</c:v>
                </c:pt>
                <c:pt idx="4">
                  <c:v>1.4444444444444446</c:v>
                </c:pt>
                <c:pt idx="5">
                  <c:v>2.6666666666666665</c:v>
                </c:pt>
              </c:numCache>
            </c:numRef>
          </c:val>
          <c:extLst>
            <c:ext xmlns:c16="http://schemas.microsoft.com/office/drawing/2014/chart" uri="{C3380CC4-5D6E-409C-BE32-E72D297353CC}">
              <c16:uniqueId val="{00000004-A75F-4C8D-8D9C-DB0715E5F69E}"/>
            </c:ext>
          </c:extLst>
        </c:ser>
        <c:dLbls>
          <c:showLegendKey val="0"/>
          <c:showVal val="0"/>
          <c:showCatName val="0"/>
          <c:showSerName val="0"/>
          <c:showPercent val="0"/>
          <c:showBubbleSize val="0"/>
        </c:dLbls>
        <c:gapWidth val="219"/>
        <c:overlap val="-27"/>
        <c:axId val="1428847087"/>
        <c:axId val="1428846607"/>
      </c:barChart>
      <c:catAx>
        <c:axId val="1428847087"/>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Indicators </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8846607"/>
        <c:crosses val="autoZero"/>
        <c:auto val="1"/>
        <c:lblAlgn val="ctr"/>
        <c:lblOffset val="100"/>
        <c:noMultiLvlLbl val="0"/>
      </c:catAx>
      <c:valAx>
        <c:axId val="1428846607"/>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Values out of three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8847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'T-description'!$D$24</c:f>
              <c:strCache>
                <c:ptCount val="1"/>
                <c:pt idx="0">
                  <c:v>Color</c:v>
                </c:pt>
              </c:strCache>
            </c:strRef>
          </c:tx>
          <c:spPr>
            <a:solidFill>
              <a:schemeClr val="accent1"/>
            </a:solidFill>
            <a:ln>
              <a:noFill/>
            </a:ln>
            <a:effectLst/>
          </c:spPr>
          <c:invertIfNegative val="0"/>
          <c:cat>
            <c:multiLvlStrRef>
              <c:f>'T-description'!$E$22:$S$23</c:f>
              <c:multiLvlStrCache>
                <c:ptCount val="15"/>
                <c:lvl>
                  <c:pt idx="0">
                    <c:v>T -1</c:v>
                  </c:pt>
                  <c:pt idx="1">
                    <c:v>T - 2</c:v>
                  </c:pt>
                  <c:pt idx="2">
                    <c:v>T - 3</c:v>
                  </c:pt>
                  <c:pt idx="3">
                    <c:v>T - 4</c:v>
                  </c:pt>
                  <c:pt idx="4">
                    <c:v>T - 5</c:v>
                  </c:pt>
                  <c:pt idx="5">
                    <c:v>T -1</c:v>
                  </c:pt>
                  <c:pt idx="6">
                    <c:v>T - 2</c:v>
                  </c:pt>
                  <c:pt idx="7">
                    <c:v>T - 3</c:v>
                  </c:pt>
                  <c:pt idx="8">
                    <c:v>T - 4</c:v>
                  </c:pt>
                  <c:pt idx="9">
                    <c:v>T - 5</c:v>
                  </c:pt>
                  <c:pt idx="10">
                    <c:v>T -1</c:v>
                  </c:pt>
                  <c:pt idx="11">
                    <c:v>T - 2</c:v>
                  </c:pt>
                  <c:pt idx="12">
                    <c:v>T - 3</c:v>
                  </c:pt>
                  <c:pt idx="13">
                    <c:v>T - 4</c:v>
                  </c:pt>
                  <c:pt idx="14">
                    <c:v>T - 5</c:v>
                  </c:pt>
                </c:lvl>
                <c:lvl>
                  <c:pt idx="0">
                    <c:v>Group 1</c:v>
                  </c:pt>
                  <c:pt idx="5">
                    <c:v>Group 2</c:v>
                  </c:pt>
                  <c:pt idx="10">
                    <c:v>Group 3</c:v>
                  </c:pt>
                </c:lvl>
              </c:multiLvlStrCache>
            </c:multiLvlStrRef>
          </c:cat>
          <c:val>
            <c:numRef>
              <c:f>'T-description'!$E$24:$S$24</c:f>
              <c:numCache>
                <c:formatCode>0.0</c:formatCode>
                <c:ptCount val="15"/>
                <c:pt idx="0">
                  <c:v>2.3333333333333335</c:v>
                </c:pt>
                <c:pt idx="1">
                  <c:v>2.6666666666666665</c:v>
                </c:pt>
                <c:pt idx="2">
                  <c:v>2.3333333333333335</c:v>
                </c:pt>
                <c:pt idx="3">
                  <c:v>2.3333333333333335</c:v>
                </c:pt>
                <c:pt idx="4">
                  <c:v>2.3333333333333335</c:v>
                </c:pt>
                <c:pt idx="5">
                  <c:v>2.6666666666666665</c:v>
                </c:pt>
                <c:pt idx="6">
                  <c:v>1.6666666666666667</c:v>
                </c:pt>
                <c:pt idx="7">
                  <c:v>1.6666666666666667</c:v>
                </c:pt>
                <c:pt idx="8">
                  <c:v>2.3333333333333335</c:v>
                </c:pt>
                <c:pt idx="9">
                  <c:v>2</c:v>
                </c:pt>
                <c:pt idx="10">
                  <c:v>2</c:v>
                </c:pt>
                <c:pt idx="11">
                  <c:v>2.3333333333333335</c:v>
                </c:pt>
                <c:pt idx="12">
                  <c:v>2.3333333333333335</c:v>
                </c:pt>
                <c:pt idx="13">
                  <c:v>2.6666666666666665</c:v>
                </c:pt>
                <c:pt idx="14">
                  <c:v>2.6666666666666665</c:v>
                </c:pt>
              </c:numCache>
            </c:numRef>
          </c:val>
          <c:extLst>
            <c:ext xmlns:c16="http://schemas.microsoft.com/office/drawing/2014/chart" uri="{C3380CC4-5D6E-409C-BE32-E72D297353CC}">
              <c16:uniqueId val="{00000000-7C49-465D-9578-2A76774C4A94}"/>
            </c:ext>
          </c:extLst>
        </c:ser>
        <c:ser>
          <c:idx val="1"/>
          <c:order val="1"/>
          <c:tx>
            <c:strRef>
              <c:f>'T-description'!$D$25</c:f>
              <c:strCache>
                <c:ptCount val="1"/>
                <c:pt idx="0">
                  <c:v>Odor (Smell)</c:v>
                </c:pt>
              </c:strCache>
            </c:strRef>
          </c:tx>
          <c:spPr>
            <a:solidFill>
              <a:schemeClr val="accent2"/>
            </a:solidFill>
            <a:ln>
              <a:noFill/>
            </a:ln>
            <a:effectLst/>
          </c:spPr>
          <c:invertIfNegative val="0"/>
          <c:cat>
            <c:multiLvlStrRef>
              <c:f>'T-description'!$E$22:$S$23</c:f>
              <c:multiLvlStrCache>
                <c:ptCount val="15"/>
                <c:lvl>
                  <c:pt idx="0">
                    <c:v>T -1</c:v>
                  </c:pt>
                  <c:pt idx="1">
                    <c:v>T - 2</c:v>
                  </c:pt>
                  <c:pt idx="2">
                    <c:v>T - 3</c:v>
                  </c:pt>
                  <c:pt idx="3">
                    <c:v>T - 4</c:v>
                  </c:pt>
                  <c:pt idx="4">
                    <c:v>T - 5</c:v>
                  </c:pt>
                  <c:pt idx="5">
                    <c:v>T -1</c:v>
                  </c:pt>
                  <c:pt idx="6">
                    <c:v>T - 2</c:v>
                  </c:pt>
                  <c:pt idx="7">
                    <c:v>T - 3</c:v>
                  </c:pt>
                  <c:pt idx="8">
                    <c:v>T - 4</c:v>
                  </c:pt>
                  <c:pt idx="9">
                    <c:v>T - 5</c:v>
                  </c:pt>
                  <c:pt idx="10">
                    <c:v>T -1</c:v>
                  </c:pt>
                  <c:pt idx="11">
                    <c:v>T - 2</c:v>
                  </c:pt>
                  <c:pt idx="12">
                    <c:v>T - 3</c:v>
                  </c:pt>
                  <c:pt idx="13">
                    <c:v>T - 4</c:v>
                  </c:pt>
                  <c:pt idx="14">
                    <c:v>T - 5</c:v>
                  </c:pt>
                </c:lvl>
                <c:lvl>
                  <c:pt idx="0">
                    <c:v>Group 1</c:v>
                  </c:pt>
                  <c:pt idx="5">
                    <c:v>Group 2</c:v>
                  </c:pt>
                  <c:pt idx="10">
                    <c:v>Group 3</c:v>
                  </c:pt>
                </c:lvl>
              </c:multiLvlStrCache>
            </c:multiLvlStrRef>
          </c:cat>
          <c:val>
            <c:numRef>
              <c:f>'T-description'!$E$25:$S$25</c:f>
              <c:numCache>
                <c:formatCode>General</c:formatCode>
                <c:ptCount val="15"/>
                <c:pt idx="0">
                  <c:v>3</c:v>
                </c:pt>
                <c:pt idx="1">
                  <c:v>2.6666666666666665</c:v>
                </c:pt>
                <c:pt idx="2">
                  <c:v>3</c:v>
                </c:pt>
                <c:pt idx="3">
                  <c:v>3</c:v>
                </c:pt>
                <c:pt idx="4">
                  <c:v>3</c:v>
                </c:pt>
                <c:pt idx="5">
                  <c:v>3</c:v>
                </c:pt>
                <c:pt idx="6">
                  <c:v>2.6666666666666665</c:v>
                </c:pt>
                <c:pt idx="7">
                  <c:v>3</c:v>
                </c:pt>
                <c:pt idx="8">
                  <c:v>2.6666666666666665</c:v>
                </c:pt>
                <c:pt idx="9">
                  <c:v>3</c:v>
                </c:pt>
                <c:pt idx="10">
                  <c:v>2.6666666666666665</c:v>
                </c:pt>
                <c:pt idx="11">
                  <c:v>2</c:v>
                </c:pt>
                <c:pt idx="12">
                  <c:v>2.3333333333333335</c:v>
                </c:pt>
                <c:pt idx="13">
                  <c:v>2.6666666666666665</c:v>
                </c:pt>
                <c:pt idx="14">
                  <c:v>2.6666666666666665</c:v>
                </c:pt>
              </c:numCache>
            </c:numRef>
          </c:val>
          <c:extLst>
            <c:ext xmlns:c16="http://schemas.microsoft.com/office/drawing/2014/chart" uri="{C3380CC4-5D6E-409C-BE32-E72D297353CC}">
              <c16:uniqueId val="{00000001-7C49-465D-9578-2A76774C4A94}"/>
            </c:ext>
          </c:extLst>
        </c:ser>
        <c:ser>
          <c:idx val="2"/>
          <c:order val="2"/>
          <c:tx>
            <c:strRef>
              <c:f>'T-description'!$D$26</c:f>
              <c:strCache>
                <c:ptCount val="1"/>
                <c:pt idx="0">
                  <c:v>Texture</c:v>
                </c:pt>
              </c:strCache>
            </c:strRef>
          </c:tx>
          <c:spPr>
            <a:solidFill>
              <a:schemeClr val="accent3"/>
            </a:solidFill>
            <a:ln>
              <a:noFill/>
            </a:ln>
            <a:effectLst/>
          </c:spPr>
          <c:invertIfNegative val="0"/>
          <c:cat>
            <c:multiLvlStrRef>
              <c:f>'T-description'!$E$22:$S$23</c:f>
              <c:multiLvlStrCache>
                <c:ptCount val="15"/>
                <c:lvl>
                  <c:pt idx="0">
                    <c:v>T -1</c:v>
                  </c:pt>
                  <c:pt idx="1">
                    <c:v>T - 2</c:v>
                  </c:pt>
                  <c:pt idx="2">
                    <c:v>T - 3</c:v>
                  </c:pt>
                  <c:pt idx="3">
                    <c:v>T - 4</c:v>
                  </c:pt>
                  <c:pt idx="4">
                    <c:v>T - 5</c:v>
                  </c:pt>
                  <c:pt idx="5">
                    <c:v>T -1</c:v>
                  </c:pt>
                  <c:pt idx="6">
                    <c:v>T - 2</c:v>
                  </c:pt>
                  <c:pt idx="7">
                    <c:v>T - 3</c:v>
                  </c:pt>
                  <c:pt idx="8">
                    <c:v>T - 4</c:v>
                  </c:pt>
                  <c:pt idx="9">
                    <c:v>T - 5</c:v>
                  </c:pt>
                  <c:pt idx="10">
                    <c:v>T -1</c:v>
                  </c:pt>
                  <c:pt idx="11">
                    <c:v>T - 2</c:v>
                  </c:pt>
                  <c:pt idx="12">
                    <c:v>T - 3</c:v>
                  </c:pt>
                  <c:pt idx="13">
                    <c:v>T - 4</c:v>
                  </c:pt>
                  <c:pt idx="14">
                    <c:v>T - 5</c:v>
                  </c:pt>
                </c:lvl>
                <c:lvl>
                  <c:pt idx="0">
                    <c:v>Group 1</c:v>
                  </c:pt>
                  <c:pt idx="5">
                    <c:v>Group 2</c:v>
                  </c:pt>
                  <c:pt idx="10">
                    <c:v>Group 3</c:v>
                  </c:pt>
                </c:lvl>
              </c:multiLvlStrCache>
            </c:multiLvlStrRef>
          </c:cat>
          <c:val>
            <c:numRef>
              <c:f>'T-description'!$E$26:$S$26</c:f>
              <c:numCache>
                <c:formatCode>General</c:formatCode>
                <c:ptCount val="15"/>
                <c:pt idx="0">
                  <c:v>2.6666666666666665</c:v>
                </c:pt>
                <c:pt idx="1">
                  <c:v>3</c:v>
                </c:pt>
                <c:pt idx="2">
                  <c:v>3</c:v>
                </c:pt>
                <c:pt idx="3">
                  <c:v>2.6666666666666665</c:v>
                </c:pt>
                <c:pt idx="4">
                  <c:v>3</c:v>
                </c:pt>
                <c:pt idx="5">
                  <c:v>2</c:v>
                </c:pt>
                <c:pt idx="6">
                  <c:v>1.6666666666666667</c:v>
                </c:pt>
                <c:pt idx="7">
                  <c:v>2</c:v>
                </c:pt>
                <c:pt idx="8">
                  <c:v>1.6666666666666667</c:v>
                </c:pt>
                <c:pt idx="9">
                  <c:v>2.6666666666666665</c:v>
                </c:pt>
                <c:pt idx="10">
                  <c:v>2</c:v>
                </c:pt>
                <c:pt idx="11">
                  <c:v>2</c:v>
                </c:pt>
                <c:pt idx="12">
                  <c:v>2</c:v>
                </c:pt>
                <c:pt idx="13">
                  <c:v>2.3333333333333335</c:v>
                </c:pt>
                <c:pt idx="14">
                  <c:v>2.3333333333333335</c:v>
                </c:pt>
              </c:numCache>
            </c:numRef>
          </c:val>
          <c:extLst>
            <c:ext xmlns:c16="http://schemas.microsoft.com/office/drawing/2014/chart" uri="{C3380CC4-5D6E-409C-BE32-E72D297353CC}">
              <c16:uniqueId val="{00000002-7C49-465D-9578-2A76774C4A94}"/>
            </c:ext>
          </c:extLst>
        </c:ser>
        <c:ser>
          <c:idx val="3"/>
          <c:order val="3"/>
          <c:tx>
            <c:strRef>
              <c:f>'T-description'!$D$27</c:f>
              <c:strCache>
                <c:ptCount val="1"/>
                <c:pt idx="0">
                  <c:v>Moisture Level</c:v>
                </c:pt>
              </c:strCache>
            </c:strRef>
          </c:tx>
          <c:spPr>
            <a:solidFill>
              <a:schemeClr val="accent4"/>
            </a:solidFill>
            <a:ln>
              <a:noFill/>
            </a:ln>
            <a:effectLst/>
          </c:spPr>
          <c:invertIfNegative val="0"/>
          <c:cat>
            <c:multiLvlStrRef>
              <c:f>'T-description'!$E$22:$S$23</c:f>
              <c:multiLvlStrCache>
                <c:ptCount val="15"/>
                <c:lvl>
                  <c:pt idx="0">
                    <c:v>T -1</c:v>
                  </c:pt>
                  <c:pt idx="1">
                    <c:v>T - 2</c:v>
                  </c:pt>
                  <c:pt idx="2">
                    <c:v>T - 3</c:v>
                  </c:pt>
                  <c:pt idx="3">
                    <c:v>T - 4</c:v>
                  </c:pt>
                  <c:pt idx="4">
                    <c:v>T - 5</c:v>
                  </c:pt>
                  <c:pt idx="5">
                    <c:v>T -1</c:v>
                  </c:pt>
                  <c:pt idx="6">
                    <c:v>T - 2</c:v>
                  </c:pt>
                  <c:pt idx="7">
                    <c:v>T - 3</c:v>
                  </c:pt>
                  <c:pt idx="8">
                    <c:v>T - 4</c:v>
                  </c:pt>
                  <c:pt idx="9">
                    <c:v>T - 5</c:v>
                  </c:pt>
                  <c:pt idx="10">
                    <c:v>T -1</c:v>
                  </c:pt>
                  <c:pt idx="11">
                    <c:v>T - 2</c:v>
                  </c:pt>
                  <c:pt idx="12">
                    <c:v>T - 3</c:v>
                  </c:pt>
                  <c:pt idx="13">
                    <c:v>T - 4</c:v>
                  </c:pt>
                  <c:pt idx="14">
                    <c:v>T - 5</c:v>
                  </c:pt>
                </c:lvl>
                <c:lvl>
                  <c:pt idx="0">
                    <c:v>Group 1</c:v>
                  </c:pt>
                  <c:pt idx="5">
                    <c:v>Group 2</c:v>
                  </c:pt>
                  <c:pt idx="10">
                    <c:v>Group 3</c:v>
                  </c:pt>
                </c:lvl>
              </c:multiLvlStrCache>
            </c:multiLvlStrRef>
          </c:cat>
          <c:val>
            <c:numRef>
              <c:f>'T-description'!$E$27:$S$27</c:f>
              <c:numCache>
                <c:formatCode>General</c:formatCode>
                <c:ptCount val="15"/>
                <c:pt idx="0">
                  <c:v>3</c:v>
                </c:pt>
                <c:pt idx="1">
                  <c:v>2.6666666666666665</c:v>
                </c:pt>
                <c:pt idx="2">
                  <c:v>3</c:v>
                </c:pt>
                <c:pt idx="3">
                  <c:v>2.6666666666666665</c:v>
                </c:pt>
                <c:pt idx="4">
                  <c:v>3</c:v>
                </c:pt>
                <c:pt idx="5">
                  <c:v>2.3333333333333335</c:v>
                </c:pt>
                <c:pt idx="6">
                  <c:v>1.6666666666666667</c:v>
                </c:pt>
                <c:pt idx="7">
                  <c:v>2</c:v>
                </c:pt>
                <c:pt idx="8">
                  <c:v>2</c:v>
                </c:pt>
                <c:pt idx="9">
                  <c:v>2.6666666666666665</c:v>
                </c:pt>
                <c:pt idx="10">
                  <c:v>2</c:v>
                </c:pt>
                <c:pt idx="11">
                  <c:v>2</c:v>
                </c:pt>
                <c:pt idx="12">
                  <c:v>2.3333333333333335</c:v>
                </c:pt>
                <c:pt idx="13">
                  <c:v>2.3333333333333335</c:v>
                </c:pt>
                <c:pt idx="14">
                  <c:v>2.6666666666666665</c:v>
                </c:pt>
              </c:numCache>
            </c:numRef>
          </c:val>
          <c:extLst>
            <c:ext xmlns:c16="http://schemas.microsoft.com/office/drawing/2014/chart" uri="{C3380CC4-5D6E-409C-BE32-E72D297353CC}">
              <c16:uniqueId val="{00000003-7C49-465D-9578-2A76774C4A94}"/>
            </c:ext>
          </c:extLst>
        </c:ser>
        <c:ser>
          <c:idx val="4"/>
          <c:order val="4"/>
          <c:tx>
            <c:strRef>
              <c:f>'T-description'!$D$28</c:f>
              <c:strCache>
                <c:ptCount val="1"/>
                <c:pt idx="0">
                  <c:v>Visible Life</c:v>
                </c:pt>
              </c:strCache>
            </c:strRef>
          </c:tx>
          <c:spPr>
            <a:solidFill>
              <a:schemeClr val="accent5"/>
            </a:solidFill>
            <a:ln>
              <a:noFill/>
            </a:ln>
            <a:effectLst/>
          </c:spPr>
          <c:invertIfNegative val="0"/>
          <c:cat>
            <c:multiLvlStrRef>
              <c:f>'T-description'!$E$22:$S$23</c:f>
              <c:multiLvlStrCache>
                <c:ptCount val="15"/>
                <c:lvl>
                  <c:pt idx="0">
                    <c:v>T -1</c:v>
                  </c:pt>
                  <c:pt idx="1">
                    <c:v>T - 2</c:v>
                  </c:pt>
                  <c:pt idx="2">
                    <c:v>T - 3</c:v>
                  </c:pt>
                  <c:pt idx="3">
                    <c:v>T - 4</c:v>
                  </c:pt>
                  <c:pt idx="4">
                    <c:v>T - 5</c:v>
                  </c:pt>
                  <c:pt idx="5">
                    <c:v>T -1</c:v>
                  </c:pt>
                  <c:pt idx="6">
                    <c:v>T - 2</c:v>
                  </c:pt>
                  <c:pt idx="7">
                    <c:v>T - 3</c:v>
                  </c:pt>
                  <c:pt idx="8">
                    <c:v>T - 4</c:v>
                  </c:pt>
                  <c:pt idx="9">
                    <c:v>T - 5</c:v>
                  </c:pt>
                  <c:pt idx="10">
                    <c:v>T -1</c:v>
                  </c:pt>
                  <c:pt idx="11">
                    <c:v>T - 2</c:v>
                  </c:pt>
                  <c:pt idx="12">
                    <c:v>T - 3</c:v>
                  </c:pt>
                  <c:pt idx="13">
                    <c:v>T - 4</c:v>
                  </c:pt>
                  <c:pt idx="14">
                    <c:v>T - 5</c:v>
                  </c:pt>
                </c:lvl>
                <c:lvl>
                  <c:pt idx="0">
                    <c:v>Group 1</c:v>
                  </c:pt>
                  <c:pt idx="5">
                    <c:v>Group 2</c:v>
                  </c:pt>
                  <c:pt idx="10">
                    <c:v>Group 3</c:v>
                  </c:pt>
                </c:lvl>
              </c:multiLvlStrCache>
            </c:multiLvlStrRef>
          </c:cat>
          <c:val>
            <c:numRef>
              <c:f>'T-description'!$E$28:$S$28</c:f>
              <c:numCache>
                <c:formatCode>General</c:formatCode>
                <c:ptCount val="15"/>
                <c:pt idx="0">
                  <c:v>1</c:v>
                </c:pt>
                <c:pt idx="1">
                  <c:v>1</c:v>
                </c:pt>
                <c:pt idx="2">
                  <c:v>1</c:v>
                </c:pt>
                <c:pt idx="3">
                  <c:v>1</c:v>
                </c:pt>
                <c:pt idx="4">
                  <c:v>1</c:v>
                </c:pt>
                <c:pt idx="5">
                  <c:v>1</c:v>
                </c:pt>
                <c:pt idx="6">
                  <c:v>1</c:v>
                </c:pt>
                <c:pt idx="7">
                  <c:v>1</c:v>
                </c:pt>
                <c:pt idx="8">
                  <c:v>1</c:v>
                </c:pt>
                <c:pt idx="9">
                  <c:v>1</c:v>
                </c:pt>
                <c:pt idx="10">
                  <c:v>1.6666666666666667</c:v>
                </c:pt>
                <c:pt idx="11">
                  <c:v>2</c:v>
                </c:pt>
                <c:pt idx="12">
                  <c:v>2</c:v>
                </c:pt>
                <c:pt idx="13">
                  <c:v>2.3333333333333335</c:v>
                </c:pt>
                <c:pt idx="14">
                  <c:v>2.3333333333333335</c:v>
                </c:pt>
              </c:numCache>
            </c:numRef>
          </c:val>
          <c:extLst>
            <c:ext xmlns:c16="http://schemas.microsoft.com/office/drawing/2014/chart" uri="{C3380CC4-5D6E-409C-BE32-E72D297353CC}">
              <c16:uniqueId val="{00000004-7C49-465D-9578-2A76774C4A94}"/>
            </c:ext>
          </c:extLst>
        </c:ser>
        <c:ser>
          <c:idx val="5"/>
          <c:order val="5"/>
          <c:tx>
            <c:strRef>
              <c:f>'T-description'!$D$29</c:f>
              <c:strCache>
                <c:ptCount val="1"/>
                <c:pt idx="0">
                  <c:v>Undecomposed</c:v>
                </c:pt>
              </c:strCache>
            </c:strRef>
          </c:tx>
          <c:spPr>
            <a:solidFill>
              <a:schemeClr val="accent6"/>
            </a:solidFill>
            <a:ln>
              <a:noFill/>
            </a:ln>
            <a:effectLst/>
          </c:spPr>
          <c:invertIfNegative val="0"/>
          <c:cat>
            <c:multiLvlStrRef>
              <c:f>'T-description'!$E$22:$S$23</c:f>
              <c:multiLvlStrCache>
                <c:ptCount val="15"/>
                <c:lvl>
                  <c:pt idx="0">
                    <c:v>T -1</c:v>
                  </c:pt>
                  <c:pt idx="1">
                    <c:v>T - 2</c:v>
                  </c:pt>
                  <c:pt idx="2">
                    <c:v>T - 3</c:v>
                  </c:pt>
                  <c:pt idx="3">
                    <c:v>T - 4</c:v>
                  </c:pt>
                  <c:pt idx="4">
                    <c:v>T - 5</c:v>
                  </c:pt>
                  <c:pt idx="5">
                    <c:v>T -1</c:v>
                  </c:pt>
                  <c:pt idx="6">
                    <c:v>T - 2</c:v>
                  </c:pt>
                  <c:pt idx="7">
                    <c:v>T - 3</c:v>
                  </c:pt>
                  <c:pt idx="8">
                    <c:v>T - 4</c:v>
                  </c:pt>
                  <c:pt idx="9">
                    <c:v>T - 5</c:v>
                  </c:pt>
                  <c:pt idx="10">
                    <c:v>T -1</c:v>
                  </c:pt>
                  <c:pt idx="11">
                    <c:v>T - 2</c:v>
                  </c:pt>
                  <c:pt idx="12">
                    <c:v>T - 3</c:v>
                  </c:pt>
                  <c:pt idx="13">
                    <c:v>T - 4</c:v>
                  </c:pt>
                  <c:pt idx="14">
                    <c:v>T - 5</c:v>
                  </c:pt>
                </c:lvl>
                <c:lvl>
                  <c:pt idx="0">
                    <c:v>Group 1</c:v>
                  </c:pt>
                  <c:pt idx="5">
                    <c:v>Group 2</c:v>
                  </c:pt>
                  <c:pt idx="10">
                    <c:v>Group 3</c:v>
                  </c:pt>
                </c:lvl>
              </c:multiLvlStrCache>
            </c:multiLvlStrRef>
          </c:cat>
          <c:val>
            <c:numRef>
              <c:f>'T-description'!$E$29:$S$29</c:f>
              <c:numCache>
                <c:formatCode>General</c:formatCode>
                <c:ptCount val="15"/>
                <c:pt idx="0">
                  <c:v>2</c:v>
                </c:pt>
                <c:pt idx="1">
                  <c:v>2.3333333333333335</c:v>
                </c:pt>
                <c:pt idx="2">
                  <c:v>2</c:v>
                </c:pt>
                <c:pt idx="3">
                  <c:v>3</c:v>
                </c:pt>
                <c:pt idx="4">
                  <c:v>3</c:v>
                </c:pt>
                <c:pt idx="5">
                  <c:v>1.6666666666666667</c:v>
                </c:pt>
                <c:pt idx="6">
                  <c:v>2</c:v>
                </c:pt>
                <c:pt idx="7">
                  <c:v>2</c:v>
                </c:pt>
                <c:pt idx="8">
                  <c:v>2.3333333333333335</c:v>
                </c:pt>
                <c:pt idx="9">
                  <c:v>2.3333333333333335</c:v>
                </c:pt>
                <c:pt idx="10">
                  <c:v>1.6666666666666667</c:v>
                </c:pt>
                <c:pt idx="11">
                  <c:v>2</c:v>
                </c:pt>
                <c:pt idx="12">
                  <c:v>2.3333333333333335</c:v>
                </c:pt>
                <c:pt idx="13">
                  <c:v>2.3333333333333335</c:v>
                </c:pt>
                <c:pt idx="14">
                  <c:v>2.6666666666666665</c:v>
                </c:pt>
              </c:numCache>
            </c:numRef>
          </c:val>
          <c:extLst>
            <c:ext xmlns:c16="http://schemas.microsoft.com/office/drawing/2014/chart" uri="{C3380CC4-5D6E-409C-BE32-E72D297353CC}">
              <c16:uniqueId val="{00000005-7C49-465D-9578-2A76774C4A94}"/>
            </c:ext>
          </c:extLst>
        </c:ser>
        <c:dLbls>
          <c:showLegendKey val="0"/>
          <c:showVal val="0"/>
          <c:showCatName val="0"/>
          <c:showSerName val="0"/>
          <c:showPercent val="0"/>
          <c:showBubbleSize val="0"/>
        </c:dLbls>
        <c:gapWidth val="219"/>
        <c:overlap val="100"/>
        <c:axId val="1895625471"/>
        <c:axId val="1895627871"/>
      </c:barChart>
      <c:catAx>
        <c:axId val="189562547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Evaluation groups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95627871"/>
        <c:crosses val="autoZero"/>
        <c:auto val="1"/>
        <c:lblAlgn val="ctr"/>
        <c:lblOffset val="100"/>
        <c:noMultiLvlLbl val="0"/>
      </c:catAx>
      <c:valAx>
        <c:axId val="1895627871"/>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Values out of 3</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9562547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2ED8C-90F1-40CE-8449-65DEBC301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1500</Words>
  <Characters>9570</Characters>
  <Application>Microsoft Office Word</Application>
  <DocSecurity>0</DocSecurity>
  <Lines>206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 Wolde Mekuria (IWMI)</dc:creator>
  <cp:keywords/>
  <dc:description/>
  <cp:lastModifiedBy>Bori, Wolde Mekuria (IWMI)</cp:lastModifiedBy>
  <cp:revision>18</cp:revision>
  <dcterms:created xsi:type="dcterms:W3CDTF">2026-06-24T08:35:00Z</dcterms:created>
  <dcterms:modified xsi:type="dcterms:W3CDTF">2026-06-24T08:58:00Z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c3568a03-7b3b-4d8e-97be-8e6a81555752</vt:lpwstr>
  </property>
</Properties>
</file>