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EC376" w14:textId="09C41DAC" w:rsidR="00DC6170" w:rsidRPr="00530FD9" w:rsidRDefault="00832096" w:rsidP="00530FD9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30FD9">
        <w:rPr>
          <w:rFonts w:ascii="Times New Roman" w:hAnsi="Times New Roman" w:cs="Times New Roman"/>
          <w:color w:val="auto"/>
          <w:sz w:val="28"/>
          <w:szCs w:val="28"/>
        </w:rPr>
        <w:t xml:space="preserve">Department </w:t>
      </w:r>
      <w:r>
        <w:rPr>
          <w:rFonts w:ascii="Times New Roman" w:hAnsi="Times New Roman" w:cs="Times New Roman"/>
          <w:color w:val="auto"/>
          <w:sz w:val="28"/>
          <w:szCs w:val="28"/>
        </w:rPr>
        <w:t>o</w:t>
      </w:r>
      <w:r w:rsidRPr="00530FD9">
        <w:rPr>
          <w:rFonts w:ascii="Times New Roman" w:hAnsi="Times New Roman" w:cs="Times New Roman"/>
          <w:color w:val="auto"/>
          <w:sz w:val="28"/>
          <w:szCs w:val="28"/>
        </w:rPr>
        <w:t>f Chemistry</w:t>
      </w:r>
    </w:p>
    <w:p w14:paraId="372D597D" w14:textId="443DB7C8" w:rsidR="00DC6170" w:rsidRPr="00530FD9" w:rsidRDefault="00832096" w:rsidP="00530FD9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30FD9">
        <w:rPr>
          <w:rFonts w:ascii="Times New Roman" w:hAnsi="Times New Roman" w:cs="Times New Roman"/>
          <w:color w:val="auto"/>
          <w:sz w:val="28"/>
          <w:szCs w:val="28"/>
        </w:rPr>
        <w:t xml:space="preserve">Researcher Health </w:t>
      </w:r>
      <w:r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530FD9">
        <w:rPr>
          <w:rFonts w:ascii="Times New Roman" w:hAnsi="Times New Roman" w:cs="Times New Roman"/>
          <w:color w:val="auto"/>
          <w:sz w:val="28"/>
          <w:szCs w:val="28"/>
        </w:rPr>
        <w:t>nd Safety Induction</w:t>
      </w:r>
    </w:p>
    <w:p w14:paraId="61CEDF28" w14:textId="77777777" w:rsidR="00DC6170" w:rsidRPr="00E224F1" w:rsidRDefault="00DC6170" w:rsidP="00DC6170">
      <w:pPr>
        <w:jc w:val="center"/>
        <w:rPr>
          <w:sz w:val="28"/>
          <w:szCs w:val="28"/>
        </w:rPr>
      </w:pPr>
    </w:p>
    <w:p w14:paraId="5853FE10" w14:textId="77777777" w:rsidR="00DC6170" w:rsidRDefault="00DC6170" w:rsidP="00DC6170">
      <w:pPr>
        <w:rPr>
          <w:b/>
        </w:rPr>
      </w:pPr>
      <w:r w:rsidRPr="00E224F1">
        <w:rPr>
          <w:b/>
        </w:rPr>
        <w:t>Researcher Name:</w:t>
      </w:r>
    </w:p>
    <w:p w14:paraId="2946814F" w14:textId="77777777" w:rsidR="00190693" w:rsidRPr="00E224F1" w:rsidRDefault="00190693" w:rsidP="00DC6170">
      <w:pPr>
        <w:rPr>
          <w:b/>
        </w:rPr>
      </w:pPr>
    </w:p>
    <w:p w14:paraId="10DB70D8" w14:textId="77777777" w:rsidR="00DC6170" w:rsidRDefault="00DC6170" w:rsidP="00190693">
      <w:pPr>
        <w:jc w:val="both"/>
        <w:rPr>
          <w:sz w:val="22"/>
          <w:szCs w:val="22"/>
        </w:rPr>
      </w:pPr>
      <w:r w:rsidRPr="00190693">
        <w:rPr>
          <w:sz w:val="22"/>
          <w:szCs w:val="22"/>
        </w:rPr>
        <w:t xml:space="preserve">This induction sheet is intended to act as a checklist for instruction in the safe practices appropriate to chemical research.  </w:t>
      </w:r>
      <w:r w:rsidR="00812F7F" w:rsidRPr="00190693">
        <w:rPr>
          <w:sz w:val="22"/>
          <w:szCs w:val="22"/>
        </w:rPr>
        <w:t xml:space="preserve">The first page of the form must be completed, and a copy submitted to the Department Office, before practical work commences or undergraduate laboratory demonstrating is undertaken.  </w:t>
      </w:r>
      <w:r w:rsidRPr="00190693">
        <w:rPr>
          <w:sz w:val="22"/>
          <w:szCs w:val="22"/>
        </w:rPr>
        <w:t xml:space="preserve">It </w:t>
      </w:r>
      <w:r w:rsidR="00812F7F" w:rsidRPr="00190693">
        <w:rPr>
          <w:sz w:val="22"/>
          <w:szCs w:val="22"/>
        </w:rPr>
        <w:t>may</w:t>
      </w:r>
      <w:r w:rsidRPr="00190693">
        <w:rPr>
          <w:sz w:val="22"/>
          <w:szCs w:val="22"/>
        </w:rPr>
        <w:t xml:space="preserve"> not be necessary fo</w:t>
      </w:r>
      <w:r w:rsidR="00E224F1" w:rsidRPr="00190693">
        <w:rPr>
          <w:sz w:val="22"/>
          <w:szCs w:val="22"/>
        </w:rPr>
        <w:t>r</w:t>
      </w:r>
      <w:r w:rsidRPr="00190693">
        <w:rPr>
          <w:sz w:val="22"/>
          <w:szCs w:val="22"/>
        </w:rPr>
        <w:t xml:space="preserve"> all researchers to comp</w:t>
      </w:r>
      <w:r w:rsidR="00A32003" w:rsidRPr="00190693">
        <w:rPr>
          <w:sz w:val="22"/>
          <w:szCs w:val="22"/>
        </w:rPr>
        <w:t xml:space="preserve">lete all parts of the </w:t>
      </w:r>
      <w:r w:rsidR="00812F7F" w:rsidRPr="00190693">
        <w:rPr>
          <w:sz w:val="22"/>
          <w:szCs w:val="22"/>
        </w:rPr>
        <w:t>second page.</w:t>
      </w:r>
      <w:r w:rsidRPr="00190693">
        <w:rPr>
          <w:sz w:val="22"/>
          <w:szCs w:val="22"/>
        </w:rPr>
        <w:t xml:space="preserve">  Your supervisor should therefore advise which areas are appropriate for your work.  Departmental safety policies are in the Departmental Handbook for Health &amp; Safety.</w:t>
      </w:r>
    </w:p>
    <w:p w14:paraId="4D84CA56" w14:textId="77777777" w:rsidR="00711E2F" w:rsidRDefault="00711E2F" w:rsidP="00190693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47"/>
        <w:gridCol w:w="1811"/>
        <w:gridCol w:w="1547"/>
        <w:gridCol w:w="1557"/>
      </w:tblGrid>
      <w:tr w:rsidR="00190693" w14:paraId="7F30E974" w14:textId="77777777" w:rsidTr="00A5334F">
        <w:trPr>
          <w:tblHeader/>
        </w:trPr>
        <w:tc>
          <w:tcPr>
            <w:tcW w:w="5208" w:type="dxa"/>
            <w:vMerge w:val="restart"/>
            <w:vAlign w:val="center"/>
          </w:tcPr>
          <w:p w14:paraId="7A532419" w14:textId="77777777" w:rsidR="00190693" w:rsidRPr="00DC6170" w:rsidRDefault="00190693" w:rsidP="00DC6170">
            <w:pPr>
              <w:jc w:val="center"/>
              <w:rPr>
                <w:b/>
                <w:sz w:val="22"/>
                <w:szCs w:val="22"/>
              </w:rPr>
            </w:pPr>
            <w:r w:rsidRPr="00DC6170">
              <w:rPr>
                <w:b/>
                <w:sz w:val="22"/>
                <w:szCs w:val="22"/>
              </w:rPr>
              <w:t>General Organisation</w:t>
            </w:r>
          </w:p>
        </w:tc>
        <w:tc>
          <w:tcPr>
            <w:tcW w:w="1843" w:type="dxa"/>
            <w:vMerge w:val="restart"/>
          </w:tcPr>
          <w:p w14:paraId="629CD1A2" w14:textId="77777777" w:rsidR="00190693" w:rsidRDefault="00190693" w:rsidP="00DC6170">
            <w:pPr>
              <w:jc w:val="center"/>
              <w:rPr>
                <w:b/>
                <w:sz w:val="22"/>
                <w:szCs w:val="22"/>
              </w:rPr>
            </w:pPr>
            <w:r w:rsidRPr="00DC6170">
              <w:rPr>
                <w:b/>
                <w:sz w:val="22"/>
                <w:szCs w:val="22"/>
              </w:rPr>
              <w:t xml:space="preserve">Date </w:t>
            </w:r>
          </w:p>
          <w:p w14:paraId="35232C1D" w14:textId="77777777" w:rsidR="00190693" w:rsidRPr="00DC6170" w:rsidRDefault="00190693" w:rsidP="00DC6170">
            <w:pPr>
              <w:jc w:val="center"/>
              <w:rPr>
                <w:b/>
                <w:sz w:val="22"/>
                <w:szCs w:val="22"/>
              </w:rPr>
            </w:pPr>
            <w:r w:rsidRPr="00DC6170">
              <w:rPr>
                <w:b/>
                <w:sz w:val="22"/>
                <w:szCs w:val="22"/>
              </w:rPr>
              <w:t>Completed</w:t>
            </w:r>
          </w:p>
        </w:tc>
        <w:tc>
          <w:tcPr>
            <w:tcW w:w="3137" w:type="dxa"/>
            <w:gridSpan w:val="2"/>
          </w:tcPr>
          <w:p w14:paraId="21601C78" w14:textId="77777777" w:rsidR="00190693" w:rsidRPr="00DC6170" w:rsidRDefault="00190693" w:rsidP="00DC6170">
            <w:pPr>
              <w:jc w:val="center"/>
              <w:rPr>
                <w:b/>
                <w:sz w:val="22"/>
                <w:szCs w:val="22"/>
              </w:rPr>
            </w:pPr>
            <w:r w:rsidRPr="00DC6170">
              <w:rPr>
                <w:b/>
                <w:sz w:val="22"/>
                <w:szCs w:val="22"/>
              </w:rPr>
              <w:t>Sig</w:t>
            </w:r>
            <w:r>
              <w:rPr>
                <w:b/>
                <w:sz w:val="22"/>
                <w:szCs w:val="22"/>
              </w:rPr>
              <w:t>natures</w:t>
            </w:r>
          </w:p>
        </w:tc>
      </w:tr>
      <w:tr w:rsidR="00190693" w14:paraId="49FECB1C" w14:textId="77777777" w:rsidTr="00A5334F">
        <w:trPr>
          <w:tblHeader/>
        </w:trPr>
        <w:tc>
          <w:tcPr>
            <w:tcW w:w="5208" w:type="dxa"/>
            <w:vMerge/>
          </w:tcPr>
          <w:p w14:paraId="1278FA62" w14:textId="77777777" w:rsidR="00190693" w:rsidRPr="00DC6170" w:rsidRDefault="00190693" w:rsidP="00DC61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62A432A" w14:textId="77777777" w:rsidR="00190693" w:rsidRPr="00DC6170" w:rsidRDefault="00190693" w:rsidP="00DC61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</w:tcPr>
          <w:p w14:paraId="5E5F799F" w14:textId="77777777" w:rsidR="00190693" w:rsidRPr="00DC6170" w:rsidRDefault="00190693" w:rsidP="00DC61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Researcher</w:t>
            </w:r>
          </w:p>
        </w:tc>
        <w:tc>
          <w:tcPr>
            <w:tcW w:w="1575" w:type="dxa"/>
          </w:tcPr>
          <w:p w14:paraId="0FC9C106" w14:textId="77777777" w:rsidR="00190693" w:rsidRPr="00DC6170" w:rsidRDefault="00190693" w:rsidP="00DC61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Supervisor</w:t>
            </w:r>
          </w:p>
        </w:tc>
      </w:tr>
      <w:tr w:rsidR="00190693" w:rsidRPr="00DC6170" w14:paraId="6F8BC7FE" w14:textId="77777777" w:rsidTr="00530FD9">
        <w:tc>
          <w:tcPr>
            <w:tcW w:w="5208" w:type="dxa"/>
          </w:tcPr>
          <w:p w14:paraId="4EC2D966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Departmental Handbook for Health &amp; Safety issued and read</w:t>
            </w:r>
          </w:p>
        </w:tc>
        <w:tc>
          <w:tcPr>
            <w:tcW w:w="1843" w:type="dxa"/>
          </w:tcPr>
          <w:p w14:paraId="241AEAEF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37B3943D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7F4AB196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60ECBFFD" w14:textId="77777777" w:rsidTr="00530FD9">
        <w:tc>
          <w:tcPr>
            <w:tcW w:w="5208" w:type="dxa"/>
          </w:tcPr>
          <w:p w14:paraId="608448E4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Identity of Departmental Safety Advisor</w:t>
            </w:r>
          </w:p>
        </w:tc>
        <w:tc>
          <w:tcPr>
            <w:tcW w:w="1843" w:type="dxa"/>
          </w:tcPr>
          <w:p w14:paraId="4DED4924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231BBCA7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7A210C96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50CBF2CB" w14:textId="77777777" w:rsidTr="00530FD9">
        <w:tc>
          <w:tcPr>
            <w:tcW w:w="5208" w:type="dxa"/>
          </w:tcPr>
          <w:p w14:paraId="758E4385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Identity of Radiation Supervisor (if appropriate)</w:t>
            </w:r>
          </w:p>
        </w:tc>
        <w:tc>
          <w:tcPr>
            <w:tcW w:w="1843" w:type="dxa"/>
          </w:tcPr>
          <w:p w14:paraId="6DC133C2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27EB8FCA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12F80B0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50B2F0DB" w14:textId="77777777" w:rsidTr="00530FD9">
        <w:tc>
          <w:tcPr>
            <w:tcW w:w="5208" w:type="dxa"/>
          </w:tcPr>
          <w:p w14:paraId="3B2E3B20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Health &amp; Safety Induction Lecture attended</w:t>
            </w:r>
          </w:p>
        </w:tc>
        <w:tc>
          <w:tcPr>
            <w:tcW w:w="1843" w:type="dxa"/>
          </w:tcPr>
          <w:p w14:paraId="779F0B3F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2B7F5AD0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4FCB98D5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2F2C6270" w14:textId="77777777" w:rsidTr="00530FD9">
        <w:tc>
          <w:tcPr>
            <w:tcW w:w="5208" w:type="dxa"/>
          </w:tcPr>
          <w:p w14:paraId="7BCED45A" w14:textId="77777777" w:rsidR="00190693" w:rsidRPr="00E224F1" w:rsidRDefault="00190693" w:rsidP="007B3CC8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 xml:space="preserve">If lecture not attended, have you watched H&amp;S </w:t>
            </w:r>
            <w:r w:rsidR="007B3CC8">
              <w:rPr>
                <w:sz w:val="20"/>
                <w:szCs w:val="20"/>
              </w:rPr>
              <w:t>video</w:t>
            </w:r>
            <w:r w:rsidRPr="00E224F1">
              <w:rPr>
                <w:sz w:val="20"/>
                <w:szCs w:val="20"/>
              </w:rPr>
              <w:t xml:space="preserve"> available </w:t>
            </w:r>
            <w:r w:rsidR="007B3CC8">
              <w:rPr>
                <w:sz w:val="20"/>
                <w:szCs w:val="20"/>
              </w:rPr>
              <w:t>on the Chemistry homepage</w:t>
            </w:r>
          </w:p>
        </w:tc>
        <w:tc>
          <w:tcPr>
            <w:tcW w:w="1843" w:type="dxa"/>
          </w:tcPr>
          <w:p w14:paraId="48B575E2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74783C3C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43ABC18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0A5D769C" w14:textId="77777777" w:rsidTr="00530FD9">
        <w:tc>
          <w:tcPr>
            <w:tcW w:w="5208" w:type="dxa"/>
          </w:tcPr>
          <w:p w14:paraId="54C928F8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Procedure if you discover a fire</w:t>
            </w:r>
          </w:p>
        </w:tc>
        <w:tc>
          <w:tcPr>
            <w:tcW w:w="1843" w:type="dxa"/>
          </w:tcPr>
          <w:p w14:paraId="44359A7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5773C86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0FDC1D51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0F497263" w14:textId="77777777" w:rsidTr="00530FD9">
        <w:tc>
          <w:tcPr>
            <w:tcW w:w="5208" w:type="dxa"/>
          </w:tcPr>
          <w:p w14:paraId="3E9BEB68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How to contact Emergency Services (Dial 9 then 999)</w:t>
            </w:r>
          </w:p>
        </w:tc>
        <w:tc>
          <w:tcPr>
            <w:tcW w:w="1843" w:type="dxa"/>
          </w:tcPr>
          <w:p w14:paraId="7EA2B91D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43A4808D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18E4742C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31FAFE99" w14:textId="77777777" w:rsidTr="00530FD9">
        <w:tc>
          <w:tcPr>
            <w:tcW w:w="5208" w:type="dxa"/>
          </w:tcPr>
          <w:p w14:paraId="0FB5EE80" w14:textId="77777777" w:rsidR="00190693" w:rsidRPr="00E224F1" w:rsidRDefault="00190693" w:rsidP="00306BE3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Contacting Security (ext 3939)</w:t>
            </w:r>
          </w:p>
        </w:tc>
        <w:tc>
          <w:tcPr>
            <w:tcW w:w="1843" w:type="dxa"/>
          </w:tcPr>
          <w:p w14:paraId="518B5042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6892D0D0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6361976C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57719379" w14:textId="77777777" w:rsidTr="00530FD9">
        <w:tc>
          <w:tcPr>
            <w:tcW w:w="5208" w:type="dxa"/>
          </w:tcPr>
          <w:p w14:paraId="050610CC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Procedure if the fire alarm sounds</w:t>
            </w:r>
          </w:p>
        </w:tc>
        <w:tc>
          <w:tcPr>
            <w:tcW w:w="1843" w:type="dxa"/>
          </w:tcPr>
          <w:p w14:paraId="54BF1416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41726FC0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5E35F7D5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3851F3CE" w14:textId="77777777" w:rsidTr="00530FD9">
        <w:tc>
          <w:tcPr>
            <w:tcW w:w="5208" w:type="dxa"/>
          </w:tcPr>
          <w:p w14:paraId="3B3374C8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Location of fire alarm break points</w:t>
            </w:r>
          </w:p>
        </w:tc>
        <w:tc>
          <w:tcPr>
            <w:tcW w:w="1843" w:type="dxa"/>
          </w:tcPr>
          <w:p w14:paraId="4013DEBE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555500CE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390CBA40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7AB26462" w14:textId="77777777" w:rsidTr="00530FD9">
        <w:tc>
          <w:tcPr>
            <w:tcW w:w="5208" w:type="dxa"/>
          </w:tcPr>
          <w:p w14:paraId="3B02F569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Location and types (content) of fire extinguishers</w:t>
            </w:r>
          </w:p>
        </w:tc>
        <w:tc>
          <w:tcPr>
            <w:tcW w:w="1843" w:type="dxa"/>
          </w:tcPr>
          <w:p w14:paraId="7B8D933C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015659B0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68BB7633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55ABCEE1" w14:textId="77777777" w:rsidTr="00530FD9">
        <w:tc>
          <w:tcPr>
            <w:tcW w:w="5208" w:type="dxa"/>
          </w:tcPr>
          <w:p w14:paraId="28C1F173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Fire extinguishers course attended (optional)</w:t>
            </w:r>
          </w:p>
        </w:tc>
        <w:tc>
          <w:tcPr>
            <w:tcW w:w="1843" w:type="dxa"/>
          </w:tcPr>
          <w:p w14:paraId="3358875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664D0825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343E50BA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08D59B63" w14:textId="77777777" w:rsidTr="00530FD9">
        <w:tc>
          <w:tcPr>
            <w:tcW w:w="5208" w:type="dxa"/>
          </w:tcPr>
          <w:p w14:paraId="3B2C6960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Escape routes in event of fire</w:t>
            </w:r>
          </w:p>
        </w:tc>
        <w:tc>
          <w:tcPr>
            <w:tcW w:w="1843" w:type="dxa"/>
          </w:tcPr>
          <w:p w14:paraId="31D36756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16301175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4D1A665B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6343F36D" w14:textId="77777777" w:rsidTr="00530FD9">
        <w:tc>
          <w:tcPr>
            <w:tcW w:w="5208" w:type="dxa"/>
          </w:tcPr>
          <w:p w14:paraId="05B6CEC7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Location of Assembly Point</w:t>
            </w:r>
          </w:p>
        </w:tc>
        <w:tc>
          <w:tcPr>
            <w:tcW w:w="1843" w:type="dxa"/>
          </w:tcPr>
          <w:p w14:paraId="5127696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70038EB3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538653A6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0A28556F" w14:textId="77777777" w:rsidTr="00530FD9">
        <w:tc>
          <w:tcPr>
            <w:tcW w:w="5208" w:type="dxa"/>
          </w:tcPr>
          <w:p w14:paraId="40DE7A8F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Location of First Aid supplies</w:t>
            </w:r>
          </w:p>
        </w:tc>
        <w:tc>
          <w:tcPr>
            <w:tcW w:w="1843" w:type="dxa"/>
          </w:tcPr>
          <w:p w14:paraId="3210913F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40A0FACC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7AC246F0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0D5E2633" w14:textId="77777777" w:rsidTr="00530FD9">
        <w:tc>
          <w:tcPr>
            <w:tcW w:w="5208" w:type="dxa"/>
          </w:tcPr>
          <w:p w14:paraId="48623AB2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Identity/Location of Departmental First Aid personnel</w:t>
            </w:r>
          </w:p>
        </w:tc>
        <w:tc>
          <w:tcPr>
            <w:tcW w:w="1843" w:type="dxa"/>
          </w:tcPr>
          <w:p w14:paraId="7B72A16B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77A76F24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6D5FC03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02ED31EE" w14:textId="77777777" w:rsidTr="00530FD9">
        <w:tc>
          <w:tcPr>
            <w:tcW w:w="5208" w:type="dxa"/>
          </w:tcPr>
          <w:p w14:paraId="6FEC1DC2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Location of Recovery Room</w:t>
            </w:r>
          </w:p>
        </w:tc>
        <w:tc>
          <w:tcPr>
            <w:tcW w:w="1843" w:type="dxa"/>
          </w:tcPr>
          <w:p w14:paraId="503E9443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0BCAA0B1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77834B50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436872AC" w14:textId="77777777" w:rsidTr="00530FD9">
        <w:tc>
          <w:tcPr>
            <w:tcW w:w="5208" w:type="dxa"/>
          </w:tcPr>
          <w:p w14:paraId="60A1204C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Emergency First Aid procedure</w:t>
            </w:r>
          </w:p>
        </w:tc>
        <w:tc>
          <w:tcPr>
            <w:tcW w:w="1843" w:type="dxa"/>
          </w:tcPr>
          <w:p w14:paraId="2060DD3A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3F13CDD7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75CC8DCA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2A7FBFC0" w14:textId="77777777" w:rsidTr="00530FD9">
        <w:tc>
          <w:tcPr>
            <w:tcW w:w="5208" w:type="dxa"/>
          </w:tcPr>
          <w:p w14:paraId="190406BB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Reporting of Accidents</w:t>
            </w:r>
          </w:p>
        </w:tc>
        <w:tc>
          <w:tcPr>
            <w:tcW w:w="1843" w:type="dxa"/>
          </w:tcPr>
          <w:p w14:paraId="4A82EA0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1B59144B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436C3D7D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4045C8AE" w14:textId="77777777" w:rsidTr="00530FD9">
        <w:tc>
          <w:tcPr>
            <w:tcW w:w="5208" w:type="dxa"/>
          </w:tcPr>
          <w:p w14:paraId="01EBEC57" w14:textId="77777777" w:rsidR="00190693" w:rsidRPr="00DC6170" w:rsidRDefault="00190693" w:rsidP="00DC6170">
            <w:pPr>
              <w:jc w:val="center"/>
              <w:rPr>
                <w:b/>
                <w:sz w:val="22"/>
                <w:szCs w:val="22"/>
              </w:rPr>
            </w:pPr>
            <w:r w:rsidRPr="00DC6170">
              <w:rPr>
                <w:b/>
                <w:sz w:val="22"/>
                <w:szCs w:val="22"/>
              </w:rPr>
              <w:t>Housekeeping &amp; General Matters</w:t>
            </w:r>
          </w:p>
        </w:tc>
        <w:tc>
          <w:tcPr>
            <w:tcW w:w="1843" w:type="dxa"/>
          </w:tcPr>
          <w:p w14:paraId="52D672F0" w14:textId="77777777" w:rsidR="00190693" w:rsidRPr="00DC6170" w:rsidRDefault="00190693" w:rsidP="007B64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</w:tcPr>
          <w:p w14:paraId="080436E9" w14:textId="77777777" w:rsidR="00190693" w:rsidRPr="00DC6170" w:rsidRDefault="00190693" w:rsidP="00DC6170">
            <w:pPr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</w:tcPr>
          <w:p w14:paraId="24BB4B55" w14:textId="77777777" w:rsidR="00190693" w:rsidRPr="00DC6170" w:rsidRDefault="00190693" w:rsidP="00DC6170">
            <w:pPr>
              <w:rPr>
                <w:b/>
                <w:sz w:val="22"/>
                <w:szCs w:val="22"/>
              </w:rPr>
            </w:pPr>
          </w:p>
        </w:tc>
      </w:tr>
      <w:tr w:rsidR="00190693" w:rsidRPr="00DC6170" w14:paraId="6C8A365E" w14:textId="77777777" w:rsidTr="00530FD9">
        <w:tc>
          <w:tcPr>
            <w:tcW w:w="5208" w:type="dxa"/>
          </w:tcPr>
          <w:p w14:paraId="50309C05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General Laboratory Safety</w:t>
            </w:r>
          </w:p>
        </w:tc>
        <w:tc>
          <w:tcPr>
            <w:tcW w:w="1843" w:type="dxa"/>
          </w:tcPr>
          <w:p w14:paraId="73DE395D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2F4BA4EA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04026FDD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44F503C0" w14:textId="77777777" w:rsidTr="00530FD9">
        <w:tc>
          <w:tcPr>
            <w:tcW w:w="5208" w:type="dxa"/>
          </w:tcPr>
          <w:p w14:paraId="0D54A020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Areas of permitted/prohibited eating/drinking/smoking</w:t>
            </w:r>
          </w:p>
        </w:tc>
        <w:tc>
          <w:tcPr>
            <w:tcW w:w="1843" w:type="dxa"/>
          </w:tcPr>
          <w:p w14:paraId="028F955D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5961CAEE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17B2E482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22210E27" w14:textId="77777777" w:rsidTr="00530FD9">
        <w:tc>
          <w:tcPr>
            <w:tcW w:w="5208" w:type="dxa"/>
          </w:tcPr>
          <w:p w14:paraId="069DC341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Lab coat policy</w:t>
            </w:r>
          </w:p>
        </w:tc>
        <w:tc>
          <w:tcPr>
            <w:tcW w:w="1843" w:type="dxa"/>
          </w:tcPr>
          <w:p w14:paraId="6D585AAB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719B4BF4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6DBDB6F7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6791BB55" w14:textId="77777777" w:rsidTr="00530FD9">
        <w:tc>
          <w:tcPr>
            <w:tcW w:w="5208" w:type="dxa"/>
          </w:tcPr>
          <w:p w14:paraId="6928C1B6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Eye protection policy</w:t>
            </w:r>
          </w:p>
        </w:tc>
        <w:tc>
          <w:tcPr>
            <w:tcW w:w="1843" w:type="dxa"/>
          </w:tcPr>
          <w:p w14:paraId="5B9C5143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16E651A2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1CD6629C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054015B9" w14:textId="77777777" w:rsidTr="00530FD9">
        <w:tc>
          <w:tcPr>
            <w:tcW w:w="5208" w:type="dxa"/>
          </w:tcPr>
          <w:p w14:paraId="5CCCA2B7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Further personal protective equipment (if appropriate)</w:t>
            </w:r>
          </w:p>
        </w:tc>
        <w:tc>
          <w:tcPr>
            <w:tcW w:w="1843" w:type="dxa"/>
          </w:tcPr>
          <w:p w14:paraId="318B237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41DC760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41A8D6AA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238EFB81" w14:textId="77777777" w:rsidTr="00530FD9">
        <w:tc>
          <w:tcPr>
            <w:tcW w:w="5208" w:type="dxa"/>
          </w:tcPr>
          <w:p w14:paraId="068E0525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Effective use of fume cupboards</w:t>
            </w:r>
          </w:p>
        </w:tc>
        <w:tc>
          <w:tcPr>
            <w:tcW w:w="1843" w:type="dxa"/>
          </w:tcPr>
          <w:p w14:paraId="116812FE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60AD56BD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74E580E6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1922942C" w14:textId="77777777" w:rsidTr="00530FD9">
        <w:tc>
          <w:tcPr>
            <w:tcW w:w="5208" w:type="dxa"/>
          </w:tcPr>
          <w:p w14:paraId="3F5358C2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Procedure for notification of building defects</w:t>
            </w:r>
          </w:p>
        </w:tc>
        <w:tc>
          <w:tcPr>
            <w:tcW w:w="1843" w:type="dxa"/>
          </w:tcPr>
          <w:p w14:paraId="7B80DC9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199BB66C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05B202D0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379EDE37" w14:textId="77777777" w:rsidTr="00530FD9">
        <w:tc>
          <w:tcPr>
            <w:tcW w:w="5208" w:type="dxa"/>
          </w:tcPr>
          <w:p w14:paraId="5E9B0EB6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Handling of </w:t>
            </w:r>
            <w:r w:rsidRPr="00E224F1">
              <w:rPr>
                <w:b/>
                <w:sz w:val="22"/>
                <w:szCs w:val="22"/>
              </w:rPr>
              <w:t>Chemical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843" w:type="dxa"/>
          </w:tcPr>
          <w:p w14:paraId="7D9034D4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</w:tcPr>
          <w:p w14:paraId="2047AB9E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</w:tcPr>
          <w:p w14:paraId="788F96F3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0693" w:rsidRPr="00DC6170" w14:paraId="1B55636F" w14:textId="77777777" w:rsidTr="00530FD9">
        <w:tc>
          <w:tcPr>
            <w:tcW w:w="5208" w:type="dxa"/>
          </w:tcPr>
          <w:p w14:paraId="64BFBA39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Storage of chemicals</w:t>
            </w:r>
          </w:p>
        </w:tc>
        <w:tc>
          <w:tcPr>
            <w:tcW w:w="1843" w:type="dxa"/>
          </w:tcPr>
          <w:p w14:paraId="2A57F92C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0BFEC602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47FEF6F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46C25D65" w14:textId="77777777" w:rsidTr="00530FD9">
        <w:tc>
          <w:tcPr>
            <w:tcW w:w="5208" w:type="dxa"/>
          </w:tcPr>
          <w:p w14:paraId="35D45CE9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Labelling of chemicals</w:t>
            </w:r>
          </w:p>
        </w:tc>
        <w:tc>
          <w:tcPr>
            <w:tcW w:w="1843" w:type="dxa"/>
          </w:tcPr>
          <w:p w14:paraId="2EFD2A57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414E2153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6D613F32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3ACAF5BA" w14:textId="77777777" w:rsidTr="00530FD9">
        <w:tc>
          <w:tcPr>
            <w:tcW w:w="5208" w:type="dxa"/>
          </w:tcPr>
          <w:p w14:paraId="2985CBD3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Transport of chemicals</w:t>
            </w:r>
          </w:p>
        </w:tc>
        <w:tc>
          <w:tcPr>
            <w:tcW w:w="1843" w:type="dxa"/>
          </w:tcPr>
          <w:p w14:paraId="0CE9393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6A44CB7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6C3EA849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17507763" w14:textId="77777777" w:rsidTr="00530FD9">
        <w:tc>
          <w:tcPr>
            <w:tcW w:w="5208" w:type="dxa"/>
          </w:tcPr>
          <w:p w14:paraId="1741A821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Procedure for dealing with spills</w:t>
            </w:r>
          </w:p>
        </w:tc>
        <w:tc>
          <w:tcPr>
            <w:tcW w:w="1843" w:type="dxa"/>
          </w:tcPr>
          <w:p w14:paraId="4CDBBF5F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254980FF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FE6762E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14A8CDF3" w14:textId="77777777" w:rsidTr="00530FD9">
        <w:tc>
          <w:tcPr>
            <w:tcW w:w="5208" w:type="dxa"/>
          </w:tcPr>
          <w:p w14:paraId="0500DF0B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Disposal of chemical waste</w:t>
            </w:r>
          </w:p>
        </w:tc>
        <w:tc>
          <w:tcPr>
            <w:tcW w:w="1843" w:type="dxa"/>
          </w:tcPr>
          <w:p w14:paraId="0D7966D1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056A0DC9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509F91CA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3C88E49F" w14:textId="77777777" w:rsidTr="00530FD9">
        <w:tc>
          <w:tcPr>
            <w:tcW w:w="5208" w:type="dxa"/>
          </w:tcPr>
          <w:p w14:paraId="2AF19568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Disposal of contaminated sharps (including glass waste)</w:t>
            </w:r>
          </w:p>
        </w:tc>
        <w:tc>
          <w:tcPr>
            <w:tcW w:w="1843" w:type="dxa"/>
          </w:tcPr>
          <w:p w14:paraId="10FD7E1E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67DBF560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7C6151B7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1CCEFFBA" w14:textId="77777777" w:rsidTr="00530FD9">
        <w:tc>
          <w:tcPr>
            <w:tcW w:w="5208" w:type="dxa"/>
          </w:tcPr>
          <w:p w14:paraId="6AB78D70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Domestic waste</w:t>
            </w:r>
          </w:p>
        </w:tc>
        <w:tc>
          <w:tcPr>
            <w:tcW w:w="1843" w:type="dxa"/>
          </w:tcPr>
          <w:p w14:paraId="1EB9EE30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5DF35B83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5C0A93A5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6F723FFC" w14:textId="77777777" w:rsidTr="00530FD9">
        <w:tc>
          <w:tcPr>
            <w:tcW w:w="5208" w:type="dxa"/>
          </w:tcPr>
          <w:p w14:paraId="4C3553CB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Bulk/heavy waste</w:t>
            </w:r>
          </w:p>
        </w:tc>
        <w:tc>
          <w:tcPr>
            <w:tcW w:w="1843" w:type="dxa"/>
          </w:tcPr>
          <w:p w14:paraId="34DC68B1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06A90EE5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1EAD0A56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22DD417A" w14:textId="77777777" w:rsidTr="00530FD9">
        <w:tc>
          <w:tcPr>
            <w:tcW w:w="5208" w:type="dxa"/>
          </w:tcPr>
          <w:p w14:paraId="0D0D8FF9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  <w:r w:rsidRPr="00E224F1">
              <w:rPr>
                <w:b/>
                <w:sz w:val="22"/>
                <w:szCs w:val="22"/>
              </w:rPr>
              <w:t>Out-of-Hours Working</w:t>
            </w:r>
          </w:p>
        </w:tc>
        <w:tc>
          <w:tcPr>
            <w:tcW w:w="1843" w:type="dxa"/>
          </w:tcPr>
          <w:p w14:paraId="5C590CCF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</w:tcPr>
          <w:p w14:paraId="5F4D5ABB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</w:tcPr>
          <w:p w14:paraId="359EA99A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0693" w:rsidRPr="00DC6170" w14:paraId="2664D5B3" w14:textId="77777777" w:rsidTr="00530FD9">
        <w:tc>
          <w:tcPr>
            <w:tcW w:w="5208" w:type="dxa"/>
          </w:tcPr>
          <w:p w14:paraId="1D25B891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Out-of-Hours procedure</w:t>
            </w:r>
          </w:p>
        </w:tc>
        <w:tc>
          <w:tcPr>
            <w:tcW w:w="1843" w:type="dxa"/>
          </w:tcPr>
          <w:p w14:paraId="4B2664F2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1AFB82B1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3DD16D8F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3601B9DC" w14:textId="77777777" w:rsidTr="00530FD9">
        <w:tc>
          <w:tcPr>
            <w:tcW w:w="5208" w:type="dxa"/>
          </w:tcPr>
          <w:p w14:paraId="05670A33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Lone working policy</w:t>
            </w:r>
          </w:p>
        </w:tc>
        <w:tc>
          <w:tcPr>
            <w:tcW w:w="1843" w:type="dxa"/>
          </w:tcPr>
          <w:p w14:paraId="5CFEF5A8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3C231189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28649701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  <w:tr w:rsidR="00190693" w:rsidRPr="00DC6170" w14:paraId="11A6A6A7" w14:textId="77777777" w:rsidTr="00530FD9">
        <w:tc>
          <w:tcPr>
            <w:tcW w:w="5208" w:type="dxa"/>
          </w:tcPr>
          <w:p w14:paraId="7B44051C" w14:textId="77777777" w:rsidR="00190693" w:rsidRPr="00E224F1" w:rsidRDefault="00190693" w:rsidP="00DC6170">
            <w:pPr>
              <w:rPr>
                <w:sz w:val="20"/>
                <w:szCs w:val="20"/>
              </w:rPr>
            </w:pPr>
            <w:r w:rsidRPr="00E224F1">
              <w:rPr>
                <w:sz w:val="20"/>
                <w:szCs w:val="20"/>
              </w:rPr>
              <w:t>Overnight running permits</w:t>
            </w:r>
          </w:p>
        </w:tc>
        <w:tc>
          <w:tcPr>
            <w:tcW w:w="1843" w:type="dxa"/>
          </w:tcPr>
          <w:p w14:paraId="7B84FB5B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37ABB963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51F3D106" w14:textId="77777777" w:rsidR="00190693" w:rsidRPr="00E224F1" w:rsidRDefault="00190693" w:rsidP="00DC6170">
            <w:pPr>
              <w:rPr>
                <w:sz w:val="20"/>
                <w:szCs w:val="20"/>
              </w:rPr>
            </w:pPr>
          </w:p>
        </w:tc>
      </w:tr>
    </w:tbl>
    <w:p w14:paraId="4154157B" w14:textId="77777777" w:rsidR="00190693" w:rsidRDefault="00190693" w:rsidP="00190693"/>
    <w:p w14:paraId="2462E377" w14:textId="77777777" w:rsidR="00190693" w:rsidRDefault="00190693" w:rsidP="00190693">
      <w:r w:rsidRPr="00190693">
        <w:rPr>
          <w:b/>
          <w:sz w:val="22"/>
          <w:szCs w:val="22"/>
        </w:rPr>
        <w:t>I have read and understand the safety policy on each countersigned item above</w:t>
      </w:r>
      <w:r>
        <w:t xml:space="preserve"> ……………………</w:t>
      </w:r>
      <w:r w:rsidR="00711E2F">
        <w:t>…….</w:t>
      </w:r>
    </w:p>
    <w:p w14:paraId="00BD106B" w14:textId="61B74CE9" w:rsidR="00812F7F" w:rsidRPr="0087501D" w:rsidRDefault="00190693" w:rsidP="00190693">
      <w:pPr>
        <w:tabs>
          <w:tab w:val="left" w:pos="7655"/>
        </w:tabs>
        <w:rPr>
          <w:b/>
          <w:sz w:val="28"/>
          <w:szCs w:val="28"/>
          <w:u w:val="single"/>
        </w:rPr>
      </w:pPr>
      <w:r>
        <w:tab/>
        <w:t>(Researcher signature)</w:t>
      </w:r>
      <w:r w:rsidR="00812F7F">
        <w:br w:type="page"/>
      </w:r>
      <w:r w:rsidR="00263654" w:rsidRPr="00263654">
        <w:rPr>
          <w:b/>
          <w:sz w:val="28"/>
          <w:szCs w:val="28"/>
        </w:rPr>
        <w:lastRenderedPageBreak/>
        <w:t>Laboratory specific issues</w:t>
      </w:r>
    </w:p>
    <w:p w14:paraId="702B9795" w14:textId="77777777" w:rsidR="0087501D" w:rsidRDefault="0087501D"/>
    <w:p w14:paraId="5363309B" w14:textId="77777777" w:rsidR="0087501D" w:rsidRDefault="0087501D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1843"/>
        <w:gridCol w:w="1559"/>
        <w:gridCol w:w="1575"/>
      </w:tblGrid>
      <w:tr w:rsidR="00190693" w:rsidRPr="00DC6170" w14:paraId="734332EE" w14:textId="77777777" w:rsidTr="00130465">
        <w:trPr>
          <w:tblHeader/>
        </w:trPr>
        <w:tc>
          <w:tcPr>
            <w:tcW w:w="5211" w:type="dxa"/>
            <w:vMerge w:val="restart"/>
            <w:vAlign w:val="center"/>
          </w:tcPr>
          <w:p w14:paraId="1F4C8AE5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Risk Assessment</w:t>
            </w:r>
          </w:p>
        </w:tc>
        <w:tc>
          <w:tcPr>
            <w:tcW w:w="1843" w:type="dxa"/>
            <w:vMerge w:val="restart"/>
            <w:vAlign w:val="center"/>
          </w:tcPr>
          <w:p w14:paraId="56792BD6" w14:textId="77777777" w:rsidR="00190693" w:rsidRDefault="00190693" w:rsidP="00E224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</w:t>
            </w:r>
          </w:p>
          <w:p w14:paraId="019396E0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Completed</w:t>
            </w:r>
          </w:p>
        </w:tc>
        <w:tc>
          <w:tcPr>
            <w:tcW w:w="3134" w:type="dxa"/>
            <w:gridSpan w:val="2"/>
          </w:tcPr>
          <w:p w14:paraId="160FB298" w14:textId="77777777" w:rsidR="00190693" w:rsidRDefault="00190693" w:rsidP="00E224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Signatures</w:t>
            </w:r>
          </w:p>
        </w:tc>
      </w:tr>
      <w:tr w:rsidR="00190693" w:rsidRPr="00DC6170" w14:paraId="69B70326" w14:textId="77777777" w:rsidTr="00130465">
        <w:trPr>
          <w:tblHeader/>
        </w:trPr>
        <w:tc>
          <w:tcPr>
            <w:tcW w:w="5211" w:type="dxa"/>
            <w:vMerge/>
          </w:tcPr>
          <w:p w14:paraId="7405C543" w14:textId="77777777" w:rsidR="00190693" w:rsidRDefault="00190693" w:rsidP="00E22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C6D9A0C" w14:textId="77777777" w:rsidR="00190693" w:rsidRDefault="00190693" w:rsidP="00E22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BB77D5" w14:textId="77777777" w:rsidR="00190693" w:rsidRDefault="00190693" w:rsidP="00E224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Researcher</w:t>
            </w:r>
          </w:p>
        </w:tc>
        <w:tc>
          <w:tcPr>
            <w:tcW w:w="1575" w:type="dxa"/>
          </w:tcPr>
          <w:p w14:paraId="39F0E612" w14:textId="77777777" w:rsidR="00190693" w:rsidRDefault="00190693" w:rsidP="00E224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Supervisor</w:t>
            </w:r>
          </w:p>
        </w:tc>
      </w:tr>
      <w:tr w:rsidR="00190693" w:rsidRPr="00DC6170" w14:paraId="165797D0" w14:textId="77777777">
        <w:tc>
          <w:tcPr>
            <w:tcW w:w="5211" w:type="dxa"/>
          </w:tcPr>
          <w:p w14:paraId="2D00B501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Risk assessment lecture/training attended</w:t>
            </w:r>
          </w:p>
        </w:tc>
        <w:tc>
          <w:tcPr>
            <w:tcW w:w="1843" w:type="dxa"/>
          </w:tcPr>
          <w:p w14:paraId="0F2CA5EF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E668A3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28491281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0F3167B9" w14:textId="77777777">
        <w:tc>
          <w:tcPr>
            <w:tcW w:w="5211" w:type="dxa"/>
          </w:tcPr>
          <w:p w14:paraId="3967BBD6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First laboratory risk assessment submitted</w:t>
            </w:r>
          </w:p>
        </w:tc>
        <w:tc>
          <w:tcPr>
            <w:tcW w:w="1843" w:type="dxa"/>
          </w:tcPr>
          <w:p w14:paraId="5B9DE033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AEEE1A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BF132AA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5709B0DC" w14:textId="77777777">
        <w:tc>
          <w:tcPr>
            <w:tcW w:w="5211" w:type="dxa"/>
          </w:tcPr>
          <w:p w14:paraId="7564CE04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Equipment Specific Issues (where appropriate)</w:t>
            </w:r>
          </w:p>
        </w:tc>
        <w:tc>
          <w:tcPr>
            <w:tcW w:w="1843" w:type="dxa"/>
          </w:tcPr>
          <w:p w14:paraId="374056EE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53BC75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</w:tcPr>
          <w:p w14:paraId="39719FBC" w14:textId="77777777" w:rsidR="00190693" w:rsidRPr="00E224F1" w:rsidRDefault="00190693" w:rsidP="00E224F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0693" w:rsidRPr="00DC6170" w14:paraId="187E30CC" w14:textId="77777777">
        <w:tc>
          <w:tcPr>
            <w:tcW w:w="5211" w:type="dxa"/>
          </w:tcPr>
          <w:p w14:paraId="29D2BF4A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Use of high pressure equipment</w:t>
            </w:r>
          </w:p>
        </w:tc>
        <w:tc>
          <w:tcPr>
            <w:tcW w:w="1843" w:type="dxa"/>
          </w:tcPr>
          <w:p w14:paraId="15014BC8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DC4FF96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8E05B8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76C4A01B" w14:textId="77777777">
        <w:tc>
          <w:tcPr>
            <w:tcW w:w="5211" w:type="dxa"/>
          </w:tcPr>
          <w:p w14:paraId="3C22CA7E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Use of vacuum equipment</w:t>
            </w:r>
          </w:p>
        </w:tc>
        <w:tc>
          <w:tcPr>
            <w:tcW w:w="1843" w:type="dxa"/>
          </w:tcPr>
          <w:p w14:paraId="1DBF0916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CC4524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6B856019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1E34508B" w14:textId="77777777">
        <w:tc>
          <w:tcPr>
            <w:tcW w:w="5211" w:type="dxa"/>
          </w:tcPr>
          <w:p w14:paraId="703F23EB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Use of electrical equipment</w:t>
            </w:r>
          </w:p>
        </w:tc>
        <w:tc>
          <w:tcPr>
            <w:tcW w:w="1843" w:type="dxa"/>
          </w:tcPr>
          <w:p w14:paraId="4151CECE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7785FB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65BE385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63F86F54" w14:textId="77777777">
        <w:tc>
          <w:tcPr>
            <w:tcW w:w="5211" w:type="dxa"/>
          </w:tcPr>
          <w:p w14:paraId="58029533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Use of centrifuges</w:t>
            </w:r>
          </w:p>
        </w:tc>
        <w:tc>
          <w:tcPr>
            <w:tcW w:w="1843" w:type="dxa"/>
          </w:tcPr>
          <w:p w14:paraId="7622A1E9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AA666D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92823F7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764FB389" w14:textId="77777777">
        <w:tc>
          <w:tcPr>
            <w:tcW w:w="5211" w:type="dxa"/>
          </w:tcPr>
          <w:p w14:paraId="4CD3D6FC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X-ray equipment and film badges</w:t>
            </w:r>
          </w:p>
        </w:tc>
        <w:tc>
          <w:tcPr>
            <w:tcW w:w="1843" w:type="dxa"/>
          </w:tcPr>
          <w:p w14:paraId="75EB69D8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487DAD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6F0A3993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5841C3D6" w14:textId="77777777">
        <w:tc>
          <w:tcPr>
            <w:tcW w:w="5211" w:type="dxa"/>
          </w:tcPr>
          <w:p w14:paraId="6AA787C7" w14:textId="77777777" w:rsidR="00190693" w:rsidRPr="00A32003" w:rsidRDefault="00190693" w:rsidP="00A320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Specific Issues</w:t>
            </w:r>
          </w:p>
        </w:tc>
        <w:tc>
          <w:tcPr>
            <w:tcW w:w="1843" w:type="dxa"/>
          </w:tcPr>
          <w:p w14:paraId="3810C49F" w14:textId="77777777" w:rsidR="00190693" w:rsidRPr="00A32003" w:rsidRDefault="00190693" w:rsidP="00A320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53CDBE" w14:textId="77777777" w:rsidR="00190693" w:rsidRPr="00A32003" w:rsidRDefault="00190693" w:rsidP="00A320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</w:tcPr>
          <w:p w14:paraId="0808E4E4" w14:textId="77777777" w:rsidR="00190693" w:rsidRPr="00A32003" w:rsidRDefault="00190693" w:rsidP="00A3200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0693" w:rsidRPr="00DC6170" w14:paraId="6BE5C115" w14:textId="77777777">
        <w:tc>
          <w:tcPr>
            <w:tcW w:w="5211" w:type="dxa"/>
          </w:tcPr>
          <w:p w14:paraId="6E02CDBE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Use of cryogenics</w:t>
            </w:r>
          </w:p>
        </w:tc>
        <w:tc>
          <w:tcPr>
            <w:tcW w:w="1843" w:type="dxa"/>
          </w:tcPr>
          <w:p w14:paraId="7C9BEC87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CDF6A6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6C7BFEAA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37C73E49" w14:textId="77777777">
        <w:tc>
          <w:tcPr>
            <w:tcW w:w="5211" w:type="dxa"/>
          </w:tcPr>
          <w:p w14:paraId="682D303F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Use of gas cylinder</w:t>
            </w:r>
          </w:p>
        </w:tc>
        <w:tc>
          <w:tcPr>
            <w:tcW w:w="1843" w:type="dxa"/>
          </w:tcPr>
          <w:p w14:paraId="28A0D733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6C9219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92DA95E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0FC9125C" w14:textId="77777777">
        <w:tc>
          <w:tcPr>
            <w:tcW w:w="5211" w:type="dxa"/>
          </w:tcPr>
          <w:p w14:paraId="71AD46C4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Use of mercury</w:t>
            </w:r>
          </w:p>
        </w:tc>
        <w:tc>
          <w:tcPr>
            <w:tcW w:w="1843" w:type="dxa"/>
          </w:tcPr>
          <w:p w14:paraId="1F80BBA6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AB9F41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B09532F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74A24E97" w14:textId="77777777">
        <w:tc>
          <w:tcPr>
            <w:tcW w:w="5211" w:type="dxa"/>
          </w:tcPr>
          <w:p w14:paraId="2FD2168F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Use of carcinogens</w:t>
            </w:r>
          </w:p>
        </w:tc>
        <w:tc>
          <w:tcPr>
            <w:tcW w:w="1843" w:type="dxa"/>
          </w:tcPr>
          <w:p w14:paraId="29B83C33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EA389C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38A8879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33E4828C" w14:textId="77777777">
        <w:tc>
          <w:tcPr>
            <w:tcW w:w="5211" w:type="dxa"/>
          </w:tcPr>
          <w:p w14:paraId="11ADDF62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Highly flammable liquids and ethers/peroxides</w:t>
            </w:r>
          </w:p>
        </w:tc>
        <w:tc>
          <w:tcPr>
            <w:tcW w:w="1843" w:type="dxa"/>
          </w:tcPr>
          <w:p w14:paraId="565F7510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1AC513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490730B6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  <w:tr w:rsidR="00190693" w:rsidRPr="00DC6170" w14:paraId="2FB25E92" w14:textId="77777777">
        <w:tc>
          <w:tcPr>
            <w:tcW w:w="5211" w:type="dxa"/>
          </w:tcPr>
          <w:p w14:paraId="6070F2D3" w14:textId="77777777" w:rsidR="00190693" w:rsidRPr="00A32003" w:rsidRDefault="00190693" w:rsidP="00DC6170">
            <w:pPr>
              <w:rPr>
                <w:sz w:val="20"/>
                <w:szCs w:val="20"/>
              </w:rPr>
            </w:pPr>
            <w:r w:rsidRPr="00A32003">
              <w:rPr>
                <w:sz w:val="20"/>
                <w:szCs w:val="20"/>
              </w:rPr>
              <w:t>Chemical incompatibilities</w:t>
            </w:r>
          </w:p>
        </w:tc>
        <w:tc>
          <w:tcPr>
            <w:tcW w:w="1843" w:type="dxa"/>
          </w:tcPr>
          <w:p w14:paraId="68206ACE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AE5F17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4282D1AB" w14:textId="77777777" w:rsidR="00190693" w:rsidRPr="00DC6170" w:rsidRDefault="00190693" w:rsidP="00DC6170">
            <w:pPr>
              <w:rPr>
                <w:sz w:val="22"/>
                <w:szCs w:val="22"/>
              </w:rPr>
            </w:pPr>
          </w:p>
        </w:tc>
      </w:tr>
    </w:tbl>
    <w:p w14:paraId="68E2CB85" w14:textId="77777777" w:rsidR="00DC6170" w:rsidRDefault="00DC6170" w:rsidP="00DC6170">
      <w:pPr>
        <w:rPr>
          <w:sz w:val="22"/>
          <w:szCs w:val="22"/>
        </w:rPr>
      </w:pPr>
    </w:p>
    <w:p w14:paraId="5FA6AE44" w14:textId="77777777" w:rsidR="00190693" w:rsidRDefault="00190693" w:rsidP="00DC6170">
      <w:pPr>
        <w:rPr>
          <w:sz w:val="22"/>
          <w:szCs w:val="22"/>
        </w:rPr>
      </w:pPr>
    </w:p>
    <w:p w14:paraId="187857B3" w14:textId="77777777" w:rsidR="00190693" w:rsidRDefault="00190693" w:rsidP="00190693">
      <w:r w:rsidRPr="00190693">
        <w:rPr>
          <w:b/>
          <w:sz w:val="22"/>
          <w:szCs w:val="22"/>
        </w:rPr>
        <w:t>I have read and understand the safety policy on each countersigned item above</w:t>
      </w:r>
      <w:r>
        <w:t xml:space="preserve"> ……………………</w:t>
      </w:r>
    </w:p>
    <w:p w14:paraId="5BC91E34" w14:textId="77777777" w:rsidR="00190693" w:rsidRPr="00DC6170" w:rsidRDefault="00190693" w:rsidP="00190693">
      <w:pPr>
        <w:tabs>
          <w:tab w:val="left" w:pos="7655"/>
        </w:tabs>
        <w:rPr>
          <w:sz w:val="22"/>
          <w:szCs w:val="22"/>
        </w:rPr>
      </w:pPr>
      <w:r>
        <w:tab/>
        <w:t>(Researcher signature)</w:t>
      </w:r>
    </w:p>
    <w:sectPr w:rsidR="00190693" w:rsidRPr="00DC6170" w:rsidSect="007B3CC8">
      <w:footerReference w:type="default" r:id="rId6"/>
      <w:pgSz w:w="12240" w:h="15840" w:code="1"/>
      <w:pgMar w:top="567" w:right="1134" w:bottom="567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E0867" w14:textId="77777777" w:rsidR="0045198E" w:rsidRDefault="0045198E" w:rsidP="00314ABB">
      <w:r>
        <w:separator/>
      </w:r>
    </w:p>
  </w:endnote>
  <w:endnote w:type="continuationSeparator" w:id="0">
    <w:p w14:paraId="676CB354" w14:textId="77777777" w:rsidR="0045198E" w:rsidRDefault="0045198E" w:rsidP="0031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70F6C" w14:textId="1CB00703" w:rsidR="00AC5E3A" w:rsidRDefault="007B3CC8" w:rsidP="007B3CC8">
    <w:pPr>
      <w:pStyle w:val="Footer"/>
      <w:jc w:val="center"/>
      <w:rPr>
        <w:sz w:val="16"/>
        <w:szCs w:val="16"/>
      </w:rPr>
    </w:pPr>
    <w:r>
      <w:t xml:space="preserve">[Chemistry Department Health &amp; Safety Induction form – version </w:t>
    </w:r>
    <w:r w:rsidR="00530FD9">
      <w:t xml:space="preserve">September </w:t>
    </w:r>
    <w:r>
      <w:t>20</w:t>
    </w:r>
    <w:r w:rsidR="00530FD9">
      <w:t>24</w:t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6DC56" w14:textId="77777777" w:rsidR="0045198E" w:rsidRDefault="0045198E" w:rsidP="00314ABB">
      <w:r>
        <w:separator/>
      </w:r>
    </w:p>
  </w:footnote>
  <w:footnote w:type="continuationSeparator" w:id="0">
    <w:p w14:paraId="109E34D2" w14:textId="77777777" w:rsidR="0045198E" w:rsidRDefault="0045198E" w:rsidP="0031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70"/>
    <w:rsid w:val="000757FF"/>
    <w:rsid w:val="00130465"/>
    <w:rsid w:val="00190693"/>
    <w:rsid w:val="00263654"/>
    <w:rsid w:val="002B39EB"/>
    <w:rsid w:val="00306BE3"/>
    <w:rsid w:val="00314ABB"/>
    <w:rsid w:val="004033C8"/>
    <w:rsid w:val="00413EBB"/>
    <w:rsid w:val="0045198E"/>
    <w:rsid w:val="00465CAD"/>
    <w:rsid w:val="004C051D"/>
    <w:rsid w:val="004C68CA"/>
    <w:rsid w:val="00530FD9"/>
    <w:rsid w:val="005F218D"/>
    <w:rsid w:val="00646F77"/>
    <w:rsid w:val="006F3C50"/>
    <w:rsid w:val="00711E2F"/>
    <w:rsid w:val="007B3CC8"/>
    <w:rsid w:val="007B64DC"/>
    <w:rsid w:val="00805330"/>
    <w:rsid w:val="00812F7F"/>
    <w:rsid w:val="00832096"/>
    <w:rsid w:val="0087501D"/>
    <w:rsid w:val="009051E6"/>
    <w:rsid w:val="00931F74"/>
    <w:rsid w:val="009C086A"/>
    <w:rsid w:val="009F143A"/>
    <w:rsid w:val="00A32003"/>
    <w:rsid w:val="00A5334F"/>
    <w:rsid w:val="00AC0496"/>
    <w:rsid w:val="00AC5E3A"/>
    <w:rsid w:val="00AE263D"/>
    <w:rsid w:val="00AE65D9"/>
    <w:rsid w:val="00BD54A5"/>
    <w:rsid w:val="00C8374E"/>
    <w:rsid w:val="00CD743D"/>
    <w:rsid w:val="00D30409"/>
    <w:rsid w:val="00DC6170"/>
    <w:rsid w:val="00E224F1"/>
    <w:rsid w:val="00E6174B"/>
    <w:rsid w:val="00E80856"/>
    <w:rsid w:val="00E9439E"/>
    <w:rsid w:val="00EC4923"/>
    <w:rsid w:val="00EC5E19"/>
    <w:rsid w:val="00FB478B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5B4A3"/>
  <w15:docId w15:val="{927476A7-99DB-4F20-BAB1-73F20C3E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0F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F21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F218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18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B3CC8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B3CC8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530F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CHEMISTRY</vt:lpstr>
    </vt:vector>
  </TitlesOfParts>
  <Company>University of Aberdeen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 Induction Form.docx</dc:title>
  <dc:creator>Rainer Ebel</dc:creator>
  <cp:keywords>Safety</cp:keywords>
  <cp:lastModifiedBy>Ebel, Rainer</cp:lastModifiedBy>
  <cp:revision>3</cp:revision>
  <cp:lastPrinted>2007-09-11T12:25:00Z</cp:lastPrinted>
  <dcterms:created xsi:type="dcterms:W3CDTF">2024-09-20T11:33:00Z</dcterms:created>
  <dcterms:modified xsi:type="dcterms:W3CDTF">2024-09-20T11:46:00Z</dcterms:modified>
</cp:coreProperties>
</file>