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2F01" w14:textId="1804AD21" w:rsidR="00980E89" w:rsidRDefault="00980E89" w:rsidP="00B73B8C">
      <w:pPr>
        <w:jc w:val="center"/>
        <w:rPr>
          <w:b/>
          <w:bCs/>
          <w:u w:val="single"/>
        </w:rPr>
      </w:pPr>
      <w:r>
        <w:rPr>
          <w:b/>
          <w:bCs/>
          <w:u w:val="single"/>
        </w:rPr>
        <w:t>Consultation on Automatic Continuation of Leases</w:t>
      </w:r>
    </w:p>
    <w:p w14:paraId="36D1FA18" w14:textId="4D522309" w:rsidR="00980E89" w:rsidRDefault="00980E89" w:rsidP="006E4E19">
      <w:pPr>
        <w:jc w:val="center"/>
        <w:rPr>
          <w:b/>
          <w:bCs/>
          <w:u w:val="single"/>
        </w:rPr>
      </w:pPr>
      <w:r>
        <w:rPr>
          <w:b/>
          <w:bCs/>
          <w:u w:val="single"/>
        </w:rPr>
        <w:t>Response on behalf</w:t>
      </w:r>
      <w:r w:rsidR="00CF0AAF">
        <w:rPr>
          <w:b/>
          <w:bCs/>
          <w:u w:val="single"/>
        </w:rPr>
        <w:t xml:space="preserve"> of</w:t>
      </w:r>
      <w:r>
        <w:rPr>
          <w:b/>
          <w:bCs/>
          <w:u w:val="single"/>
        </w:rPr>
        <w:t xml:space="preserve"> </w:t>
      </w:r>
      <w:r w:rsidR="006E4E19">
        <w:rPr>
          <w:b/>
          <w:bCs/>
          <w:u w:val="single"/>
        </w:rPr>
        <w:t>the Centre for Scots Law</w:t>
      </w:r>
    </w:p>
    <w:p w14:paraId="5E1F03C7" w14:textId="723CC166" w:rsidR="006E4E19" w:rsidRPr="00B73B8C" w:rsidRDefault="006E4E19" w:rsidP="006E4E19">
      <w:r>
        <w:t>This consultation</w:t>
      </w:r>
      <w:r w:rsidR="00B86B40">
        <w:t xml:space="preserve"> response</w:t>
      </w:r>
      <w:r>
        <w:t xml:space="preserve"> was written by Dr Mitchell Skilling. </w:t>
      </w:r>
    </w:p>
    <w:p w14:paraId="1A1F888A" w14:textId="77777777" w:rsidR="00980E89" w:rsidRDefault="00980E89">
      <w:pPr>
        <w:rPr>
          <w:b/>
          <w:bCs/>
        </w:rPr>
      </w:pPr>
    </w:p>
    <w:p w14:paraId="4F2DB938" w14:textId="62EC30F8" w:rsidR="00687BAD" w:rsidRDefault="00996D65">
      <w:pPr>
        <w:rPr>
          <w:b/>
          <w:bCs/>
        </w:rPr>
      </w:pPr>
      <w:r w:rsidRPr="00996D65">
        <w:rPr>
          <w:b/>
          <w:bCs/>
        </w:rPr>
        <w:t>1. Part 1 of the Bill defines the leases to which the legislation will apply, excluding certain residential and agricultural leases from the Bill’s scope. What are your views on the definitions as set out in Part 1 of the Bill?</w:t>
      </w:r>
    </w:p>
    <w:p w14:paraId="25ED8E63" w14:textId="3F74829F" w:rsidR="005A1C74" w:rsidRDefault="005A1C74" w:rsidP="00B73B8C">
      <w:pPr>
        <w:jc w:val="both"/>
      </w:pPr>
      <w:r>
        <w:t>The coverage of the term “residential lease” appears to cover all of the main affected areas in terms of residential contracts intended to provide a person with a</w:t>
      </w:r>
      <w:r w:rsidR="007026F2">
        <w:t>n</w:t>
      </w:r>
      <w:r>
        <w:t xml:space="preserve"> only or principal home. This will not cover residential leases for accommodation that is not the tenant’s only or principal home, such as accommodation for work purposes, and if this is intentional then there is no further comment. </w:t>
      </w:r>
    </w:p>
    <w:p w14:paraId="62D2A9C0" w14:textId="7B0D27E0" w:rsidR="00996D65" w:rsidRDefault="005A1C74" w:rsidP="00B73B8C">
      <w:pPr>
        <w:jc w:val="both"/>
      </w:pPr>
      <w:r>
        <w:t>One possibly unintended exception is paragraph 22(1)(a) of Schedule 1 of the Private Housing (Tenancies) (Scotland) Act 2016, covering charity accommodation to veterans. Unlike its sister provision 22(1)(b), 22(1)(a) is not explicitly an exception for temporary accommodation and may cover permanent residential arrangements for veterans.</w:t>
      </w:r>
    </w:p>
    <w:p w14:paraId="0E013D53" w14:textId="77777777" w:rsidR="005B1647" w:rsidRDefault="005B1647"/>
    <w:p w14:paraId="686D28C6" w14:textId="77777777" w:rsidR="005B1647" w:rsidRDefault="005B1647" w:rsidP="005B1647">
      <w:pPr>
        <w:rPr>
          <w:b/>
          <w:bCs/>
        </w:rPr>
      </w:pPr>
      <w:r w:rsidRPr="00F87791">
        <w:rPr>
          <w:b/>
          <w:bCs/>
        </w:rPr>
        <w:t xml:space="preserve">In line with the conclusions of the Scottish Law Commission’s </w:t>
      </w:r>
      <w:hyperlink r:id="rId7" w:tgtFrame="_blank" w:history="1">
        <w:r w:rsidRPr="00F87791">
          <w:rPr>
            <w:rStyle w:val="Hyperlink"/>
            <w:b/>
            <w:bCs/>
          </w:rPr>
          <w:t>Report on Aspects of Leases: Termination</w:t>
        </w:r>
      </w:hyperlink>
      <w:r w:rsidRPr="00F87791">
        <w:rPr>
          <w:b/>
          <w:bCs/>
        </w:rPr>
        <w:t>, the Bill’s Policy Memorandum states that, “the current law on tacit relocation is uncertain; inaccessible; and outdated” and is in need of reform.</w:t>
      </w:r>
    </w:p>
    <w:p w14:paraId="41E89CA7" w14:textId="754D5044" w:rsidR="00F87791" w:rsidRPr="00F87791" w:rsidRDefault="00F87791" w:rsidP="005B1647">
      <w:pPr>
        <w:rPr>
          <w:b/>
          <w:bCs/>
        </w:rPr>
      </w:pPr>
      <w:r w:rsidRPr="005B1647">
        <w:rPr>
          <w:b/>
          <w:bCs/>
        </w:rPr>
        <w:t>2. Do you consider that the law on tacit relocation needs reforming? If so, for what reasons?</w:t>
      </w:r>
    </w:p>
    <w:p w14:paraId="6FAE1604" w14:textId="0B592C98" w:rsidR="005B1647" w:rsidRDefault="005A1C74" w:rsidP="00B73B8C">
      <w:pPr>
        <w:jc w:val="both"/>
      </w:pPr>
      <w:r>
        <w:t>The University of Aberdeen has in previous consultations supported the reform</w:t>
      </w:r>
      <w:r w:rsidR="00C03218">
        <w:t>, rather than abolition,</w:t>
      </w:r>
      <w:r>
        <w:t xml:space="preserve"> of the law of tacit relocation in relation to commercial leases. We note that this forms</w:t>
      </w:r>
      <w:r w:rsidR="008F33CB">
        <w:t xml:space="preserve"> part of a</w:t>
      </w:r>
      <w:r>
        <w:t xml:space="preserve"> </w:t>
      </w:r>
      <w:r w:rsidR="008F33CB">
        <w:t>drive to change the approach of lease termination across all sectors: the PRT</w:t>
      </w:r>
      <w:r>
        <w:t xml:space="preserve"> under the 2016 Act</w:t>
      </w:r>
      <w:r w:rsidR="008F33CB">
        <w:t xml:space="preserve"> does away with the need for an ish date entirely. </w:t>
      </w:r>
      <w:r w:rsidR="00C03218">
        <w:t xml:space="preserve">In relation to agricultural holdings tacit relocation has been replaced with a species of statutory relocation. </w:t>
      </w:r>
      <w:r>
        <w:t>Tacit relocation is</w:t>
      </w:r>
      <w:r w:rsidR="008F33CB">
        <w:t xml:space="preserve"> unequivocally one of the least accessible aspects of modern lease law. Commercial certainty is to be prized. The benefits of tacit relocation as identified at paras 2.29 and 2.30 of the SLC report are replicable by statutory means.</w:t>
      </w:r>
    </w:p>
    <w:p w14:paraId="679C1B54" w14:textId="77777777" w:rsidR="005B1647" w:rsidRDefault="005B1647"/>
    <w:p w14:paraId="10BA5C3C" w14:textId="2DECBCF4" w:rsidR="005B1647" w:rsidRPr="008F33CB" w:rsidRDefault="005B1647">
      <w:pPr>
        <w:rPr>
          <w:b/>
          <w:bCs/>
        </w:rPr>
      </w:pPr>
      <w:r w:rsidRPr="008F33CB">
        <w:rPr>
          <w:b/>
          <w:bCs/>
        </w:rPr>
        <w:t>3. What are your views on each option? Is the approach taken by the Bill the best way to reform the law?</w:t>
      </w:r>
    </w:p>
    <w:p w14:paraId="794301F0" w14:textId="75F21B90" w:rsidR="008F33CB" w:rsidRDefault="00C03218" w:rsidP="00B73B8C">
      <w:pPr>
        <w:jc w:val="both"/>
      </w:pPr>
      <w:r>
        <w:t>We have previously taken the view that there is no consistent body of opinion in favour of the abolition of such an ancient and deep-rooted part of Scots law. The statutory abolition of tacit relocation in relation to commercial leases would not kill tacit relocation, it would simply limit it to increasingly marginal and obscure corners of Scots lease law. However, we accept there is a need for modernisation and improved accessibility, which is best achieved by option 2 as proceeded in the Bill.</w:t>
      </w:r>
    </w:p>
    <w:p w14:paraId="0FDCDD27" w14:textId="77777777" w:rsidR="00C03218" w:rsidRDefault="00C03218" w:rsidP="005B1647"/>
    <w:p w14:paraId="5D0400DE" w14:textId="137BE529" w:rsidR="005B1647" w:rsidRPr="008F33CB" w:rsidRDefault="005B1647" w:rsidP="005B1647">
      <w:pPr>
        <w:rPr>
          <w:b/>
          <w:bCs/>
        </w:rPr>
      </w:pPr>
      <w:r w:rsidRPr="008F33CB">
        <w:rPr>
          <w:b/>
          <w:bCs/>
        </w:rPr>
        <w:lastRenderedPageBreak/>
        <w:t>4. What are your views on the statutory code in the Bill which replaces tacit relocation?</w:t>
      </w:r>
    </w:p>
    <w:p w14:paraId="69CBBF13" w14:textId="77777777" w:rsidR="008F33CB" w:rsidRPr="00F87791" w:rsidRDefault="008F33CB" w:rsidP="008F33CB">
      <w:pPr>
        <w:rPr>
          <w:b/>
          <w:bCs/>
        </w:rPr>
      </w:pPr>
      <w:r w:rsidRPr="00F87791">
        <w:rPr>
          <w:b/>
          <w:bCs/>
        </w:rPr>
        <w:t>Sections 2 to 7 of the Bill make provision for a statutory code to replace the common law rules on tacit relocation by which a lease continues automatically beyond its termination date. The code applies by default unless the parties contract out of it or give valid notice to terminate the lease prior to its end date.</w:t>
      </w:r>
    </w:p>
    <w:p w14:paraId="65692614" w14:textId="27B9D5F6" w:rsidR="008F33CB" w:rsidRDefault="00F87791" w:rsidP="005B1647">
      <w:r>
        <w:t>These provisions are straightforward and mostly preserve the existing system with greater clarity.</w:t>
      </w:r>
      <w:r w:rsidR="00C03218">
        <w:t xml:space="preserve"> We have </w:t>
      </w:r>
      <w:r w:rsidR="007026F2">
        <w:t xml:space="preserve">no </w:t>
      </w:r>
      <w:r w:rsidR="00C03218">
        <w:t>objection in principle to anything contained in the statutory code.</w:t>
      </w:r>
    </w:p>
    <w:p w14:paraId="6A4B676D" w14:textId="77777777" w:rsidR="008F33CB" w:rsidRDefault="008F33CB" w:rsidP="005B1647"/>
    <w:p w14:paraId="295A3E8C" w14:textId="020D3DA0" w:rsidR="005B1647" w:rsidRPr="00F87791" w:rsidRDefault="005B1647" w:rsidP="00F87791">
      <w:pPr>
        <w:rPr>
          <w:b/>
          <w:bCs/>
          <w:vanish/>
        </w:rPr>
      </w:pPr>
      <w:r w:rsidRPr="00F87791">
        <w:rPr>
          <w:b/>
          <w:bCs/>
        </w:rPr>
        <w:t xml:space="preserve">Sections 8 to 18 of the Bill make provision for a new statutory code to replace the existing rules on giving notice that a lease is to come to an end. This includes different rules for notice given </w:t>
      </w:r>
    </w:p>
    <w:p w14:paraId="061E4007" w14:textId="77777777" w:rsidR="005B1647" w:rsidRPr="00F87791" w:rsidRDefault="005B1647" w:rsidP="005B1647">
      <w:pPr>
        <w:rPr>
          <w:b/>
          <w:bCs/>
        </w:rPr>
      </w:pPr>
      <w:r w:rsidRPr="00F87791">
        <w:rPr>
          <w:b/>
          <w:bCs/>
        </w:rPr>
        <w:t xml:space="preserve">5. What are your views on these sections of the Bill and the approach they take to giving notice? </w:t>
      </w:r>
    </w:p>
    <w:p w14:paraId="4223AE95" w14:textId="7E74F9D4" w:rsidR="00F87791" w:rsidRDefault="00C03218" w:rsidP="005B1647">
      <w:pPr>
        <w:rPr>
          <w:vanish/>
        </w:rPr>
      </w:pPr>
      <w:r>
        <w:rPr>
          <w:vanish/>
        </w:rPr>
        <w:t>We have no objections in principle to anything in these sections.</w:t>
      </w:r>
    </w:p>
    <w:p w14:paraId="0D123EC8" w14:textId="77777777" w:rsidR="00C03218" w:rsidRDefault="00C03218" w:rsidP="005B1647"/>
    <w:p w14:paraId="0565DEF5" w14:textId="77777777" w:rsidR="005B1647" w:rsidRPr="005B1647" w:rsidRDefault="005B1647" w:rsidP="005B1647">
      <w:pPr>
        <w:rPr>
          <w:b/>
          <w:bCs/>
        </w:rPr>
      </w:pPr>
      <w:r w:rsidRPr="005B1647">
        <w:rPr>
          <w:b/>
          <w:bCs/>
        </w:rPr>
        <w:t>Tacit relocation – Leases excluded from the rules in schedule 1</w:t>
      </w:r>
    </w:p>
    <w:p w14:paraId="64CFDA71" w14:textId="38186EB7" w:rsidR="005B1647" w:rsidRPr="00C03218" w:rsidRDefault="005B1647" w:rsidP="005B1647">
      <w:pPr>
        <w:rPr>
          <w:b/>
          <w:bCs/>
          <w:vanish/>
        </w:rPr>
      </w:pPr>
      <w:r w:rsidRPr="00C03218">
        <w:rPr>
          <w:b/>
          <w:bCs/>
        </w:rPr>
        <w:t>A number of types of commercial lease are presently excluded from tacit relocation, and will end on their termination dates. These are: a lease granted for the lifetime of the tenant; a student let; a holiday let; a lease granted with the authority of the court, the Accountant of Court, or the Accountant in Bankruptcy; a short-term grazing or mowing lease; and a lease (of</w:t>
      </w:r>
      <w:r w:rsidR="007D534B">
        <w:rPr>
          <w:b/>
          <w:bCs/>
        </w:rPr>
        <w:t>…</w:t>
      </w:r>
      <w:r w:rsidRPr="00C03218">
        <w:rPr>
          <w:b/>
          <w:bCs/>
        </w:rPr>
        <w:t xml:space="preserve"> </w:t>
      </w:r>
    </w:p>
    <w:p w14:paraId="14FC08FB" w14:textId="77777777" w:rsidR="005B1647" w:rsidRPr="00C03218" w:rsidRDefault="005B1647" w:rsidP="005B1647">
      <w:pPr>
        <w:rPr>
          <w:b/>
          <w:bCs/>
        </w:rPr>
      </w:pPr>
      <w:r w:rsidRPr="00C03218">
        <w:rPr>
          <w:b/>
          <w:bCs/>
        </w:rPr>
        <w:t xml:space="preserve">6. What is your view on schedule 1 of the Bill which excludes certain leases from the new rules on automatic continuation? </w:t>
      </w:r>
    </w:p>
    <w:p w14:paraId="714A825E" w14:textId="15E24219" w:rsidR="007D534B" w:rsidRDefault="007D534B" w:rsidP="007D534B">
      <w:pPr>
        <w:rPr>
          <w:vanish/>
        </w:rPr>
      </w:pPr>
      <w:r>
        <w:rPr>
          <w:vanish/>
        </w:rPr>
        <w:t>We have no objections in principle to anything in the schedule.</w:t>
      </w:r>
    </w:p>
    <w:p w14:paraId="628B3E1D" w14:textId="77777777" w:rsidR="005B1647" w:rsidRPr="005B1647" w:rsidRDefault="005B1647" w:rsidP="005B1647"/>
    <w:p w14:paraId="3983BB89" w14:textId="5B8E9525" w:rsidR="005B1647" w:rsidRPr="00F87791" w:rsidRDefault="005B1647" w:rsidP="005B1647">
      <w:pPr>
        <w:rPr>
          <w:b/>
          <w:bCs/>
          <w:vanish/>
        </w:rPr>
      </w:pPr>
      <w:r w:rsidRPr="00F87791">
        <w:rPr>
          <w:b/>
          <w:bCs/>
        </w:rPr>
        <w:t xml:space="preserve">Part 3 of the Bill makes miscellaneous provisions relating to the start, end or length of a lease </w:t>
      </w:r>
    </w:p>
    <w:p w14:paraId="5A6C13BB" w14:textId="4D2D8278" w:rsidR="005B1647" w:rsidRPr="00F87791" w:rsidRDefault="005B1647" w:rsidP="005B1647">
      <w:pPr>
        <w:rPr>
          <w:b/>
          <w:bCs/>
        </w:rPr>
      </w:pPr>
      <w:r w:rsidRPr="00F87791">
        <w:rPr>
          <w:b/>
          <w:bCs/>
        </w:rPr>
        <w:t xml:space="preserve">7. What is your view </w:t>
      </w:r>
      <w:r w:rsidR="007026F2">
        <w:rPr>
          <w:b/>
          <w:bCs/>
        </w:rPr>
        <w:t xml:space="preserve">on the provisions in Part 3 of the Bill? </w:t>
      </w:r>
    </w:p>
    <w:p w14:paraId="71EE94AF" w14:textId="78AF5437" w:rsidR="005B1647" w:rsidRPr="005B1647" w:rsidRDefault="007D534B" w:rsidP="005B1647">
      <w:pPr>
        <w:rPr>
          <w:b/>
          <w:bCs/>
        </w:rPr>
      </w:pPr>
      <w:r>
        <w:rPr>
          <w:vanish/>
        </w:rPr>
        <w:t>We have no objections in principle to anything in these sections.</w:t>
      </w:r>
      <w:r w:rsidR="00F87791">
        <w:rPr>
          <w:b/>
          <w:bCs/>
        </w:rPr>
        <w:t>T</w:t>
      </w:r>
      <w:r w:rsidR="005B1647" w:rsidRPr="005B1647">
        <w:rPr>
          <w:b/>
          <w:bCs/>
        </w:rPr>
        <w:t>erminology in the Bill</w:t>
      </w:r>
    </w:p>
    <w:p w14:paraId="51BD0153" w14:textId="46BE3BFB" w:rsidR="00980E89" w:rsidRDefault="005B1647" w:rsidP="005B1647">
      <w:pPr>
        <w:rPr>
          <w:b/>
          <w:bCs/>
        </w:rPr>
      </w:pPr>
      <w:r w:rsidRPr="00F87791">
        <w:rPr>
          <w:b/>
          <w:bCs/>
        </w:rPr>
        <w:t>8. What is your view on this new terminology? Are there any other areas in the Bill where the terminology could be improved or changed?</w:t>
      </w:r>
    </w:p>
    <w:p w14:paraId="336C00A0" w14:textId="77777777" w:rsidR="00980E89" w:rsidRPr="005B1647" w:rsidRDefault="00980E89" w:rsidP="00980E89">
      <w:r w:rsidRPr="005B1647">
        <w:t>The Bill substitutes the terms “tacit relocation” with the terms “automatic continuation” and the term “ish” with “termination date” with the aim of using plain English terms to better reflect the meaning behind these doctrines.</w:t>
      </w:r>
    </w:p>
    <w:p w14:paraId="77C2B894" w14:textId="77777777" w:rsidR="00980E89" w:rsidRPr="00F87791" w:rsidRDefault="00980E89" w:rsidP="005B1647">
      <w:pPr>
        <w:rPr>
          <w:b/>
          <w:bCs/>
        </w:rPr>
      </w:pPr>
    </w:p>
    <w:p w14:paraId="6111F142" w14:textId="0C55A149" w:rsidR="005B1647" w:rsidRPr="00F87791" w:rsidRDefault="007D534B" w:rsidP="005B1647">
      <w:pPr>
        <w:rPr>
          <w:vanish/>
        </w:rPr>
      </w:pPr>
      <w:r>
        <w:rPr>
          <w:vanish/>
        </w:rPr>
        <w:t>The new terminology is easy to understand and accessible to the layperson.</w:t>
      </w:r>
    </w:p>
    <w:p w14:paraId="690623C0" w14:textId="77777777" w:rsidR="00F87791" w:rsidRDefault="00F87791" w:rsidP="005B1647">
      <w:pPr>
        <w:rPr>
          <w:vanish/>
        </w:rPr>
      </w:pPr>
    </w:p>
    <w:p w14:paraId="2CCB8C2B" w14:textId="77777777" w:rsidR="005B1647" w:rsidRPr="005B1647" w:rsidRDefault="005B1647" w:rsidP="005B1647">
      <w:pPr>
        <w:rPr>
          <w:b/>
          <w:bCs/>
        </w:rPr>
      </w:pPr>
      <w:r w:rsidRPr="005B1647">
        <w:rPr>
          <w:b/>
          <w:bCs/>
        </w:rPr>
        <w:t>Tenancy of Shops (Scotland) Act 1949</w:t>
      </w:r>
    </w:p>
    <w:p w14:paraId="48AAED66" w14:textId="77777777" w:rsidR="00980E89" w:rsidRPr="00F87791" w:rsidRDefault="00980E89" w:rsidP="00980E89">
      <w:pPr>
        <w:rPr>
          <w:b/>
          <w:bCs/>
        </w:rPr>
      </w:pPr>
      <w:r w:rsidRPr="00F87791">
        <w:rPr>
          <w:b/>
          <w:bCs/>
        </w:rPr>
        <w:t xml:space="preserve">9. What is your view on the fact that the Bill does not include reforms to the Tenancy of Shops (Scotland) Act 1949? Is this something which should be added to the Bill? </w:t>
      </w:r>
    </w:p>
    <w:p w14:paraId="60624C60" w14:textId="77777777" w:rsidR="00980E89" w:rsidRDefault="00980E89" w:rsidP="00980E89">
      <w:pPr>
        <w:rPr>
          <w:vanish/>
        </w:rPr>
      </w:pPr>
      <w:r>
        <w:rPr>
          <w:vanish/>
        </w:rPr>
        <w:t>We are of the view that, while reservations exists as to the piecemeal nature of reform in this area, the specific issues posed by the Tenancy of Shops (Scotland) Act 1949 at this stage would be best resolved by a separate process. At this time, the removal of the protections of the 1949 Act would, as we have previously opined, represent somewhat of a ‘double hit’ on small commercial tenants.</w:t>
      </w:r>
    </w:p>
    <w:p w14:paraId="3618F56A" w14:textId="77777777" w:rsidR="00980E89" w:rsidRDefault="00980E89" w:rsidP="00980E89">
      <w:pPr>
        <w:rPr>
          <w:vanish/>
        </w:rPr>
      </w:pPr>
    </w:p>
    <w:p w14:paraId="768BA49E" w14:textId="77777777" w:rsidR="00980E89" w:rsidRPr="005B1647" w:rsidRDefault="00980E89" w:rsidP="00980E89">
      <w:pPr>
        <w:rPr>
          <w:b/>
          <w:bCs/>
        </w:rPr>
      </w:pPr>
      <w:r w:rsidRPr="005B1647">
        <w:rPr>
          <w:b/>
          <w:bCs/>
        </w:rPr>
        <w:t>Any other issues or views?</w:t>
      </w:r>
    </w:p>
    <w:p w14:paraId="6CB71260" w14:textId="77777777" w:rsidR="00980E89" w:rsidRDefault="00980E89" w:rsidP="007026F2">
      <w:pPr>
        <w:jc w:val="both"/>
      </w:pPr>
    </w:p>
    <w:p w14:paraId="17CD1E49" w14:textId="3C88F1F5" w:rsidR="005B1647" w:rsidRPr="005B1647" w:rsidRDefault="005B1647" w:rsidP="00B73B8C">
      <w:pPr>
        <w:jc w:val="both"/>
      </w:pPr>
      <w:r w:rsidRPr="005B1647">
        <w:t xml:space="preserve">The Bill does not include reforms to the Tenancy of Shops (Scotland) Act 1949. The Scottish Law Commission’s draft Bill also did not include reforms to the Tenancy of Shops (Scotland) Act 1949 </w:t>
      </w:r>
      <w:r w:rsidRPr="005B1647">
        <w:lastRenderedPageBreak/>
        <w:t xml:space="preserve">on the basis that further consultation was needed in this area. </w:t>
      </w:r>
      <w:hyperlink r:id="rId8" w:tgtFrame="_blank" w:history="1">
        <w:r w:rsidRPr="005B1647">
          <w:rPr>
            <w:rStyle w:val="Hyperlink"/>
          </w:rPr>
          <w:t>The Scottish Law Commission has, however, now consulted on this topic and aims to publish its report in the first quarter of 2025</w:t>
        </w:r>
      </w:hyperlink>
      <w:r w:rsidRPr="005B1647">
        <w:t>.</w:t>
      </w:r>
    </w:p>
    <w:p w14:paraId="63CFFEC8" w14:textId="77777777" w:rsidR="005B1647" w:rsidRDefault="005B1647" w:rsidP="005B1647">
      <w:pPr>
        <w:rPr>
          <w:b/>
          <w:bCs/>
        </w:rPr>
      </w:pPr>
      <w:r w:rsidRPr="00F87791">
        <w:rPr>
          <w:b/>
          <w:bCs/>
        </w:rPr>
        <w:t xml:space="preserve">10. Is there anything else you think should or should not have been included in the Bill? If so, please provide details. </w:t>
      </w:r>
    </w:p>
    <w:p w14:paraId="726E61C6" w14:textId="66DE3758" w:rsidR="00F87791" w:rsidRPr="00F87791" w:rsidRDefault="007D534B" w:rsidP="005B1647">
      <w:r>
        <w:t>We have no further comments at this stage.</w:t>
      </w:r>
    </w:p>
    <w:p w14:paraId="02002A85" w14:textId="77777777" w:rsidR="00F87791" w:rsidRPr="00F87791" w:rsidRDefault="00F87791" w:rsidP="005B1647">
      <w:pPr>
        <w:rPr>
          <w:b/>
          <w:bCs/>
        </w:rPr>
      </w:pPr>
    </w:p>
    <w:p w14:paraId="4629D53A" w14:textId="77777777" w:rsidR="005B1647" w:rsidRPr="00F87791" w:rsidRDefault="005B1647" w:rsidP="005B1647">
      <w:pPr>
        <w:rPr>
          <w:b/>
          <w:bCs/>
        </w:rPr>
      </w:pPr>
      <w:r w:rsidRPr="00F87791">
        <w:rPr>
          <w:b/>
          <w:bCs/>
        </w:rPr>
        <w:t xml:space="preserve">11. Do you have any other comments on the Bill, or the approach taken by the Bill to reforming the law in this area? </w:t>
      </w:r>
    </w:p>
    <w:p w14:paraId="20AE7531" w14:textId="5D2453FB" w:rsidR="005B1647" w:rsidRPr="005B1647" w:rsidRDefault="00F87791" w:rsidP="005B1647">
      <w:pPr>
        <w:rPr>
          <w:vanish/>
        </w:rPr>
      </w:pPr>
      <w:r>
        <w:rPr>
          <w:vanish/>
        </w:rPr>
        <w:t xml:space="preserve">The address of the knowledge gap in this area of law is to be commended. </w:t>
      </w:r>
      <w:r w:rsidR="007D534B">
        <w:rPr>
          <w:vanish/>
        </w:rPr>
        <w:t xml:space="preserve">It has perhaps taken longer than it should, but the existence of progress is promising. </w:t>
      </w:r>
    </w:p>
    <w:p w14:paraId="7A0DDB6D" w14:textId="77777777" w:rsidR="005B1647" w:rsidRPr="005B1647" w:rsidRDefault="005B1647" w:rsidP="005B1647"/>
    <w:sectPr w:rsidR="005B1647" w:rsidRPr="005B164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C4DC" w14:textId="77777777" w:rsidR="007857E6" w:rsidRDefault="007857E6" w:rsidP="00980E89">
      <w:pPr>
        <w:spacing w:after="0" w:line="240" w:lineRule="auto"/>
      </w:pPr>
      <w:r>
        <w:separator/>
      </w:r>
    </w:p>
  </w:endnote>
  <w:endnote w:type="continuationSeparator" w:id="0">
    <w:p w14:paraId="39990E52" w14:textId="77777777" w:rsidR="007857E6" w:rsidRDefault="007857E6" w:rsidP="0098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015646"/>
      <w:docPartObj>
        <w:docPartGallery w:val="Page Numbers (Bottom of Page)"/>
        <w:docPartUnique/>
      </w:docPartObj>
    </w:sdtPr>
    <w:sdtEndPr>
      <w:rPr>
        <w:noProof/>
      </w:rPr>
    </w:sdtEndPr>
    <w:sdtContent>
      <w:p w14:paraId="193BF0F0" w14:textId="43548000" w:rsidR="00980E89" w:rsidRDefault="00980E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6BBA3" w14:textId="77777777" w:rsidR="00980E89" w:rsidRDefault="0098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D7EF" w14:textId="77777777" w:rsidR="007857E6" w:rsidRDefault="007857E6" w:rsidP="00980E89">
      <w:pPr>
        <w:spacing w:after="0" w:line="240" w:lineRule="auto"/>
      </w:pPr>
      <w:r>
        <w:separator/>
      </w:r>
    </w:p>
  </w:footnote>
  <w:footnote w:type="continuationSeparator" w:id="0">
    <w:p w14:paraId="258CC9CF" w14:textId="77777777" w:rsidR="007857E6" w:rsidRDefault="007857E6" w:rsidP="00980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F25"/>
    <w:multiLevelType w:val="multilevel"/>
    <w:tmpl w:val="C238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10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65"/>
    <w:rsid w:val="00031860"/>
    <w:rsid w:val="00031909"/>
    <w:rsid w:val="0003653C"/>
    <w:rsid w:val="000945C0"/>
    <w:rsid w:val="0041201A"/>
    <w:rsid w:val="005135AD"/>
    <w:rsid w:val="00523325"/>
    <w:rsid w:val="005414BB"/>
    <w:rsid w:val="005A1C74"/>
    <w:rsid w:val="005B1647"/>
    <w:rsid w:val="00687BAD"/>
    <w:rsid w:val="006A3D32"/>
    <w:rsid w:val="006C104B"/>
    <w:rsid w:val="006C7AF9"/>
    <w:rsid w:val="006E4E19"/>
    <w:rsid w:val="007026F2"/>
    <w:rsid w:val="007857E6"/>
    <w:rsid w:val="0078658E"/>
    <w:rsid w:val="007D534B"/>
    <w:rsid w:val="008F33CB"/>
    <w:rsid w:val="00980E89"/>
    <w:rsid w:val="00996D65"/>
    <w:rsid w:val="009E6E6D"/>
    <w:rsid w:val="00AC7985"/>
    <w:rsid w:val="00B73B8C"/>
    <w:rsid w:val="00B86B40"/>
    <w:rsid w:val="00C03218"/>
    <w:rsid w:val="00CF0AAF"/>
    <w:rsid w:val="00F258FD"/>
    <w:rsid w:val="00F87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437E"/>
  <w15:chartTrackingRefBased/>
  <w15:docId w15:val="{1A6EAA8C-AAC5-45FE-A171-7C95496C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D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D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D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D65"/>
    <w:rPr>
      <w:rFonts w:eastAsiaTheme="majorEastAsia" w:cstheme="majorBidi"/>
      <w:color w:val="272727" w:themeColor="text1" w:themeTint="D8"/>
    </w:rPr>
  </w:style>
  <w:style w:type="paragraph" w:styleId="Title">
    <w:name w:val="Title"/>
    <w:basedOn w:val="Normal"/>
    <w:next w:val="Normal"/>
    <w:link w:val="TitleChar"/>
    <w:uiPriority w:val="10"/>
    <w:qFormat/>
    <w:rsid w:val="00996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D65"/>
    <w:pPr>
      <w:spacing w:before="160"/>
      <w:jc w:val="center"/>
    </w:pPr>
    <w:rPr>
      <w:i/>
      <w:iCs/>
      <w:color w:val="404040" w:themeColor="text1" w:themeTint="BF"/>
    </w:rPr>
  </w:style>
  <w:style w:type="character" w:customStyle="1" w:styleId="QuoteChar">
    <w:name w:val="Quote Char"/>
    <w:basedOn w:val="DefaultParagraphFont"/>
    <w:link w:val="Quote"/>
    <w:uiPriority w:val="29"/>
    <w:rsid w:val="00996D65"/>
    <w:rPr>
      <w:i/>
      <w:iCs/>
      <w:color w:val="404040" w:themeColor="text1" w:themeTint="BF"/>
    </w:rPr>
  </w:style>
  <w:style w:type="paragraph" w:styleId="ListParagraph">
    <w:name w:val="List Paragraph"/>
    <w:basedOn w:val="Normal"/>
    <w:uiPriority w:val="34"/>
    <w:qFormat/>
    <w:rsid w:val="00996D65"/>
    <w:pPr>
      <w:ind w:left="720"/>
      <w:contextualSpacing/>
    </w:pPr>
  </w:style>
  <w:style w:type="character" w:styleId="IntenseEmphasis">
    <w:name w:val="Intense Emphasis"/>
    <w:basedOn w:val="DefaultParagraphFont"/>
    <w:uiPriority w:val="21"/>
    <w:qFormat/>
    <w:rsid w:val="00996D65"/>
    <w:rPr>
      <w:i/>
      <w:iCs/>
      <w:color w:val="0F4761" w:themeColor="accent1" w:themeShade="BF"/>
    </w:rPr>
  </w:style>
  <w:style w:type="paragraph" w:styleId="IntenseQuote">
    <w:name w:val="Intense Quote"/>
    <w:basedOn w:val="Normal"/>
    <w:next w:val="Normal"/>
    <w:link w:val="IntenseQuoteChar"/>
    <w:uiPriority w:val="30"/>
    <w:qFormat/>
    <w:rsid w:val="00996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D65"/>
    <w:rPr>
      <w:i/>
      <w:iCs/>
      <w:color w:val="0F4761" w:themeColor="accent1" w:themeShade="BF"/>
    </w:rPr>
  </w:style>
  <w:style w:type="character" w:styleId="IntenseReference">
    <w:name w:val="Intense Reference"/>
    <w:basedOn w:val="DefaultParagraphFont"/>
    <w:uiPriority w:val="32"/>
    <w:qFormat/>
    <w:rsid w:val="00996D65"/>
    <w:rPr>
      <w:b/>
      <w:bCs/>
      <w:smallCaps/>
      <w:color w:val="0F4761" w:themeColor="accent1" w:themeShade="BF"/>
      <w:spacing w:val="5"/>
    </w:rPr>
  </w:style>
  <w:style w:type="character" w:styleId="Hyperlink">
    <w:name w:val="Hyperlink"/>
    <w:basedOn w:val="DefaultParagraphFont"/>
    <w:uiPriority w:val="99"/>
    <w:unhideWhenUsed/>
    <w:rsid w:val="005B1647"/>
    <w:rPr>
      <w:color w:val="467886" w:themeColor="hyperlink"/>
      <w:u w:val="single"/>
    </w:rPr>
  </w:style>
  <w:style w:type="character" w:styleId="UnresolvedMention">
    <w:name w:val="Unresolved Mention"/>
    <w:basedOn w:val="DefaultParagraphFont"/>
    <w:uiPriority w:val="99"/>
    <w:semiHidden/>
    <w:unhideWhenUsed/>
    <w:rsid w:val="005B1647"/>
    <w:rPr>
      <w:color w:val="605E5C"/>
      <w:shd w:val="clear" w:color="auto" w:fill="E1DFDD"/>
    </w:rPr>
  </w:style>
  <w:style w:type="character" w:styleId="FollowedHyperlink">
    <w:name w:val="FollowedHyperlink"/>
    <w:basedOn w:val="DefaultParagraphFont"/>
    <w:uiPriority w:val="99"/>
    <w:semiHidden/>
    <w:unhideWhenUsed/>
    <w:rsid w:val="008F33CB"/>
    <w:rPr>
      <w:color w:val="96607D" w:themeColor="followedHyperlink"/>
      <w:u w:val="single"/>
    </w:rPr>
  </w:style>
  <w:style w:type="paragraph" w:styleId="Revision">
    <w:name w:val="Revision"/>
    <w:hidden/>
    <w:uiPriority w:val="99"/>
    <w:semiHidden/>
    <w:rsid w:val="009E6E6D"/>
    <w:pPr>
      <w:spacing w:after="0" w:line="240" w:lineRule="auto"/>
    </w:pPr>
  </w:style>
  <w:style w:type="paragraph" w:styleId="Header">
    <w:name w:val="header"/>
    <w:basedOn w:val="Normal"/>
    <w:link w:val="HeaderChar"/>
    <w:uiPriority w:val="99"/>
    <w:unhideWhenUsed/>
    <w:rsid w:val="00980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E89"/>
  </w:style>
  <w:style w:type="paragraph" w:styleId="Footer">
    <w:name w:val="footer"/>
    <w:basedOn w:val="Normal"/>
    <w:link w:val="FooterChar"/>
    <w:uiPriority w:val="99"/>
    <w:unhideWhenUsed/>
    <w:rsid w:val="00980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6118">
      <w:bodyDiv w:val="1"/>
      <w:marLeft w:val="0"/>
      <w:marRight w:val="0"/>
      <w:marTop w:val="0"/>
      <w:marBottom w:val="0"/>
      <w:divBdr>
        <w:top w:val="none" w:sz="0" w:space="0" w:color="auto"/>
        <w:left w:val="none" w:sz="0" w:space="0" w:color="auto"/>
        <w:bottom w:val="none" w:sz="0" w:space="0" w:color="auto"/>
        <w:right w:val="none" w:sz="0" w:space="0" w:color="auto"/>
      </w:divBdr>
      <w:divsChild>
        <w:div w:id="718672437">
          <w:marLeft w:val="0"/>
          <w:marRight w:val="0"/>
          <w:marTop w:val="0"/>
          <w:marBottom w:val="0"/>
          <w:divBdr>
            <w:top w:val="none" w:sz="0" w:space="0" w:color="auto"/>
            <w:left w:val="none" w:sz="0" w:space="0" w:color="auto"/>
            <w:bottom w:val="none" w:sz="0" w:space="0" w:color="auto"/>
            <w:right w:val="none" w:sz="0" w:space="0" w:color="auto"/>
          </w:divBdr>
        </w:div>
      </w:divsChild>
    </w:div>
    <w:div w:id="236866458">
      <w:bodyDiv w:val="1"/>
      <w:marLeft w:val="0"/>
      <w:marRight w:val="0"/>
      <w:marTop w:val="0"/>
      <w:marBottom w:val="0"/>
      <w:divBdr>
        <w:top w:val="none" w:sz="0" w:space="0" w:color="auto"/>
        <w:left w:val="none" w:sz="0" w:space="0" w:color="auto"/>
        <w:bottom w:val="none" w:sz="0" w:space="0" w:color="auto"/>
        <w:right w:val="none" w:sz="0" w:space="0" w:color="auto"/>
      </w:divBdr>
      <w:divsChild>
        <w:div w:id="785737068">
          <w:marLeft w:val="0"/>
          <w:marRight w:val="0"/>
          <w:marTop w:val="0"/>
          <w:marBottom w:val="0"/>
          <w:divBdr>
            <w:top w:val="none" w:sz="0" w:space="0" w:color="auto"/>
            <w:left w:val="none" w:sz="0" w:space="0" w:color="auto"/>
            <w:bottom w:val="none" w:sz="0" w:space="0" w:color="auto"/>
            <w:right w:val="none" w:sz="0" w:space="0" w:color="auto"/>
          </w:divBdr>
        </w:div>
        <w:div w:id="1503202745">
          <w:marLeft w:val="0"/>
          <w:marRight w:val="0"/>
          <w:marTop w:val="0"/>
          <w:marBottom w:val="0"/>
          <w:divBdr>
            <w:top w:val="none" w:sz="0" w:space="0" w:color="auto"/>
            <w:left w:val="none" w:sz="0" w:space="0" w:color="auto"/>
            <w:bottom w:val="none" w:sz="0" w:space="0" w:color="auto"/>
            <w:right w:val="none" w:sz="0" w:space="0" w:color="auto"/>
          </w:divBdr>
          <w:divsChild>
            <w:div w:id="892807877">
              <w:marLeft w:val="0"/>
              <w:marRight w:val="0"/>
              <w:marTop w:val="0"/>
              <w:marBottom w:val="0"/>
              <w:divBdr>
                <w:top w:val="none" w:sz="0" w:space="0" w:color="auto"/>
                <w:left w:val="none" w:sz="0" w:space="0" w:color="auto"/>
                <w:bottom w:val="none" w:sz="0" w:space="0" w:color="auto"/>
                <w:right w:val="none" w:sz="0" w:space="0" w:color="auto"/>
              </w:divBdr>
              <w:divsChild>
                <w:div w:id="20757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4359">
      <w:bodyDiv w:val="1"/>
      <w:marLeft w:val="0"/>
      <w:marRight w:val="0"/>
      <w:marTop w:val="0"/>
      <w:marBottom w:val="0"/>
      <w:divBdr>
        <w:top w:val="none" w:sz="0" w:space="0" w:color="auto"/>
        <w:left w:val="none" w:sz="0" w:space="0" w:color="auto"/>
        <w:bottom w:val="none" w:sz="0" w:space="0" w:color="auto"/>
        <w:right w:val="none" w:sz="0" w:space="0" w:color="auto"/>
      </w:divBdr>
      <w:divsChild>
        <w:div w:id="591426725">
          <w:marLeft w:val="0"/>
          <w:marRight w:val="0"/>
          <w:marTop w:val="0"/>
          <w:marBottom w:val="0"/>
          <w:divBdr>
            <w:top w:val="none" w:sz="0" w:space="0" w:color="auto"/>
            <w:left w:val="none" w:sz="0" w:space="0" w:color="auto"/>
            <w:bottom w:val="none" w:sz="0" w:space="0" w:color="auto"/>
            <w:right w:val="none" w:sz="0" w:space="0" w:color="auto"/>
          </w:divBdr>
        </w:div>
      </w:divsChild>
    </w:div>
    <w:div w:id="292177782">
      <w:bodyDiv w:val="1"/>
      <w:marLeft w:val="0"/>
      <w:marRight w:val="0"/>
      <w:marTop w:val="0"/>
      <w:marBottom w:val="0"/>
      <w:divBdr>
        <w:top w:val="none" w:sz="0" w:space="0" w:color="auto"/>
        <w:left w:val="none" w:sz="0" w:space="0" w:color="auto"/>
        <w:bottom w:val="none" w:sz="0" w:space="0" w:color="auto"/>
        <w:right w:val="none" w:sz="0" w:space="0" w:color="auto"/>
      </w:divBdr>
      <w:divsChild>
        <w:div w:id="20521777">
          <w:marLeft w:val="0"/>
          <w:marRight w:val="0"/>
          <w:marTop w:val="0"/>
          <w:marBottom w:val="0"/>
          <w:divBdr>
            <w:top w:val="none" w:sz="0" w:space="0" w:color="auto"/>
            <w:left w:val="none" w:sz="0" w:space="0" w:color="auto"/>
            <w:bottom w:val="none" w:sz="0" w:space="0" w:color="auto"/>
            <w:right w:val="none" w:sz="0" w:space="0" w:color="auto"/>
          </w:divBdr>
        </w:div>
        <w:div w:id="527988087">
          <w:marLeft w:val="0"/>
          <w:marRight w:val="0"/>
          <w:marTop w:val="0"/>
          <w:marBottom w:val="0"/>
          <w:divBdr>
            <w:top w:val="none" w:sz="0" w:space="0" w:color="auto"/>
            <w:left w:val="none" w:sz="0" w:space="0" w:color="auto"/>
            <w:bottom w:val="none" w:sz="0" w:space="0" w:color="auto"/>
            <w:right w:val="none" w:sz="0" w:space="0" w:color="auto"/>
          </w:divBdr>
          <w:divsChild>
            <w:div w:id="2058890494">
              <w:marLeft w:val="0"/>
              <w:marRight w:val="0"/>
              <w:marTop w:val="0"/>
              <w:marBottom w:val="0"/>
              <w:divBdr>
                <w:top w:val="none" w:sz="0" w:space="0" w:color="auto"/>
                <w:left w:val="none" w:sz="0" w:space="0" w:color="auto"/>
                <w:bottom w:val="none" w:sz="0" w:space="0" w:color="auto"/>
                <w:right w:val="none" w:sz="0" w:space="0" w:color="auto"/>
              </w:divBdr>
              <w:divsChild>
                <w:div w:id="6429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428">
      <w:bodyDiv w:val="1"/>
      <w:marLeft w:val="0"/>
      <w:marRight w:val="0"/>
      <w:marTop w:val="0"/>
      <w:marBottom w:val="0"/>
      <w:divBdr>
        <w:top w:val="none" w:sz="0" w:space="0" w:color="auto"/>
        <w:left w:val="none" w:sz="0" w:space="0" w:color="auto"/>
        <w:bottom w:val="none" w:sz="0" w:space="0" w:color="auto"/>
        <w:right w:val="none" w:sz="0" w:space="0" w:color="auto"/>
      </w:divBdr>
      <w:divsChild>
        <w:div w:id="1547987078">
          <w:marLeft w:val="0"/>
          <w:marRight w:val="0"/>
          <w:marTop w:val="0"/>
          <w:marBottom w:val="0"/>
          <w:divBdr>
            <w:top w:val="none" w:sz="0" w:space="0" w:color="auto"/>
            <w:left w:val="none" w:sz="0" w:space="0" w:color="auto"/>
            <w:bottom w:val="none" w:sz="0" w:space="0" w:color="auto"/>
            <w:right w:val="none" w:sz="0" w:space="0" w:color="auto"/>
          </w:divBdr>
        </w:div>
      </w:divsChild>
    </w:div>
    <w:div w:id="724261465">
      <w:bodyDiv w:val="1"/>
      <w:marLeft w:val="0"/>
      <w:marRight w:val="0"/>
      <w:marTop w:val="0"/>
      <w:marBottom w:val="0"/>
      <w:divBdr>
        <w:top w:val="none" w:sz="0" w:space="0" w:color="auto"/>
        <w:left w:val="none" w:sz="0" w:space="0" w:color="auto"/>
        <w:bottom w:val="none" w:sz="0" w:space="0" w:color="auto"/>
        <w:right w:val="none" w:sz="0" w:space="0" w:color="auto"/>
      </w:divBdr>
      <w:divsChild>
        <w:div w:id="1228951074">
          <w:marLeft w:val="0"/>
          <w:marRight w:val="0"/>
          <w:marTop w:val="0"/>
          <w:marBottom w:val="0"/>
          <w:divBdr>
            <w:top w:val="none" w:sz="0" w:space="0" w:color="auto"/>
            <w:left w:val="none" w:sz="0" w:space="0" w:color="auto"/>
            <w:bottom w:val="none" w:sz="0" w:space="0" w:color="auto"/>
            <w:right w:val="none" w:sz="0" w:space="0" w:color="auto"/>
          </w:divBdr>
        </w:div>
        <w:div w:id="1761826890">
          <w:marLeft w:val="0"/>
          <w:marRight w:val="0"/>
          <w:marTop w:val="0"/>
          <w:marBottom w:val="0"/>
          <w:divBdr>
            <w:top w:val="none" w:sz="0" w:space="0" w:color="auto"/>
            <w:left w:val="none" w:sz="0" w:space="0" w:color="auto"/>
            <w:bottom w:val="none" w:sz="0" w:space="0" w:color="auto"/>
            <w:right w:val="none" w:sz="0" w:space="0" w:color="auto"/>
          </w:divBdr>
          <w:divsChild>
            <w:div w:id="1469130107">
              <w:marLeft w:val="0"/>
              <w:marRight w:val="0"/>
              <w:marTop w:val="0"/>
              <w:marBottom w:val="0"/>
              <w:divBdr>
                <w:top w:val="none" w:sz="0" w:space="0" w:color="auto"/>
                <w:left w:val="none" w:sz="0" w:space="0" w:color="auto"/>
                <w:bottom w:val="none" w:sz="0" w:space="0" w:color="auto"/>
                <w:right w:val="none" w:sz="0" w:space="0" w:color="auto"/>
              </w:divBdr>
              <w:divsChild>
                <w:div w:id="21421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6135">
      <w:bodyDiv w:val="1"/>
      <w:marLeft w:val="0"/>
      <w:marRight w:val="0"/>
      <w:marTop w:val="0"/>
      <w:marBottom w:val="0"/>
      <w:divBdr>
        <w:top w:val="none" w:sz="0" w:space="0" w:color="auto"/>
        <w:left w:val="none" w:sz="0" w:space="0" w:color="auto"/>
        <w:bottom w:val="none" w:sz="0" w:space="0" w:color="auto"/>
        <w:right w:val="none" w:sz="0" w:space="0" w:color="auto"/>
      </w:divBdr>
      <w:divsChild>
        <w:div w:id="439689038">
          <w:marLeft w:val="0"/>
          <w:marRight w:val="0"/>
          <w:marTop w:val="0"/>
          <w:marBottom w:val="0"/>
          <w:divBdr>
            <w:top w:val="none" w:sz="0" w:space="0" w:color="auto"/>
            <w:left w:val="none" w:sz="0" w:space="0" w:color="auto"/>
            <w:bottom w:val="none" w:sz="0" w:space="0" w:color="auto"/>
            <w:right w:val="none" w:sz="0" w:space="0" w:color="auto"/>
          </w:divBdr>
        </w:div>
        <w:div w:id="208345078">
          <w:marLeft w:val="0"/>
          <w:marRight w:val="0"/>
          <w:marTop w:val="0"/>
          <w:marBottom w:val="0"/>
          <w:divBdr>
            <w:top w:val="none" w:sz="0" w:space="0" w:color="auto"/>
            <w:left w:val="none" w:sz="0" w:space="0" w:color="auto"/>
            <w:bottom w:val="none" w:sz="0" w:space="0" w:color="auto"/>
            <w:right w:val="none" w:sz="0" w:space="0" w:color="auto"/>
          </w:divBdr>
          <w:divsChild>
            <w:div w:id="963776323">
              <w:marLeft w:val="0"/>
              <w:marRight w:val="0"/>
              <w:marTop w:val="0"/>
              <w:marBottom w:val="0"/>
              <w:divBdr>
                <w:top w:val="none" w:sz="0" w:space="0" w:color="auto"/>
                <w:left w:val="none" w:sz="0" w:space="0" w:color="auto"/>
                <w:bottom w:val="none" w:sz="0" w:space="0" w:color="auto"/>
                <w:right w:val="none" w:sz="0" w:space="0" w:color="auto"/>
              </w:divBdr>
              <w:divsChild>
                <w:div w:id="20358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1185">
      <w:bodyDiv w:val="1"/>
      <w:marLeft w:val="0"/>
      <w:marRight w:val="0"/>
      <w:marTop w:val="0"/>
      <w:marBottom w:val="0"/>
      <w:divBdr>
        <w:top w:val="none" w:sz="0" w:space="0" w:color="auto"/>
        <w:left w:val="none" w:sz="0" w:space="0" w:color="auto"/>
        <w:bottom w:val="none" w:sz="0" w:space="0" w:color="auto"/>
        <w:right w:val="none" w:sz="0" w:space="0" w:color="auto"/>
      </w:divBdr>
      <w:divsChild>
        <w:div w:id="1236470203">
          <w:marLeft w:val="0"/>
          <w:marRight w:val="0"/>
          <w:marTop w:val="0"/>
          <w:marBottom w:val="0"/>
          <w:divBdr>
            <w:top w:val="none" w:sz="0" w:space="0" w:color="auto"/>
            <w:left w:val="none" w:sz="0" w:space="0" w:color="auto"/>
            <w:bottom w:val="none" w:sz="0" w:space="0" w:color="auto"/>
            <w:right w:val="none" w:sz="0" w:space="0" w:color="auto"/>
          </w:divBdr>
        </w:div>
        <w:div w:id="366026112">
          <w:marLeft w:val="0"/>
          <w:marRight w:val="0"/>
          <w:marTop w:val="0"/>
          <w:marBottom w:val="0"/>
          <w:divBdr>
            <w:top w:val="none" w:sz="0" w:space="0" w:color="auto"/>
            <w:left w:val="none" w:sz="0" w:space="0" w:color="auto"/>
            <w:bottom w:val="none" w:sz="0" w:space="0" w:color="auto"/>
            <w:right w:val="none" w:sz="0" w:space="0" w:color="auto"/>
          </w:divBdr>
          <w:divsChild>
            <w:div w:id="1454204262">
              <w:marLeft w:val="0"/>
              <w:marRight w:val="0"/>
              <w:marTop w:val="0"/>
              <w:marBottom w:val="0"/>
              <w:divBdr>
                <w:top w:val="none" w:sz="0" w:space="0" w:color="auto"/>
                <w:left w:val="none" w:sz="0" w:space="0" w:color="auto"/>
                <w:bottom w:val="none" w:sz="0" w:space="0" w:color="auto"/>
                <w:right w:val="none" w:sz="0" w:space="0" w:color="auto"/>
              </w:divBdr>
              <w:divsChild>
                <w:div w:id="13378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77833">
      <w:bodyDiv w:val="1"/>
      <w:marLeft w:val="0"/>
      <w:marRight w:val="0"/>
      <w:marTop w:val="0"/>
      <w:marBottom w:val="0"/>
      <w:divBdr>
        <w:top w:val="none" w:sz="0" w:space="0" w:color="auto"/>
        <w:left w:val="none" w:sz="0" w:space="0" w:color="auto"/>
        <w:bottom w:val="none" w:sz="0" w:space="0" w:color="auto"/>
        <w:right w:val="none" w:sz="0" w:space="0" w:color="auto"/>
      </w:divBdr>
      <w:divsChild>
        <w:div w:id="1042943491">
          <w:marLeft w:val="0"/>
          <w:marRight w:val="0"/>
          <w:marTop w:val="0"/>
          <w:marBottom w:val="0"/>
          <w:divBdr>
            <w:top w:val="none" w:sz="0" w:space="0" w:color="auto"/>
            <w:left w:val="none" w:sz="0" w:space="0" w:color="auto"/>
            <w:bottom w:val="none" w:sz="0" w:space="0" w:color="auto"/>
            <w:right w:val="none" w:sz="0" w:space="0" w:color="auto"/>
          </w:divBdr>
        </w:div>
        <w:div w:id="1101293437">
          <w:marLeft w:val="0"/>
          <w:marRight w:val="0"/>
          <w:marTop w:val="0"/>
          <w:marBottom w:val="0"/>
          <w:divBdr>
            <w:top w:val="none" w:sz="0" w:space="0" w:color="auto"/>
            <w:left w:val="none" w:sz="0" w:space="0" w:color="auto"/>
            <w:bottom w:val="none" w:sz="0" w:space="0" w:color="auto"/>
            <w:right w:val="none" w:sz="0" w:space="0" w:color="auto"/>
          </w:divBdr>
          <w:divsChild>
            <w:div w:id="1161045350">
              <w:marLeft w:val="0"/>
              <w:marRight w:val="0"/>
              <w:marTop w:val="0"/>
              <w:marBottom w:val="0"/>
              <w:divBdr>
                <w:top w:val="none" w:sz="0" w:space="0" w:color="auto"/>
                <w:left w:val="none" w:sz="0" w:space="0" w:color="auto"/>
                <w:bottom w:val="none" w:sz="0" w:space="0" w:color="auto"/>
                <w:right w:val="none" w:sz="0" w:space="0" w:color="auto"/>
              </w:divBdr>
              <w:divsChild>
                <w:div w:id="3152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4972">
      <w:bodyDiv w:val="1"/>
      <w:marLeft w:val="0"/>
      <w:marRight w:val="0"/>
      <w:marTop w:val="0"/>
      <w:marBottom w:val="0"/>
      <w:divBdr>
        <w:top w:val="none" w:sz="0" w:space="0" w:color="auto"/>
        <w:left w:val="none" w:sz="0" w:space="0" w:color="auto"/>
        <w:bottom w:val="none" w:sz="0" w:space="0" w:color="auto"/>
        <w:right w:val="none" w:sz="0" w:space="0" w:color="auto"/>
      </w:divBdr>
      <w:divsChild>
        <w:div w:id="1567380901">
          <w:marLeft w:val="0"/>
          <w:marRight w:val="0"/>
          <w:marTop w:val="0"/>
          <w:marBottom w:val="0"/>
          <w:divBdr>
            <w:top w:val="none" w:sz="0" w:space="0" w:color="auto"/>
            <w:left w:val="none" w:sz="0" w:space="0" w:color="auto"/>
            <w:bottom w:val="none" w:sz="0" w:space="0" w:color="auto"/>
            <w:right w:val="none" w:sz="0" w:space="0" w:color="auto"/>
          </w:divBdr>
        </w:div>
      </w:divsChild>
    </w:div>
    <w:div w:id="1220508459">
      <w:bodyDiv w:val="1"/>
      <w:marLeft w:val="0"/>
      <w:marRight w:val="0"/>
      <w:marTop w:val="0"/>
      <w:marBottom w:val="0"/>
      <w:divBdr>
        <w:top w:val="none" w:sz="0" w:space="0" w:color="auto"/>
        <w:left w:val="none" w:sz="0" w:space="0" w:color="auto"/>
        <w:bottom w:val="none" w:sz="0" w:space="0" w:color="auto"/>
        <w:right w:val="none" w:sz="0" w:space="0" w:color="auto"/>
      </w:divBdr>
      <w:divsChild>
        <w:div w:id="1555581401">
          <w:marLeft w:val="0"/>
          <w:marRight w:val="0"/>
          <w:marTop w:val="0"/>
          <w:marBottom w:val="0"/>
          <w:divBdr>
            <w:top w:val="none" w:sz="0" w:space="0" w:color="auto"/>
            <w:left w:val="none" w:sz="0" w:space="0" w:color="auto"/>
            <w:bottom w:val="none" w:sz="0" w:space="0" w:color="auto"/>
            <w:right w:val="none" w:sz="0" w:space="0" w:color="auto"/>
          </w:divBdr>
        </w:div>
        <w:div w:id="726074880">
          <w:marLeft w:val="0"/>
          <w:marRight w:val="0"/>
          <w:marTop w:val="0"/>
          <w:marBottom w:val="0"/>
          <w:divBdr>
            <w:top w:val="none" w:sz="0" w:space="0" w:color="auto"/>
            <w:left w:val="none" w:sz="0" w:space="0" w:color="auto"/>
            <w:bottom w:val="none" w:sz="0" w:space="0" w:color="auto"/>
            <w:right w:val="none" w:sz="0" w:space="0" w:color="auto"/>
          </w:divBdr>
          <w:divsChild>
            <w:div w:id="1741442298">
              <w:marLeft w:val="0"/>
              <w:marRight w:val="0"/>
              <w:marTop w:val="0"/>
              <w:marBottom w:val="0"/>
              <w:divBdr>
                <w:top w:val="none" w:sz="0" w:space="0" w:color="auto"/>
                <w:left w:val="none" w:sz="0" w:space="0" w:color="auto"/>
                <w:bottom w:val="none" w:sz="0" w:space="0" w:color="auto"/>
                <w:right w:val="none" w:sz="0" w:space="0" w:color="auto"/>
              </w:divBdr>
              <w:divsChild>
                <w:div w:id="6053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3815">
      <w:bodyDiv w:val="1"/>
      <w:marLeft w:val="0"/>
      <w:marRight w:val="0"/>
      <w:marTop w:val="0"/>
      <w:marBottom w:val="0"/>
      <w:divBdr>
        <w:top w:val="none" w:sz="0" w:space="0" w:color="auto"/>
        <w:left w:val="none" w:sz="0" w:space="0" w:color="auto"/>
        <w:bottom w:val="none" w:sz="0" w:space="0" w:color="auto"/>
        <w:right w:val="none" w:sz="0" w:space="0" w:color="auto"/>
      </w:divBdr>
      <w:divsChild>
        <w:div w:id="341054208">
          <w:marLeft w:val="0"/>
          <w:marRight w:val="0"/>
          <w:marTop w:val="0"/>
          <w:marBottom w:val="0"/>
          <w:divBdr>
            <w:top w:val="none" w:sz="0" w:space="0" w:color="auto"/>
            <w:left w:val="none" w:sz="0" w:space="0" w:color="auto"/>
            <w:bottom w:val="none" w:sz="0" w:space="0" w:color="auto"/>
            <w:right w:val="none" w:sz="0" w:space="0" w:color="auto"/>
          </w:divBdr>
          <w:divsChild>
            <w:div w:id="1930045720">
              <w:marLeft w:val="0"/>
              <w:marRight w:val="0"/>
              <w:marTop w:val="0"/>
              <w:marBottom w:val="0"/>
              <w:divBdr>
                <w:top w:val="none" w:sz="0" w:space="0" w:color="auto"/>
                <w:left w:val="none" w:sz="0" w:space="0" w:color="auto"/>
                <w:bottom w:val="none" w:sz="0" w:space="0" w:color="auto"/>
                <w:right w:val="none" w:sz="0" w:space="0" w:color="auto"/>
              </w:divBdr>
              <w:divsChild>
                <w:div w:id="847796797">
                  <w:marLeft w:val="0"/>
                  <w:marRight w:val="0"/>
                  <w:marTop w:val="0"/>
                  <w:marBottom w:val="0"/>
                  <w:divBdr>
                    <w:top w:val="none" w:sz="0" w:space="0" w:color="auto"/>
                    <w:left w:val="none" w:sz="0" w:space="0" w:color="auto"/>
                    <w:bottom w:val="none" w:sz="0" w:space="0" w:color="auto"/>
                    <w:right w:val="none" w:sz="0" w:space="0" w:color="auto"/>
                  </w:divBdr>
                  <w:divsChild>
                    <w:div w:id="1326276339">
                      <w:marLeft w:val="0"/>
                      <w:marRight w:val="0"/>
                      <w:marTop w:val="0"/>
                      <w:marBottom w:val="0"/>
                      <w:divBdr>
                        <w:top w:val="none" w:sz="0" w:space="0" w:color="auto"/>
                        <w:left w:val="none" w:sz="0" w:space="0" w:color="auto"/>
                        <w:bottom w:val="none" w:sz="0" w:space="0" w:color="auto"/>
                        <w:right w:val="none" w:sz="0" w:space="0" w:color="auto"/>
                      </w:divBdr>
                      <w:divsChild>
                        <w:div w:id="1921791859">
                          <w:marLeft w:val="0"/>
                          <w:marRight w:val="0"/>
                          <w:marTop w:val="0"/>
                          <w:marBottom w:val="0"/>
                          <w:divBdr>
                            <w:top w:val="none" w:sz="0" w:space="0" w:color="auto"/>
                            <w:left w:val="none" w:sz="0" w:space="0" w:color="auto"/>
                            <w:bottom w:val="none" w:sz="0" w:space="0" w:color="auto"/>
                            <w:right w:val="none" w:sz="0" w:space="0" w:color="auto"/>
                          </w:divBdr>
                          <w:divsChild>
                            <w:div w:id="2569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225173">
          <w:marLeft w:val="0"/>
          <w:marRight w:val="0"/>
          <w:marTop w:val="0"/>
          <w:marBottom w:val="0"/>
          <w:divBdr>
            <w:top w:val="none" w:sz="0" w:space="0" w:color="auto"/>
            <w:left w:val="none" w:sz="0" w:space="0" w:color="auto"/>
            <w:bottom w:val="none" w:sz="0" w:space="0" w:color="auto"/>
            <w:right w:val="none" w:sz="0" w:space="0" w:color="auto"/>
          </w:divBdr>
          <w:divsChild>
            <w:div w:id="1020863307">
              <w:marLeft w:val="0"/>
              <w:marRight w:val="0"/>
              <w:marTop w:val="0"/>
              <w:marBottom w:val="0"/>
              <w:divBdr>
                <w:top w:val="none" w:sz="0" w:space="0" w:color="auto"/>
                <w:left w:val="none" w:sz="0" w:space="0" w:color="auto"/>
                <w:bottom w:val="none" w:sz="0" w:space="0" w:color="auto"/>
                <w:right w:val="none" w:sz="0" w:space="0" w:color="auto"/>
              </w:divBdr>
              <w:divsChild>
                <w:div w:id="35668448">
                  <w:marLeft w:val="0"/>
                  <w:marRight w:val="0"/>
                  <w:marTop w:val="0"/>
                  <w:marBottom w:val="0"/>
                  <w:divBdr>
                    <w:top w:val="none" w:sz="0" w:space="0" w:color="auto"/>
                    <w:left w:val="none" w:sz="0" w:space="0" w:color="auto"/>
                    <w:bottom w:val="none" w:sz="0" w:space="0" w:color="auto"/>
                    <w:right w:val="none" w:sz="0" w:space="0" w:color="auto"/>
                  </w:divBdr>
                  <w:divsChild>
                    <w:div w:id="1849784258">
                      <w:marLeft w:val="0"/>
                      <w:marRight w:val="0"/>
                      <w:marTop w:val="0"/>
                      <w:marBottom w:val="0"/>
                      <w:divBdr>
                        <w:top w:val="none" w:sz="0" w:space="0" w:color="auto"/>
                        <w:left w:val="none" w:sz="0" w:space="0" w:color="auto"/>
                        <w:bottom w:val="none" w:sz="0" w:space="0" w:color="auto"/>
                        <w:right w:val="none" w:sz="0" w:space="0" w:color="auto"/>
                      </w:divBdr>
                      <w:divsChild>
                        <w:div w:id="1782648656">
                          <w:marLeft w:val="0"/>
                          <w:marRight w:val="0"/>
                          <w:marTop w:val="0"/>
                          <w:marBottom w:val="0"/>
                          <w:divBdr>
                            <w:top w:val="none" w:sz="0" w:space="0" w:color="auto"/>
                            <w:left w:val="none" w:sz="0" w:space="0" w:color="auto"/>
                            <w:bottom w:val="none" w:sz="0" w:space="0" w:color="auto"/>
                            <w:right w:val="none" w:sz="0" w:space="0" w:color="auto"/>
                          </w:divBdr>
                          <w:divsChild>
                            <w:div w:id="20179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750510">
      <w:bodyDiv w:val="1"/>
      <w:marLeft w:val="0"/>
      <w:marRight w:val="0"/>
      <w:marTop w:val="0"/>
      <w:marBottom w:val="0"/>
      <w:divBdr>
        <w:top w:val="none" w:sz="0" w:space="0" w:color="auto"/>
        <w:left w:val="none" w:sz="0" w:space="0" w:color="auto"/>
        <w:bottom w:val="none" w:sz="0" w:space="0" w:color="auto"/>
        <w:right w:val="none" w:sz="0" w:space="0" w:color="auto"/>
      </w:divBdr>
      <w:divsChild>
        <w:div w:id="733966797">
          <w:marLeft w:val="0"/>
          <w:marRight w:val="0"/>
          <w:marTop w:val="0"/>
          <w:marBottom w:val="0"/>
          <w:divBdr>
            <w:top w:val="none" w:sz="0" w:space="0" w:color="auto"/>
            <w:left w:val="none" w:sz="0" w:space="0" w:color="auto"/>
            <w:bottom w:val="none" w:sz="0" w:space="0" w:color="auto"/>
            <w:right w:val="none" w:sz="0" w:space="0" w:color="auto"/>
          </w:divBdr>
        </w:div>
        <w:div w:id="695354455">
          <w:marLeft w:val="0"/>
          <w:marRight w:val="0"/>
          <w:marTop w:val="0"/>
          <w:marBottom w:val="0"/>
          <w:divBdr>
            <w:top w:val="none" w:sz="0" w:space="0" w:color="auto"/>
            <w:left w:val="none" w:sz="0" w:space="0" w:color="auto"/>
            <w:bottom w:val="none" w:sz="0" w:space="0" w:color="auto"/>
            <w:right w:val="none" w:sz="0" w:space="0" w:color="auto"/>
          </w:divBdr>
          <w:divsChild>
            <w:div w:id="1530415827">
              <w:marLeft w:val="0"/>
              <w:marRight w:val="0"/>
              <w:marTop w:val="0"/>
              <w:marBottom w:val="0"/>
              <w:divBdr>
                <w:top w:val="none" w:sz="0" w:space="0" w:color="auto"/>
                <w:left w:val="none" w:sz="0" w:space="0" w:color="auto"/>
                <w:bottom w:val="none" w:sz="0" w:space="0" w:color="auto"/>
                <w:right w:val="none" w:sz="0" w:space="0" w:color="auto"/>
              </w:divBdr>
              <w:divsChild>
                <w:div w:id="20257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5539">
      <w:bodyDiv w:val="1"/>
      <w:marLeft w:val="0"/>
      <w:marRight w:val="0"/>
      <w:marTop w:val="0"/>
      <w:marBottom w:val="0"/>
      <w:divBdr>
        <w:top w:val="none" w:sz="0" w:space="0" w:color="auto"/>
        <w:left w:val="none" w:sz="0" w:space="0" w:color="auto"/>
        <w:bottom w:val="none" w:sz="0" w:space="0" w:color="auto"/>
        <w:right w:val="none" w:sz="0" w:space="0" w:color="auto"/>
      </w:divBdr>
      <w:divsChild>
        <w:div w:id="2087996151">
          <w:marLeft w:val="0"/>
          <w:marRight w:val="0"/>
          <w:marTop w:val="0"/>
          <w:marBottom w:val="0"/>
          <w:divBdr>
            <w:top w:val="none" w:sz="0" w:space="0" w:color="auto"/>
            <w:left w:val="none" w:sz="0" w:space="0" w:color="auto"/>
            <w:bottom w:val="none" w:sz="0" w:space="0" w:color="auto"/>
            <w:right w:val="none" w:sz="0" w:space="0" w:color="auto"/>
          </w:divBdr>
          <w:divsChild>
            <w:div w:id="1837065056">
              <w:marLeft w:val="0"/>
              <w:marRight w:val="0"/>
              <w:marTop w:val="0"/>
              <w:marBottom w:val="0"/>
              <w:divBdr>
                <w:top w:val="none" w:sz="0" w:space="0" w:color="auto"/>
                <w:left w:val="none" w:sz="0" w:space="0" w:color="auto"/>
                <w:bottom w:val="none" w:sz="0" w:space="0" w:color="auto"/>
                <w:right w:val="none" w:sz="0" w:space="0" w:color="auto"/>
              </w:divBdr>
              <w:divsChild>
                <w:div w:id="1997145031">
                  <w:marLeft w:val="0"/>
                  <w:marRight w:val="0"/>
                  <w:marTop w:val="0"/>
                  <w:marBottom w:val="0"/>
                  <w:divBdr>
                    <w:top w:val="none" w:sz="0" w:space="0" w:color="auto"/>
                    <w:left w:val="none" w:sz="0" w:space="0" w:color="auto"/>
                    <w:bottom w:val="none" w:sz="0" w:space="0" w:color="auto"/>
                    <w:right w:val="none" w:sz="0" w:space="0" w:color="auto"/>
                  </w:divBdr>
                  <w:divsChild>
                    <w:div w:id="276180097">
                      <w:marLeft w:val="0"/>
                      <w:marRight w:val="0"/>
                      <w:marTop w:val="0"/>
                      <w:marBottom w:val="0"/>
                      <w:divBdr>
                        <w:top w:val="none" w:sz="0" w:space="0" w:color="auto"/>
                        <w:left w:val="none" w:sz="0" w:space="0" w:color="auto"/>
                        <w:bottom w:val="none" w:sz="0" w:space="0" w:color="auto"/>
                        <w:right w:val="none" w:sz="0" w:space="0" w:color="auto"/>
                      </w:divBdr>
                      <w:divsChild>
                        <w:div w:id="2067415892">
                          <w:marLeft w:val="0"/>
                          <w:marRight w:val="0"/>
                          <w:marTop w:val="0"/>
                          <w:marBottom w:val="0"/>
                          <w:divBdr>
                            <w:top w:val="none" w:sz="0" w:space="0" w:color="auto"/>
                            <w:left w:val="none" w:sz="0" w:space="0" w:color="auto"/>
                            <w:bottom w:val="none" w:sz="0" w:space="0" w:color="auto"/>
                            <w:right w:val="none" w:sz="0" w:space="0" w:color="auto"/>
                          </w:divBdr>
                          <w:divsChild>
                            <w:div w:id="9164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476667">
          <w:marLeft w:val="0"/>
          <w:marRight w:val="0"/>
          <w:marTop w:val="0"/>
          <w:marBottom w:val="0"/>
          <w:divBdr>
            <w:top w:val="none" w:sz="0" w:space="0" w:color="auto"/>
            <w:left w:val="none" w:sz="0" w:space="0" w:color="auto"/>
            <w:bottom w:val="none" w:sz="0" w:space="0" w:color="auto"/>
            <w:right w:val="none" w:sz="0" w:space="0" w:color="auto"/>
          </w:divBdr>
          <w:divsChild>
            <w:div w:id="1524057041">
              <w:marLeft w:val="0"/>
              <w:marRight w:val="0"/>
              <w:marTop w:val="0"/>
              <w:marBottom w:val="0"/>
              <w:divBdr>
                <w:top w:val="none" w:sz="0" w:space="0" w:color="auto"/>
                <w:left w:val="none" w:sz="0" w:space="0" w:color="auto"/>
                <w:bottom w:val="none" w:sz="0" w:space="0" w:color="auto"/>
                <w:right w:val="none" w:sz="0" w:space="0" w:color="auto"/>
              </w:divBdr>
              <w:divsChild>
                <w:div w:id="1056733141">
                  <w:marLeft w:val="0"/>
                  <w:marRight w:val="0"/>
                  <w:marTop w:val="0"/>
                  <w:marBottom w:val="0"/>
                  <w:divBdr>
                    <w:top w:val="none" w:sz="0" w:space="0" w:color="auto"/>
                    <w:left w:val="none" w:sz="0" w:space="0" w:color="auto"/>
                    <w:bottom w:val="none" w:sz="0" w:space="0" w:color="auto"/>
                    <w:right w:val="none" w:sz="0" w:space="0" w:color="auto"/>
                  </w:divBdr>
                  <w:divsChild>
                    <w:div w:id="1014497949">
                      <w:marLeft w:val="0"/>
                      <w:marRight w:val="0"/>
                      <w:marTop w:val="0"/>
                      <w:marBottom w:val="0"/>
                      <w:divBdr>
                        <w:top w:val="none" w:sz="0" w:space="0" w:color="auto"/>
                        <w:left w:val="none" w:sz="0" w:space="0" w:color="auto"/>
                        <w:bottom w:val="none" w:sz="0" w:space="0" w:color="auto"/>
                        <w:right w:val="none" w:sz="0" w:space="0" w:color="auto"/>
                      </w:divBdr>
                      <w:divsChild>
                        <w:div w:id="751585173">
                          <w:marLeft w:val="0"/>
                          <w:marRight w:val="0"/>
                          <w:marTop w:val="0"/>
                          <w:marBottom w:val="0"/>
                          <w:divBdr>
                            <w:top w:val="none" w:sz="0" w:space="0" w:color="auto"/>
                            <w:left w:val="none" w:sz="0" w:space="0" w:color="auto"/>
                            <w:bottom w:val="none" w:sz="0" w:space="0" w:color="auto"/>
                            <w:right w:val="none" w:sz="0" w:space="0" w:color="auto"/>
                          </w:divBdr>
                          <w:divsChild>
                            <w:div w:id="1165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20002">
      <w:bodyDiv w:val="1"/>
      <w:marLeft w:val="0"/>
      <w:marRight w:val="0"/>
      <w:marTop w:val="0"/>
      <w:marBottom w:val="0"/>
      <w:divBdr>
        <w:top w:val="none" w:sz="0" w:space="0" w:color="auto"/>
        <w:left w:val="none" w:sz="0" w:space="0" w:color="auto"/>
        <w:bottom w:val="none" w:sz="0" w:space="0" w:color="auto"/>
        <w:right w:val="none" w:sz="0" w:space="0" w:color="auto"/>
      </w:divBdr>
      <w:divsChild>
        <w:div w:id="1581870761">
          <w:marLeft w:val="0"/>
          <w:marRight w:val="0"/>
          <w:marTop w:val="0"/>
          <w:marBottom w:val="0"/>
          <w:divBdr>
            <w:top w:val="none" w:sz="0" w:space="0" w:color="auto"/>
            <w:left w:val="none" w:sz="0" w:space="0" w:color="auto"/>
            <w:bottom w:val="none" w:sz="0" w:space="0" w:color="auto"/>
            <w:right w:val="none" w:sz="0" w:space="0" w:color="auto"/>
          </w:divBdr>
        </w:div>
        <w:div w:id="997227401">
          <w:marLeft w:val="0"/>
          <w:marRight w:val="0"/>
          <w:marTop w:val="0"/>
          <w:marBottom w:val="0"/>
          <w:divBdr>
            <w:top w:val="none" w:sz="0" w:space="0" w:color="auto"/>
            <w:left w:val="none" w:sz="0" w:space="0" w:color="auto"/>
            <w:bottom w:val="none" w:sz="0" w:space="0" w:color="auto"/>
            <w:right w:val="none" w:sz="0" w:space="0" w:color="auto"/>
          </w:divBdr>
          <w:divsChild>
            <w:div w:id="1077366824">
              <w:marLeft w:val="0"/>
              <w:marRight w:val="0"/>
              <w:marTop w:val="0"/>
              <w:marBottom w:val="0"/>
              <w:divBdr>
                <w:top w:val="none" w:sz="0" w:space="0" w:color="auto"/>
                <w:left w:val="none" w:sz="0" w:space="0" w:color="auto"/>
                <w:bottom w:val="none" w:sz="0" w:space="0" w:color="auto"/>
                <w:right w:val="none" w:sz="0" w:space="0" w:color="auto"/>
              </w:divBdr>
              <w:divsChild>
                <w:div w:id="16122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8304">
      <w:bodyDiv w:val="1"/>
      <w:marLeft w:val="0"/>
      <w:marRight w:val="0"/>
      <w:marTop w:val="0"/>
      <w:marBottom w:val="0"/>
      <w:divBdr>
        <w:top w:val="none" w:sz="0" w:space="0" w:color="auto"/>
        <w:left w:val="none" w:sz="0" w:space="0" w:color="auto"/>
        <w:bottom w:val="none" w:sz="0" w:space="0" w:color="auto"/>
        <w:right w:val="none" w:sz="0" w:space="0" w:color="auto"/>
      </w:divBdr>
      <w:divsChild>
        <w:div w:id="1298336856">
          <w:marLeft w:val="0"/>
          <w:marRight w:val="0"/>
          <w:marTop w:val="0"/>
          <w:marBottom w:val="0"/>
          <w:divBdr>
            <w:top w:val="none" w:sz="0" w:space="0" w:color="auto"/>
            <w:left w:val="none" w:sz="0" w:space="0" w:color="auto"/>
            <w:bottom w:val="none" w:sz="0" w:space="0" w:color="auto"/>
            <w:right w:val="none" w:sz="0" w:space="0" w:color="auto"/>
          </w:divBdr>
        </w:div>
        <w:div w:id="404306066">
          <w:marLeft w:val="0"/>
          <w:marRight w:val="0"/>
          <w:marTop w:val="0"/>
          <w:marBottom w:val="0"/>
          <w:divBdr>
            <w:top w:val="none" w:sz="0" w:space="0" w:color="auto"/>
            <w:left w:val="none" w:sz="0" w:space="0" w:color="auto"/>
            <w:bottom w:val="none" w:sz="0" w:space="0" w:color="auto"/>
            <w:right w:val="none" w:sz="0" w:space="0" w:color="auto"/>
          </w:divBdr>
          <w:divsChild>
            <w:div w:id="1560045676">
              <w:marLeft w:val="0"/>
              <w:marRight w:val="0"/>
              <w:marTop w:val="0"/>
              <w:marBottom w:val="0"/>
              <w:divBdr>
                <w:top w:val="none" w:sz="0" w:space="0" w:color="auto"/>
                <w:left w:val="none" w:sz="0" w:space="0" w:color="auto"/>
                <w:bottom w:val="none" w:sz="0" w:space="0" w:color="auto"/>
                <w:right w:val="none" w:sz="0" w:space="0" w:color="auto"/>
              </w:divBdr>
              <w:divsChild>
                <w:div w:id="1011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0200">
      <w:bodyDiv w:val="1"/>
      <w:marLeft w:val="0"/>
      <w:marRight w:val="0"/>
      <w:marTop w:val="0"/>
      <w:marBottom w:val="0"/>
      <w:divBdr>
        <w:top w:val="none" w:sz="0" w:space="0" w:color="auto"/>
        <w:left w:val="none" w:sz="0" w:space="0" w:color="auto"/>
        <w:bottom w:val="none" w:sz="0" w:space="0" w:color="auto"/>
        <w:right w:val="none" w:sz="0" w:space="0" w:color="auto"/>
      </w:divBdr>
      <w:divsChild>
        <w:div w:id="899370164">
          <w:marLeft w:val="0"/>
          <w:marRight w:val="0"/>
          <w:marTop w:val="0"/>
          <w:marBottom w:val="0"/>
          <w:divBdr>
            <w:top w:val="none" w:sz="0" w:space="0" w:color="auto"/>
            <w:left w:val="none" w:sz="0" w:space="0" w:color="auto"/>
            <w:bottom w:val="none" w:sz="0" w:space="0" w:color="auto"/>
            <w:right w:val="none" w:sz="0" w:space="0" w:color="auto"/>
          </w:divBdr>
        </w:div>
        <w:div w:id="1079600555">
          <w:marLeft w:val="0"/>
          <w:marRight w:val="0"/>
          <w:marTop w:val="0"/>
          <w:marBottom w:val="0"/>
          <w:divBdr>
            <w:top w:val="none" w:sz="0" w:space="0" w:color="auto"/>
            <w:left w:val="none" w:sz="0" w:space="0" w:color="auto"/>
            <w:bottom w:val="none" w:sz="0" w:space="0" w:color="auto"/>
            <w:right w:val="none" w:sz="0" w:space="0" w:color="auto"/>
          </w:divBdr>
          <w:divsChild>
            <w:div w:id="1141538630">
              <w:marLeft w:val="0"/>
              <w:marRight w:val="0"/>
              <w:marTop w:val="0"/>
              <w:marBottom w:val="0"/>
              <w:divBdr>
                <w:top w:val="none" w:sz="0" w:space="0" w:color="auto"/>
                <w:left w:val="none" w:sz="0" w:space="0" w:color="auto"/>
                <w:bottom w:val="none" w:sz="0" w:space="0" w:color="auto"/>
                <w:right w:val="none" w:sz="0" w:space="0" w:color="auto"/>
              </w:divBdr>
              <w:divsChild>
                <w:div w:id="10269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lawcom.gov.uk/law-reform/law-reform-projects/proprietary-aspect-of-leases/" TargetMode="External"/><Relationship Id="rId3" Type="http://schemas.openxmlformats.org/officeDocument/2006/relationships/settings" Target="settings.xml"/><Relationship Id="rId7" Type="http://schemas.openxmlformats.org/officeDocument/2006/relationships/hyperlink" Target="https://www.scotlawcom.gov.uk/index.php/download_file/view/2393/17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Skilling</dc:creator>
  <cp:keywords/>
  <dc:description/>
  <cp:lastModifiedBy>West, Euan</cp:lastModifiedBy>
  <cp:revision>2</cp:revision>
  <dcterms:created xsi:type="dcterms:W3CDTF">2025-03-21T11:52:00Z</dcterms:created>
  <dcterms:modified xsi:type="dcterms:W3CDTF">2025-03-21T11:52:00Z</dcterms:modified>
</cp:coreProperties>
</file>