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A395D" w14:textId="77777777" w:rsidR="00C14A37" w:rsidRDefault="00C14A37" w:rsidP="00C14A37">
      <w:pPr>
        <w:jc w:val="both"/>
        <w:rPr>
          <w:rFonts w:ascii="Times New Roman" w:hAnsi="Times New Roman" w:cs="Times New Roman"/>
          <w:b/>
          <w:bCs/>
          <w:sz w:val="40"/>
          <w:szCs w:val="40"/>
        </w:rPr>
      </w:pPr>
      <w:r>
        <w:rPr>
          <w:rFonts w:ascii="Times New Roman" w:hAnsi="Times New Roman" w:cs="Times New Roman"/>
          <w:b/>
          <w:bCs/>
          <w:noProof/>
          <w:sz w:val="40"/>
          <w:szCs w:val="40"/>
        </w:rPr>
        <w:drawing>
          <wp:inline distT="0" distB="0" distL="0" distR="0" wp14:anchorId="5BF99E66" wp14:editId="123E98DB">
            <wp:extent cx="2758633" cy="558800"/>
            <wp:effectExtent l="0" t="0" r="3810" b="0"/>
            <wp:docPr id="137286536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65360" name="Picture 2"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7474" cy="562617"/>
                    </a:xfrm>
                    <a:prstGeom prst="rect">
                      <a:avLst/>
                    </a:prstGeom>
                    <a:noFill/>
                  </pic:spPr>
                </pic:pic>
              </a:graphicData>
            </a:graphic>
          </wp:inline>
        </w:drawing>
      </w:r>
    </w:p>
    <w:p w14:paraId="61B79C72" w14:textId="77777777" w:rsidR="00C14A37" w:rsidRDefault="00C14A37" w:rsidP="00C14A37">
      <w:pPr>
        <w:jc w:val="both"/>
        <w:rPr>
          <w:rFonts w:ascii="Times New Roman" w:hAnsi="Times New Roman" w:cs="Times New Roman"/>
        </w:rPr>
      </w:pPr>
      <w:r>
        <w:rPr>
          <w:rFonts w:ascii="Times New Roman" w:hAnsi="Times New Roman" w:cs="Times New Roman"/>
        </w:rPr>
        <w:t xml:space="preserve">This </w:t>
      </w:r>
      <w:r w:rsidRPr="00D60F8C">
        <w:rPr>
          <w:rFonts w:ascii="Times New Roman" w:hAnsi="Times New Roman" w:cs="Times New Roman"/>
        </w:rPr>
        <w:t>research was</w:t>
      </w:r>
      <w:r>
        <w:rPr>
          <w:rFonts w:ascii="Times New Roman" w:hAnsi="Times New Roman" w:cs="Times New Roman"/>
        </w:rPr>
        <w:t xml:space="preserve"> </w:t>
      </w:r>
      <w:r w:rsidRPr="00D60F8C">
        <w:rPr>
          <w:rFonts w:ascii="Times New Roman" w:hAnsi="Times New Roman" w:cs="Times New Roman"/>
        </w:rPr>
        <w:t>supported by the RSE</w:t>
      </w:r>
      <w:r>
        <w:rPr>
          <w:rFonts w:ascii="Times New Roman" w:hAnsi="Times New Roman" w:cs="Times New Roman"/>
        </w:rPr>
        <w:t xml:space="preserve"> </w:t>
      </w:r>
      <w:r w:rsidRPr="00D565E4">
        <w:rPr>
          <w:rFonts w:ascii="Times New Roman" w:hAnsi="Times New Roman" w:cs="Times New Roman"/>
        </w:rPr>
        <w:t>Saltire Facilitation Network Award</w:t>
      </w:r>
      <w:r>
        <w:rPr>
          <w:rFonts w:ascii="Times New Roman" w:hAnsi="Times New Roman" w:cs="Times New Roman"/>
        </w:rPr>
        <w:t xml:space="preserve"> No 1924.</w:t>
      </w:r>
    </w:p>
    <w:p w14:paraId="08741BB5" w14:textId="79DFAF43" w:rsidR="00AC727C" w:rsidRPr="00F934F9" w:rsidRDefault="00020CE8" w:rsidP="00F934F9">
      <w:pPr>
        <w:pStyle w:val="Heading1"/>
        <w:jc w:val="center"/>
      </w:pPr>
      <w:r w:rsidRPr="00F934F9">
        <w:t>Project: Protection of international families with links to the European Union post-Brexit: Collaborative Scotland-EU partnership</w:t>
      </w:r>
    </w:p>
    <w:p w14:paraId="139C195D" w14:textId="77777777" w:rsidR="00020CE8" w:rsidRPr="00F934F9" w:rsidRDefault="00020CE8" w:rsidP="00F934F9">
      <w:pPr>
        <w:spacing w:line="276" w:lineRule="auto"/>
        <w:jc w:val="both"/>
        <w:rPr>
          <w:rFonts w:ascii="Times New Roman" w:hAnsi="Times New Roman" w:cs="Times New Roman"/>
          <w:sz w:val="24"/>
          <w:szCs w:val="24"/>
        </w:rPr>
      </w:pPr>
    </w:p>
    <w:p w14:paraId="3395ED07" w14:textId="7DE4BAE8" w:rsidR="00020CE8" w:rsidRPr="00F934F9" w:rsidRDefault="00020CE8" w:rsidP="00F934F9">
      <w:pPr>
        <w:pStyle w:val="Heading2"/>
        <w:jc w:val="center"/>
        <w:rPr>
          <w:b/>
          <w:bCs/>
        </w:rPr>
      </w:pPr>
      <w:r w:rsidRPr="00F934F9">
        <w:rPr>
          <w:b/>
          <w:bCs/>
        </w:rPr>
        <w:t>UK National Report</w:t>
      </w:r>
    </w:p>
    <w:p w14:paraId="29922BE5" w14:textId="1AE50B4F" w:rsidR="00020CE8" w:rsidRPr="00F934F9" w:rsidRDefault="00020CE8" w:rsidP="00F934F9">
      <w:pPr>
        <w:pStyle w:val="Heading2"/>
        <w:jc w:val="center"/>
      </w:pPr>
      <w:r w:rsidRPr="00F934F9">
        <w:t>by</w:t>
      </w:r>
    </w:p>
    <w:p w14:paraId="0ECD00F9" w14:textId="1C0FEA09" w:rsidR="00020CE8" w:rsidRPr="00F934F9" w:rsidRDefault="00020CE8" w:rsidP="00F934F9">
      <w:pPr>
        <w:pStyle w:val="Heading2"/>
        <w:jc w:val="center"/>
      </w:pPr>
      <w:r w:rsidRPr="00F934F9">
        <w:t>Katarina Trimmings and Konstantina Kalaitsoglou</w:t>
      </w:r>
    </w:p>
    <w:p w14:paraId="685FA425" w14:textId="77777777" w:rsidR="00020CE8" w:rsidRPr="00F934F9" w:rsidRDefault="00020CE8" w:rsidP="00F934F9">
      <w:pPr>
        <w:spacing w:line="276" w:lineRule="auto"/>
        <w:jc w:val="both"/>
        <w:rPr>
          <w:rFonts w:ascii="Times New Roman" w:hAnsi="Times New Roman" w:cs="Times New Roman"/>
          <w:sz w:val="24"/>
          <w:szCs w:val="24"/>
        </w:rPr>
      </w:pPr>
    </w:p>
    <w:p w14:paraId="19853316" w14:textId="68B22467" w:rsidR="00020CE8" w:rsidRPr="00F934F9" w:rsidRDefault="00E371A9" w:rsidP="00F934F9">
      <w:pPr>
        <w:pStyle w:val="ListParagraph"/>
        <w:numPr>
          <w:ilvl w:val="0"/>
          <w:numId w:val="1"/>
        </w:numPr>
        <w:spacing w:line="276" w:lineRule="auto"/>
        <w:jc w:val="both"/>
        <w:rPr>
          <w:rStyle w:val="IntenseReference"/>
          <w:rFonts w:ascii="Times New Roman" w:hAnsi="Times New Roman" w:cs="Times New Roman"/>
          <w:sz w:val="24"/>
          <w:szCs w:val="24"/>
        </w:rPr>
      </w:pPr>
      <w:r w:rsidRPr="00F934F9">
        <w:rPr>
          <w:rStyle w:val="IntenseReference"/>
          <w:rFonts w:ascii="Times New Roman" w:hAnsi="Times New Roman" w:cs="Times New Roman"/>
          <w:sz w:val="24"/>
          <w:szCs w:val="24"/>
        </w:rPr>
        <w:t xml:space="preserve">the </w:t>
      </w:r>
      <w:r w:rsidR="00020CE8" w:rsidRPr="00F934F9">
        <w:rPr>
          <w:rStyle w:val="IntenseReference"/>
          <w:rFonts w:ascii="Times New Roman" w:hAnsi="Times New Roman" w:cs="Times New Roman"/>
          <w:sz w:val="24"/>
          <w:szCs w:val="24"/>
        </w:rPr>
        <w:t>1980 Hague Convention on the Civil Aspects of International Child Abduction</w:t>
      </w:r>
    </w:p>
    <w:p w14:paraId="38615222" w14:textId="7ACF632D" w:rsidR="00020CE8" w:rsidRPr="00F934F9" w:rsidRDefault="00BE41C7"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 xml:space="preserve">Introduction </w:t>
      </w:r>
    </w:p>
    <w:p w14:paraId="0898C749" w14:textId="77777777" w:rsidR="00020CE8" w:rsidRPr="00F934F9" w:rsidRDefault="00020CE8"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Unsurprisingly, the 15 years of the combined Hague-Brussels return mechanism in intra-EU child abduction cases have left an imprint on the UK’s child abduction legal landscape. When on 1 January 2021 the UK has shifted back to the 1980 Hague Abduction Convention, various questions were raised about possible challenges that would be faced by the UK courts with respect to international child abduction cases. One of the key points was the legacy and the future treatment of the case-law of the Court of Justice of the European Union (CJEU), in particular with respect to the concept of habitual residence of a child for the purposes of the 1980 Hague Convention.</w:t>
      </w:r>
    </w:p>
    <w:p w14:paraId="6821E255" w14:textId="77777777" w:rsidR="00020CE8" w:rsidRPr="00F934F9" w:rsidRDefault="00020CE8"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Habitual residence of a child</w:t>
      </w:r>
    </w:p>
    <w:p w14:paraId="76F4B429" w14:textId="77777777" w:rsidR="00020CE8" w:rsidRPr="00263C61" w:rsidRDefault="00020CE8" w:rsidP="00F934F9">
      <w:pPr>
        <w:spacing w:line="276" w:lineRule="auto"/>
        <w:jc w:val="both"/>
        <w:rPr>
          <w:rFonts w:ascii="Times New Roman" w:hAnsi="Times New Roman" w:cs="Times New Roman"/>
          <w:sz w:val="24"/>
          <w:szCs w:val="24"/>
        </w:rPr>
      </w:pPr>
      <w:r w:rsidRPr="00263C61">
        <w:rPr>
          <w:rFonts w:ascii="Times New Roman" w:hAnsi="Times New Roman" w:cs="Times New Roman"/>
          <w:sz w:val="24"/>
          <w:szCs w:val="24"/>
        </w:rPr>
        <w:t>The Court of Justice has given a binding interpretation of habitual residence of a child for the purposes of the Council Regulation (EC) No 2201/2203 (‘Brussels II</w:t>
      </w:r>
      <w:r w:rsidRPr="00263C61">
        <w:rPr>
          <w:rFonts w:ascii="Times New Roman" w:hAnsi="Times New Roman" w:cs="Times New Roman"/>
          <w:i/>
          <w:iCs/>
          <w:sz w:val="24"/>
          <w:szCs w:val="24"/>
        </w:rPr>
        <w:t>bis</w:t>
      </w:r>
      <w:r w:rsidRPr="00263C61">
        <w:rPr>
          <w:rFonts w:ascii="Times New Roman" w:hAnsi="Times New Roman" w:cs="Times New Roman"/>
          <w:sz w:val="24"/>
          <w:szCs w:val="24"/>
        </w:rPr>
        <w:t xml:space="preserve"> Regulation’).</w:t>
      </w:r>
      <w:r w:rsidRPr="00263C61">
        <w:rPr>
          <w:rStyle w:val="FootnoteReference"/>
          <w:rFonts w:ascii="Times New Roman" w:hAnsi="Times New Roman" w:cs="Times New Roman"/>
          <w:sz w:val="24"/>
          <w:szCs w:val="24"/>
        </w:rPr>
        <w:footnoteReference w:id="1"/>
      </w:r>
      <w:r w:rsidRPr="00263C61">
        <w:rPr>
          <w:rFonts w:ascii="Times New Roman" w:hAnsi="Times New Roman" w:cs="Times New Roman"/>
          <w:sz w:val="24"/>
          <w:szCs w:val="24"/>
        </w:rPr>
        <w:t xml:space="preserve"> Long before Brexit, in 2013, this interpretation was accepted by the UK Supreme Court as the correct approach.</w:t>
      </w:r>
      <w:r w:rsidRPr="00263C61">
        <w:rPr>
          <w:rStyle w:val="FootnoteReference"/>
          <w:rFonts w:ascii="Times New Roman" w:hAnsi="Times New Roman" w:cs="Times New Roman"/>
          <w:sz w:val="24"/>
          <w:szCs w:val="24"/>
        </w:rPr>
        <w:footnoteReference w:id="2"/>
      </w:r>
      <w:r w:rsidRPr="00263C61">
        <w:rPr>
          <w:rFonts w:ascii="Times New Roman" w:hAnsi="Times New Roman" w:cs="Times New Roman"/>
          <w:sz w:val="24"/>
          <w:szCs w:val="24"/>
        </w:rPr>
        <w:t xml:space="preserve"> Specifically, in the case of </w:t>
      </w:r>
      <w:r w:rsidRPr="00263C61">
        <w:rPr>
          <w:rFonts w:ascii="Times New Roman" w:hAnsi="Times New Roman" w:cs="Times New Roman"/>
          <w:i/>
          <w:iCs/>
          <w:sz w:val="24"/>
          <w:szCs w:val="24"/>
        </w:rPr>
        <w:t>In A v A and Another (Children): Habitual Residence (Reunite International Child Abduction Centre and Others Intervening)</w:t>
      </w:r>
      <w:r w:rsidRPr="00263C61">
        <w:rPr>
          <w:rStyle w:val="FootnoteReference"/>
          <w:rFonts w:ascii="Times New Roman" w:hAnsi="Times New Roman" w:cs="Times New Roman"/>
          <w:i/>
          <w:iCs/>
          <w:sz w:val="24"/>
          <w:szCs w:val="24"/>
        </w:rPr>
        <w:footnoteReference w:id="3"/>
      </w:r>
      <w:r w:rsidRPr="00263C61">
        <w:rPr>
          <w:rFonts w:ascii="Times New Roman" w:hAnsi="Times New Roman" w:cs="Times New Roman"/>
          <w:sz w:val="24"/>
          <w:szCs w:val="24"/>
        </w:rPr>
        <w:t xml:space="preserve"> the UK Supreme Court examined the traditional view of habitual residence as that had been interpreted in the UK against the CJEU guidance on the matter given in the context of the Brussels II</w:t>
      </w:r>
      <w:r w:rsidRPr="00263C61">
        <w:rPr>
          <w:rFonts w:ascii="Times New Roman" w:hAnsi="Times New Roman" w:cs="Times New Roman"/>
          <w:i/>
          <w:iCs/>
          <w:sz w:val="24"/>
          <w:szCs w:val="24"/>
        </w:rPr>
        <w:t>bis</w:t>
      </w:r>
      <w:r w:rsidRPr="00263C61">
        <w:rPr>
          <w:rFonts w:ascii="Times New Roman" w:hAnsi="Times New Roman" w:cs="Times New Roman"/>
          <w:sz w:val="24"/>
          <w:szCs w:val="24"/>
        </w:rPr>
        <w:t xml:space="preserve"> Regulation. Baroness Hale of Richmond, citing the case of </w:t>
      </w:r>
      <w:r w:rsidRPr="00263C61">
        <w:rPr>
          <w:rFonts w:ascii="Times New Roman" w:hAnsi="Times New Roman" w:cs="Times New Roman"/>
          <w:i/>
          <w:iCs/>
          <w:sz w:val="24"/>
          <w:szCs w:val="24"/>
        </w:rPr>
        <w:t>Proceedings brought by A</w:t>
      </w:r>
      <w:r w:rsidRPr="00263C61">
        <w:rPr>
          <w:rStyle w:val="FootnoteReference"/>
          <w:rFonts w:ascii="Times New Roman" w:hAnsi="Times New Roman" w:cs="Times New Roman"/>
          <w:sz w:val="24"/>
          <w:szCs w:val="24"/>
        </w:rPr>
        <w:footnoteReference w:id="4"/>
      </w:r>
      <w:r w:rsidRPr="00263C61">
        <w:rPr>
          <w:rFonts w:ascii="Times New Roman" w:hAnsi="Times New Roman" w:cs="Times New Roman"/>
          <w:sz w:val="24"/>
          <w:szCs w:val="24"/>
        </w:rPr>
        <w:t xml:space="preserve"> decided by the CJEU and other relevant authorities, drew all of the threads of the previous case law, </w:t>
      </w:r>
      <w:r w:rsidRPr="00263C61">
        <w:rPr>
          <w:rFonts w:ascii="Times New Roman" w:hAnsi="Times New Roman" w:cs="Times New Roman"/>
          <w:sz w:val="24"/>
          <w:szCs w:val="24"/>
        </w:rPr>
        <w:lastRenderedPageBreak/>
        <w:t>including European case law, together</w:t>
      </w:r>
      <w:r w:rsidRPr="00263C61">
        <w:rPr>
          <w:rStyle w:val="FootnoteReference"/>
          <w:rFonts w:ascii="Times New Roman" w:hAnsi="Times New Roman" w:cs="Times New Roman"/>
          <w:sz w:val="24"/>
          <w:szCs w:val="24"/>
        </w:rPr>
        <w:footnoteReference w:id="5"/>
      </w:r>
      <w:r w:rsidRPr="00263C61">
        <w:rPr>
          <w:rFonts w:ascii="Times New Roman" w:hAnsi="Times New Roman" w:cs="Times New Roman"/>
          <w:sz w:val="24"/>
          <w:szCs w:val="24"/>
        </w:rPr>
        <w:t xml:space="preserve"> and made eight relevant points.</w:t>
      </w:r>
      <w:r w:rsidRPr="00263C61">
        <w:rPr>
          <w:rStyle w:val="FootnoteReference"/>
          <w:rFonts w:ascii="Times New Roman" w:hAnsi="Times New Roman" w:cs="Times New Roman"/>
          <w:sz w:val="24"/>
          <w:szCs w:val="24"/>
        </w:rPr>
        <w:footnoteReference w:id="6"/>
      </w:r>
      <w:r w:rsidRPr="00263C61">
        <w:rPr>
          <w:rFonts w:ascii="Times New Roman" w:hAnsi="Times New Roman" w:cs="Times New Roman"/>
          <w:sz w:val="24"/>
          <w:szCs w:val="24"/>
        </w:rPr>
        <w:t xml:space="preserve"> These included that habitual residence is a question of fact and not a legal concept such as domicile (and so there is no legal rule akin to that whereby a child automatically takes the domicile of his parents); that the test adopted by the CJEU for habitual residence was "the place which reflects some degree of integration by the child in a social and family environment" in the country concerned; and that it is unlikely that such a test produces different results from that previously adopted in the UK courts. Baroness Hale specifically expressed the view that the test adopted by the CJEU was preferable to that earlier adopted by the UK courts insofar as they had focused on the purposes and intentions of the parents rather than the situation of the child.</w:t>
      </w:r>
      <w:r w:rsidRPr="00263C61">
        <w:rPr>
          <w:rStyle w:val="FootnoteReference"/>
          <w:rFonts w:ascii="Times New Roman" w:hAnsi="Times New Roman" w:cs="Times New Roman"/>
          <w:sz w:val="24"/>
          <w:szCs w:val="24"/>
        </w:rPr>
        <w:footnoteReference w:id="7"/>
      </w:r>
      <w:r w:rsidRPr="00263C61">
        <w:rPr>
          <w:rFonts w:ascii="Times New Roman" w:hAnsi="Times New Roman" w:cs="Times New Roman"/>
          <w:sz w:val="24"/>
          <w:szCs w:val="24"/>
        </w:rPr>
        <w:t xml:space="preserve"> Accordingly any test that preferred the purposes and intentions of the parents should be abandoned in deciding the habitual residence of a child.</w:t>
      </w:r>
      <w:r w:rsidRPr="00263C61">
        <w:rPr>
          <w:rStyle w:val="FootnoteReference"/>
          <w:rFonts w:ascii="Times New Roman" w:hAnsi="Times New Roman" w:cs="Times New Roman"/>
          <w:sz w:val="24"/>
          <w:szCs w:val="24"/>
        </w:rPr>
        <w:footnoteReference w:id="8"/>
      </w:r>
      <w:r w:rsidRPr="00263C61">
        <w:rPr>
          <w:rFonts w:ascii="Times New Roman" w:hAnsi="Times New Roman" w:cs="Times New Roman"/>
          <w:sz w:val="24"/>
          <w:szCs w:val="24"/>
        </w:rPr>
        <w:t xml:space="preserve"> Further, the social and family environment of an infant or young child is shared with those (whether parents or others) on whom he is dependent.</w:t>
      </w:r>
      <w:r w:rsidRPr="00263C61">
        <w:rPr>
          <w:rStyle w:val="FootnoteReference"/>
          <w:rFonts w:ascii="Times New Roman" w:hAnsi="Times New Roman" w:cs="Times New Roman"/>
          <w:sz w:val="24"/>
          <w:szCs w:val="24"/>
        </w:rPr>
        <w:footnoteReference w:id="9"/>
      </w:r>
      <w:r w:rsidRPr="00263C61">
        <w:rPr>
          <w:rFonts w:ascii="Times New Roman" w:hAnsi="Times New Roman" w:cs="Times New Roman"/>
          <w:sz w:val="24"/>
          <w:szCs w:val="24"/>
        </w:rPr>
        <w:t xml:space="preserve"> In any case in which habitual residence is at issue it is necessary to assess the integration of that person or persons in the social and family environment of the country concerned.</w:t>
      </w:r>
      <w:r w:rsidRPr="00263C61">
        <w:rPr>
          <w:rStyle w:val="FootnoteReference"/>
          <w:rFonts w:ascii="Times New Roman" w:hAnsi="Times New Roman" w:cs="Times New Roman"/>
          <w:sz w:val="24"/>
          <w:szCs w:val="24"/>
        </w:rPr>
        <w:footnoteReference w:id="10"/>
      </w:r>
      <w:r w:rsidRPr="00263C61">
        <w:rPr>
          <w:rFonts w:ascii="Times New Roman" w:hAnsi="Times New Roman" w:cs="Times New Roman"/>
          <w:sz w:val="24"/>
          <w:szCs w:val="24"/>
        </w:rPr>
        <w:t xml:space="preserve"> The essentially factual and individual nature of the enquiry should not be glossed with legal concepts which would produce a different result from that which the factual enquiry would produce.</w:t>
      </w:r>
      <w:r w:rsidRPr="00263C61">
        <w:rPr>
          <w:rStyle w:val="FootnoteReference"/>
          <w:rFonts w:ascii="Times New Roman" w:hAnsi="Times New Roman" w:cs="Times New Roman"/>
          <w:sz w:val="24"/>
          <w:szCs w:val="24"/>
        </w:rPr>
        <w:footnoteReference w:id="11"/>
      </w:r>
      <w:r w:rsidRPr="00263C61">
        <w:rPr>
          <w:rFonts w:ascii="Times New Roman" w:hAnsi="Times New Roman" w:cs="Times New Roman"/>
          <w:sz w:val="24"/>
          <w:szCs w:val="24"/>
        </w:rPr>
        <w:t xml:space="preserve"> Finally, the court noted that it was possible that a child may have no country of habitual residence at a particular point in time.</w:t>
      </w:r>
      <w:r w:rsidRPr="00263C61">
        <w:rPr>
          <w:rStyle w:val="FootnoteReference"/>
          <w:rFonts w:ascii="Times New Roman" w:hAnsi="Times New Roman" w:cs="Times New Roman"/>
          <w:sz w:val="24"/>
          <w:szCs w:val="24"/>
        </w:rPr>
        <w:footnoteReference w:id="12"/>
      </w:r>
      <w:r w:rsidRPr="00263C61">
        <w:rPr>
          <w:rFonts w:ascii="Times New Roman" w:hAnsi="Times New Roman" w:cs="Times New Roman"/>
          <w:sz w:val="24"/>
          <w:szCs w:val="24"/>
        </w:rPr>
        <w:t xml:space="preserve"> The reference to that possibility came from the Advocate General's opinion in the case of </w:t>
      </w:r>
      <w:r w:rsidRPr="00263C61">
        <w:rPr>
          <w:rFonts w:ascii="Times New Roman" w:hAnsi="Times New Roman" w:cs="Times New Roman"/>
          <w:i/>
          <w:iCs/>
          <w:sz w:val="24"/>
          <w:szCs w:val="24"/>
        </w:rPr>
        <w:t>Proceedings brought by A.</w:t>
      </w:r>
      <w:r w:rsidRPr="00263C61">
        <w:rPr>
          <w:rFonts w:ascii="Times New Roman" w:hAnsi="Times New Roman" w:cs="Times New Roman"/>
          <w:sz w:val="24"/>
          <w:szCs w:val="24"/>
        </w:rPr>
        <w:t xml:space="preserve"> The possibility of a child having no habitual residence at all during a transitional period was said to be "conceivable in exceptional cases".</w:t>
      </w:r>
      <w:r w:rsidRPr="00263C61">
        <w:rPr>
          <w:rStyle w:val="FootnoteReference"/>
          <w:rFonts w:ascii="Times New Roman" w:hAnsi="Times New Roman" w:cs="Times New Roman"/>
          <w:sz w:val="24"/>
          <w:szCs w:val="24"/>
        </w:rPr>
        <w:footnoteReference w:id="13"/>
      </w:r>
    </w:p>
    <w:p w14:paraId="24B08E92" w14:textId="77777777" w:rsidR="00020CE8" w:rsidRPr="00263C61" w:rsidRDefault="00020CE8" w:rsidP="00F934F9">
      <w:pPr>
        <w:spacing w:line="276" w:lineRule="auto"/>
        <w:jc w:val="both"/>
        <w:rPr>
          <w:rFonts w:ascii="Times New Roman" w:hAnsi="Times New Roman" w:cs="Times New Roman"/>
          <w:sz w:val="24"/>
          <w:szCs w:val="24"/>
        </w:rPr>
      </w:pPr>
      <w:r w:rsidRPr="00263C61">
        <w:rPr>
          <w:rFonts w:ascii="Times New Roman" w:hAnsi="Times New Roman" w:cs="Times New Roman"/>
          <w:sz w:val="24"/>
          <w:szCs w:val="24"/>
        </w:rPr>
        <w:t>The above approach adopted by the Supreme Court was later repeatedly confirmed and supplemented by further guidance of the Supreme Court.</w:t>
      </w:r>
      <w:r w:rsidRPr="00263C61">
        <w:rPr>
          <w:rStyle w:val="FootnoteReference"/>
          <w:rFonts w:ascii="Times New Roman" w:hAnsi="Times New Roman" w:cs="Times New Roman"/>
          <w:sz w:val="24"/>
          <w:szCs w:val="24"/>
        </w:rPr>
        <w:footnoteReference w:id="14"/>
      </w:r>
      <w:r w:rsidRPr="00263C61">
        <w:rPr>
          <w:rFonts w:ascii="Times New Roman" w:hAnsi="Times New Roman" w:cs="Times New Roman"/>
          <w:sz w:val="24"/>
          <w:szCs w:val="24"/>
        </w:rPr>
        <w:t xml:space="preserve"> In particular, in </w:t>
      </w:r>
      <w:r w:rsidRPr="00263C61">
        <w:rPr>
          <w:rFonts w:ascii="Times New Roman" w:hAnsi="Times New Roman" w:cs="Times New Roman"/>
          <w:i/>
          <w:iCs/>
          <w:sz w:val="24"/>
          <w:szCs w:val="24"/>
        </w:rPr>
        <w:t>Re KL (Abduction: Habitual Residence: Inherent Jurisdiction)</w:t>
      </w:r>
      <w:r w:rsidRPr="00263C61">
        <w:rPr>
          <w:rStyle w:val="FootnoteReference"/>
          <w:rFonts w:ascii="Times New Roman" w:hAnsi="Times New Roman" w:cs="Times New Roman"/>
          <w:i/>
          <w:iCs/>
          <w:sz w:val="24"/>
          <w:szCs w:val="24"/>
        </w:rPr>
        <w:footnoteReference w:id="15"/>
      </w:r>
      <w:r w:rsidRPr="00263C61">
        <w:rPr>
          <w:rFonts w:ascii="Times New Roman" w:hAnsi="Times New Roman" w:cs="Times New Roman"/>
          <w:i/>
          <w:iCs/>
          <w:sz w:val="24"/>
          <w:szCs w:val="24"/>
        </w:rPr>
        <w:t xml:space="preserve">, the Court endorsed </w:t>
      </w:r>
      <w:r w:rsidRPr="00263C61">
        <w:rPr>
          <w:rFonts w:ascii="Times New Roman" w:hAnsi="Times New Roman" w:cs="Times New Roman"/>
          <w:sz w:val="24"/>
          <w:szCs w:val="24"/>
        </w:rPr>
        <w:t>“a uniform understanding of the concept of habitual residence” for the purposes of both the 1980 Convention and the Brussels IIbis Regulation,</w:t>
      </w:r>
      <w:r w:rsidRPr="00263C61">
        <w:rPr>
          <w:rStyle w:val="FootnoteReference"/>
          <w:rFonts w:ascii="Times New Roman" w:hAnsi="Times New Roman" w:cs="Times New Roman"/>
          <w:sz w:val="24"/>
          <w:szCs w:val="24"/>
        </w:rPr>
        <w:footnoteReference w:id="16"/>
      </w:r>
      <w:r w:rsidRPr="00263C61">
        <w:rPr>
          <w:rFonts w:ascii="Times New Roman" w:hAnsi="Times New Roman" w:cs="Times New Roman"/>
          <w:i/>
          <w:iCs/>
          <w:sz w:val="24"/>
          <w:szCs w:val="24"/>
        </w:rPr>
        <w:t xml:space="preserve"> and emphasised that the </w:t>
      </w:r>
      <w:r w:rsidRPr="00263C61">
        <w:rPr>
          <w:rFonts w:ascii="Times New Roman" w:hAnsi="Times New Roman" w:cs="Times New Roman"/>
          <w:sz w:val="24"/>
          <w:szCs w:val="24"/>
        </w:rPr>
        <w:t>the same test for habitual residence should be adopted in the European and domestic context and that, if there is any difference, the European test should prevail.</w:t>
      </w:r>
      <w:r w:rsidRPr="00263C61">
        <w:rPr>
          <w:rFonts w:ascii="Times New Roman" w:hAnsi="Times New Roman" w:cs="Times New Roman"/>
          <w:i/>
          <w:iCs/>
          <w:sz w:val="24"/>
          <w:szCs w:val="24"/>
        </w:rPr>
        <w:t xml:space="preserve"> In </w:t>
      </w:r>
      <w:r w:rsidRPr="00263C61">
        <w:rPr>
          <w:rFonts w:ascii="Times New Roman" w:hAnsi="Times New Roman" w:cs="Times New Roman"/>
          <w:sz w:val="24"/>
          <w:szCs w:val="24"/>
        </w:rPr>
        <w:t xml:space="preserve">the case of </w:t>
      </w:r>
      <w:r w:rsidRPr="00263C61">
        <w:rPr>
          <w:rFonts w:ascii="Times New Roman" w:hAnsi="Times New Roman" w:cs="Times New Roman"/>
          <w:i/>
          <w:iCs/>
          <w:sz w:val="24"/>
          <w:szCs w:val="24"/>
        </w:rPr>
        <w:t>In the matter of LC (Children)</w:t>
      </w:r>
      <w:r w:rsidRPr="00263C61">
        <w:rPr>
          <w:rStyle w:val="FootnoteReference"/>
          <w:rFonts w:ascii="Times New Roman" w:hAnsi="Times New Roman" w:cs="Times New Roman"/>
          <w:sz w:val="24"/>
          <w:szCs w:val="24"/>
        </w:rPr>
        <w:footnoteReference w:id="17"/>
      </w:r>
      <w:r w:rsidRPr="00263C61">
        <w:rPr>
          <w:rFonts w:ascii="Times New Roman" w:hAnsi="Times New Roman" w:cs="Times New Roman"/>
          <w:i/>
          <w:iCs/>
          <w:sz w:val="24"/>
          <w:szCs w:val="24"/>
        </w:rPr>
        <w:t xml:space="preserve"> </w:t>
      </w:r>
      <w:r w:rsidRPr="00263C61">
        <w:rPr>
          <w:rFonts w:ascii="Times New Roman" w:hAnsi="Times New Roman" w:cs="Times New Roman"/>
          <w:sz w:val="24"/>
          <w:szCs w:val="24"/>
        </w:rPr>
        <w:t>the Court examined the question whether the state of mind of an adolescent child is relevant to whether or not the child has acquired a habitual residence in the place where he/she is living.</w:t>
      </w:r>
      <w:r w:rsidRPr="00263C61">
        <w:rPr>
          <w:rStyle w:val="FootnoteReference"/>
          <w:rFonts w:ascii="Times New Roman" w:hAnsi="Times New Roman" w:cs="Times New Roman"/>
          <w:sz w:val="24"/>
          <w:szCs w:val="24"/>
        </w:rPr>
        <w:footnoteReference w:id="18"/>
      </w:r>
      <w:r w:rsidRPr="00263C61">
        <w:rPr>
          <w:rFonts w:ascii="Times New Roman" w:hAnsi="Times New Roman" w:cs="Times New Roman"/>
          <w:sz w:val="24"/>
          <w:szCs w:val="24"/>
        </w:rPr>
        <w:t xml:space="preserve"> In a Scottish case </w:t>
      </w:r>
      <w:r w:rsidRPr="00263C61">
        <w:rPr>
          <w:rFonts w:ascii="Times New Roman" w:hAnsi="Times New Roman" w:cs="Times New Roman"/>
          <w:sz w:val="24"/>
          <w:szCs w:val="24"/>
        </w:rPr>
        <w:lastRenderedPageBreak/>
        <w:t xml:space="preserve">heard by the UK Supreme Court on this issue, known as </w:t>
      </w:r>
      <w:r w:rsidRPr="00263C61">
        <w:rPr>
          <w:rFonts w:ascii="Times New Roman" w:hAnsi="Times New Roman" w:cs="Times New Roman"/>
          <w:i/>
          <w:iCs/>
          <w:sz w:val="24"/>
          <w:szCs w:val="24"/>
        </w:rPr>
        <w:t>AR v RN</w:t>
      </w:r>
      <w:r w:rsidRPr="00263C61">
        <w:rPr>
          <w:rStyle w:val="FootnoteReference"/>
          <w:rFonts w:ascii="Times New Roman" w:hAnsi="Times New Roman" w:cs="Times New Roman"/>
          <w:i/>
          <w:iCs/>
          <w:sz w:val="24"/>
          <w:szCs w:val="24"/>
        </w:rPr>
        <w:footnoteReference w:id="19"/>
      </w:r>
      <w:r w:rsidRPr="00263C61">
        <w:rPr>
          <w:rFonts w:ascii="Times New Roman" w:hAnsi="Times New Roman" w:cs="Times New Roman"/>
          <w:i/>
          <w:iCs/>
          <w:sz w:val="24"/>
          <w:szCs w:val="24"/>
        </w:rPr>
        <w:t>,</w:t>
      </w:r>
      <w:r w:rsidRPr="00263C61">
        <w:rPr>
          <w:rFonts w:ascii="Times New Roman" w:hAnsi="Times New Roman" w:cs="Times New Roman"/>
          <w:sz w:val="24"/>
          <w:szCs w:val="24"/>
        </w:rPr>
        <w:t xml:space="preserve"> Lord Reed emphasised that it was the stability of the residence that was important, not whether it is of a permanent character.</w:t>
      </w:r>
      <w:r w:rsidRPr="00263C61">
        <w:rPr>
          <w:rStyle w:val="FootnoteReference"/>
          <w:rFonts w:ascii="Times New Roman" w:hAnsi="Times New Roman" w:cs="Times New Roman"/>
          <w:sz w:val="24"/>
          <w:szCs w:val="24"/>
        </w:rPr>
        <w:footnoteReference w:id="20"/>
      </w:r>
      <w:r w:rsidRPr="00263C61">
        <w:rPr>
          <w:rFonts w:ascii="Times New Roman" w:hAnsi="Times New Roman" w:cs="Times New Roman"/>
          <w:sz w:val="24"/>
          <w:szCs w:val="24"/>
        </w:rPr>
        <w:t xml:space="preserve"> In the subsequent case of </w:t>
      </w:r>
      <w:r w:rsidRPr="00263C61">
        <w:rPr>
          <w:rFonts w:ascii="Times New Roman" w:hAnsi="Times New Roman" w:cs="Times New Roman"/>
          <w:i/>
          <w:iCs/>
          <w:sz w:val="24"/>
          <w:szCs w:val="24"/>
        </w:rPr>
        <w:t>In the matter of B (A Child)</w:t>
      </w:r>
      <w:r w:rsidRPr="00263C61">
        <w:rPr>
          <w:rStyle w:val="FootnoteReference"/>
          <w:rFonts w:ascii="Times New Roman" w:hAnsi="Times New Roman" w:cs="Times New Roman"/>
          <w:i/>
          <w:iCs/>
          <w:sz w:val="24"/>
          <w:szCs w:val="24"/>
        </w:rPr>
        <w:footnoteReference w:id="21"/>
      </w:r>
      <w:r w:rsidRPr="00263C61">
        <w:rPr>
          <w:rFonts w:ascii="Times New Roman" w:hAnsi="Times New Roman" w:cs="Times New Roman"/>
          <w:sz w:val="24"/>
          <w:szCs w:val="24"/>
        </w:rPr>
        <w:t xml:space="preserve"> Lord Wilson addressed the issue of the loss of one habitual residence and the acquisition of another.</w:t>
      </w:r>
      <w:r w:rsidRPr="00263C61">
        <w:rPr>
          <w:rStyle w:val="FootnoteReference"/>
          <w:rFonts w:ascii="Times New Roman" w:hAnsi="Times New Roman" w:cs="Times New Roman"/>
          <w:sz w:val="24"/>
          <w:szCs w:val="24"/>
        </w:rPr>
        <w:footnoteReference w:id="22"/>
      </w:r>
    </w:p>
    <w:p w14:paraId="245A2C51" w14:textId="77777777" w:rsidR="00020CE8" w:rsidRPr="00263C61" w:rsidRDefault="00020CE8" w:rsidP="00F934F9">
      <w:pPr>
        <w:spacing w:line="276" w:lineRule="auto"/>
        <w:jc w:val="both"/>
        <w:rPr>
          <w:rFonts w:ascii="Times New Roman" w:hAnsi="Times New Roman" w:cs="Times New Roman"/>
          <w:sz w:val="24"/>
          <w:szCs w:val="24"/>
        </w:rPr>
      </w:pPr>
      <w:r w:rsidRPr="00263C61">
        <w:rPr>
          <w:rFonts w:ascii="Times New Roman" w:hAnsi="Times New Roman" w:cs="Times New Roman"/>
          <w:sz w:val="24"/>
          <w:szCs w:val="24"/>
        </w:rPr>
        <w:t xml:space="preserve">The approach to habitual residence adopted by the CJEU and endorsed and supplemented by the UK Supreme Court has been followed consistently by the Scottish courts, for example in the Court of Session (Outer House) decisions in </w:t>
      </w:r>
      <w:r w:rsidRPr="00263C61">
        <w:rPr>
          <w:rFonts w:ascii="Times New Roman" w:hAnsi="Times New Roman" w:cs="Times New Roman"/>
          <w:i/>
          <w:iCs/>
          <w:sz w:val="24"/>
          <w:szCs w:val="24"/>
        </w:rPr>
        <w:t>NN v HN</w:t>
      </w:r>
      <w:r w:rsidRPr="00263C61">
        <w:rPr>
          <w:rStyle w:val="FootnoteReference"/>
          <w:rFonts w:ascii="Times New Roman" w:hAnsi="Times New Roman" w:cs="Times New Roman"/>
          <w:sz w:val="24"/>
          <w:szCs w:val="24"/>
        </w:rPr>
        <w:footnoteReference w:id="23"/>
      </w:r>
      <w:r w:rsidRPr="00263C61">
        <w:rPr>
          <w:rFonts w:ascii="Times New Roman" w:hAnsi="Times New Roman" w:cs="Times New Roman"/>
          <w:sz w:val="24"/>
          <w:szCs w:val="24"/>
        </w:rPr>
        <w:t xml:space="preserve">; </w:t>
      </w:r>
      <w:r w:rsidRPr="00263C61">
        <w:rPr>
          <w:rFonts w:ascii="Times New Roman" w:hAnsi="Times New Roman" w:cs="Times New Roman"/>
          <w:i/>
          <w:iCs/>
          <w:sz w:val="24"/>
          <w:szCs w:val="24"/>
        </w:rPr>
        <w:t>JK v SS</w:t>
      </w:r>
      <w:r w:rsidRPr="00263C61">
        <w:rPr>
          <w:rStyle w:val="FootnoteReference"/>
          <w:rFonts w:ascii="Times New Roman" w:hAnsi="Times New Roman" w:cs="Times New Roman"/>
          <w:sz w:val="24"/>
          <w:szCs w:val="24"/>
        </w:rPr>
        <w:footnoteReference w:id="24"/>
      </w:r>
      <w:r w:rsidRPr="00263C61">
        <w:rPr>
          <w:rFonts w:ascii="Times New Roman" w:hAnsi="Times New Roman" w:cs="Times New Roman"/>
          <w:sz w:val="24"/>
          <w:szCs w:val="24"/>
        </w:rPr>
        <w:t xml:space="preserve">; </w:t>
      </w:r>
      <w:r w:rsidRPr="00263C61">
        <w:rPr>
          <w:rFonts w:ascii="Times New Roman" w:hAnsi="Times New Roman" w:cs="Times New Roman"/>
          <w:i/>
          <w:iCs/>
          <w:sz w:val="24"/>
          <w:szCs w:val="24"/>
        </w:rPr>
        <w:t>JP v AR</w:t>
      </w:r>
      <w:r w:rsidRPr="00263C61">
        <w:rPr>
          <w:rStyle w:val="FootnoteReference"/>
          <w:rFonts w:ascii="Times New Roman" w:hAnsi="Times New Roman" w:cs="Times New Roman"/>
          <w:sz w:val="24"/>
          <w:szCs w:val="24"/>
        </w:rPr>
        <w:footnoteReference w:id="25"/>
      </w:r>
      <w:r w:rsidRPr="00263C61">
        <w:rPr>
          <w:rFonts w:ascii="Times New Roman" w:hAnsi="Times New Roman" w:cs="Times New Roman"/>
          <w:sz w:val="24"/>
          <w:szCs w:val="24"/>
        </w:rPr>
        <w:t xml:space="preserve">; </w:t>
      </w:r>
      <w:r w:rsidRPr="00263C61">
        <w:rPr>
          <w:rFonts w:ascii="Times New Roman" w:hAnsi="Times New Roman" w:cs="Times New Roman"/>
          <w:i/>
          <w:iCs/>
          <w:sz w:val="24"/>
          <w:szCs w:val="24"/>
        </w:rPr>
        <w:t>L v H</w:t>
      </w:r>
      <w:r w:rsidRPr="00263C61">
        <w:rPr>
          <w:rStyle w:val="FootnoteReference"/>
          <w:rFonts w:ascii="Times New Roman" w:hAnsi="Times New Roman" w:cs="Times New Roman"/>
          <w:sz w:val="24"/>
          <w:szCs w:val="24"/>
        </w:rPr>
        <w:footnoteReference w:id="26"/>
      </w:r>
      <w:r w:rsidRPr="00263C61">
        <w:rPr>
          <w:rFonts w:ascii="Times New Roman" w:hAnsi="Times New Roman" w:cs="Times New Roman"/>
          <w:sz w:val="24"/>
          <w:szCs w:val="24"/>
        </w:rPr>
        <w:t>; F v M</w:t>
      </w:r>
      <w:r w:rsidRPr="00263C61">
        <w:rPr>
          <w:rStyle w:val="FootnoteReference"/>
          <w:rFonts w:ascii="Times New Roman" w:hAnsi="Times New Roman" w:cs="Times New Roman"/>
          <w:sz w:val="24"/>
          <w:szCs w:val="24"/>
        </w:rPr>
        <w:footnoteReference w:id="27"/>
      </w:r>
      <w:r w:rsidRPr="00263C61">
        <w:rPr>
          <w:rFonts w:ascii="Times New Roman" w:hAnsi="Times New Roman" w:cs="Times New Roman"/>
          <w:sz w:val="24"/>
          <w:szCs w:val="24"/>
        </w:rPr>
        <w:t xml:space="preserve">; and </w:t>
      </w:r>
      <w:r w:rsidRPr="00263C61">
        <w:rPr>
          <w:rFonts w:ascii="Times New Roman" w:hAnsi="Times New Roman" w:cs="Times New Roman"/>
          <w:i/>
          <w:iCs/>
          <w:sz w:val="24"/>
          <w:szCs w:val="24"/>
        </w:rPr>
        <w:t>BW, Petitioner</w:t>
      </w:r>
      <w:r w:rsidRPr="00263C61">
        <w:rPr>
          <w:rStyle w:val="FootnoteReference"/>
          <w:rFonts w:ascii="Times New Roman" w:hAnsi="Times New Roman" w:cs="Times New Roman"/>
          <w:sz w:val="24"/>
          <w:szCs w:val="24"/>
        </w:rPr>
        <w:footnoteReference w:id="28"/>
      </w:r>
      <w:r w:rsidRPr="00263C61">
        <w:rPr>
          <w:rFonts w:ascii="Times New Roman" w:hAnsi="Times New Roman" w:cs="Times New Roman"/>
          <w:sz w:val="24"/>
          <w:szCs w:val="24"/>
        </w:rPr>
        <w:t>.</w:t>
      </w:r>
    </w:p>
    <w:p w14:paraId="3262D886" w14:textId="77777777" w:rsidR="00020CE8" w:rsidRPr="00F934F9" w:rsidRDefault="00020CE8" w:rsidP="00F934F9">
      <w:pPr>
        <w:spacing w:line="276" w:lineRule="auto"/>
        <w:jc w:val="both"/>
        <w:rPr>
          <w:rFonts w:ascii="Times New Roman" w:hAnsi="Times New Roman" w:cs="Times New Roman"/>
          <w:sz w:val="24"/>
          <w:szCs w:val="24"/>
        </w:rPr>
      </w:pPr>
      <w:r w:rsidRPr="00263C61">
        <w:rPr>
          <w:rFonts w:ascii="Times New Roman" w:hAnsi="Times New Roman" w:cs="Times New Roman"/>
          <w:sz w:val="24"/>
          <w:szCs w:val="24"/>
        </w:rPr>
        <w:t xml:space="preserve">The fact that the UK approach to habitual residence originated in EU law raises the question whether and, if so, to what extent </w:t>
      </w:r>
      <w:r w:rsidRPr="00263C61">
        <w:rPr>
          <w:rFonts w:ascii="Times New Roman" w:hAnsi="Times New Roman" w:cs="Times New Roman"/>
          <w:iCs/>
          <w:sz w:val="24"/>
          <w:szCs w:val="24"/>
        </w:rPr>
        <w:t>the Supreme Court may depart from its previous case law that embedded the CJEU concept into UK domestic law. The EU (Withdrawal) Act 2018 states that w</w:t>
      </w:r>
      <w:r w:rsidRPr="00263C61">
        <w:rPr>
          <w:rFonts w:ascii="Times New Roman" w:hAnsi="Times New Roman" w:cs="Times New Roman"/>
          <w:sz w:val="24"/>
          <w:szCs w:val="24"/>
        </w:rPr>
        <w:t xml:space="preserve">hen deciding whether to depart from retained EU case law, the Supreme Court ‘must apply the same test </w:t>
      </w:r>
      <w:r w:rsidRPr="00263C61">
        <w:rPr>
          <w:rFonts w:ascii="Times New Roman" w:hAnsi="Times New Roman" w:cs="Times New Roman"/>
          <w:color w:val="000000"/>
          <w:sz w:val="24"/>
          <w:szCs w:val="24"/>
          <w:shd w:val="clear" w:color="auto" w:fill="FFFFFF"/>
        </w:rPr>
        <w:t>as it would apply in deciding whether to depart from its own case law’.</w:t>
      </w:r>
      <w:r w:rsidRPr="00263C61">
        <w:rPr>
          <w:rStyle w:val="FootnoteReference"/>
          <w:rFonts w:ascii="Times New Roman" w:hAnsi="Times New Roman" w:cs="Times New Roman"/>
          <w:color w:val="000000"/>
          <w:sz w:val="24"/>
          <w:szCs w:val="24"/>
          <w:shd w:val="clear" w:color="auto" w:fill="FFFFFF"/>
        </w:rPr>
        <w:footnoteReference w:id="29"/>
      </w:r>
      <w:r w:rsidRPr="00263C61">
        <w:rPr>
          <w:rFonts w:ascii="Times New Roman" w:hAnsi="Times New Roman" w:cs="Times New Roman"/>
          <w:color w:val="000000"/>
          <w:sz w:val="24"/>
          <w:szCs w:val="24"/>
          <w:shd w:val="clear" w:color="auto" w:fill="FFFFFF"/>
        </w:rPr>
        <w:t xml:space="preserve"> </w:t>
      </w:r>
      <w:r w:rsidRPr="00263C61">
        <w:rPr>
          <w:rFonts w:ascii="Times New Roman" w:hAnsi="Times New Roman" w:cs="Times New Roman"/>
          <w:sz w:val="24"/>
          <w:szCs w:val="24"/>
        </w:rPr>
        <w:t xml:space="preserve">To give an idea in what circumstances this may happen, in a 2020 case of </w:t>
      </w:r>
      <w:r w:rsidRPr="00263C61">
        <w:rPr>
          <w:rFonts w:ascii="Times New Roman" w:hAnsi="Times New Roman" w:cs="Times New Roman"/>
          <w:i/>
          <w:iCs/>
          <w:sz w:val="24"/>
          <w:szCs w:val="24"/>
        </w:rPr>
        <w:t>Peninsula Securities Ltd</w:t>
      </w:r>
      <w:r w:rsidRPr="00263C61">
        <w:rPr>
          <w:rFonts w:ascii="Times New Roman" w:hAnsi="Times New Roman" w:cs="Times New Roman"/>
          <w:sz w:val="24"/>
          <w:szCs w:val="24"/>
        </w:rPr>
        <w:t>, the Supreme Court held that it will only depart from earlier decisions ‘rarely and sparingly’ and ‘with a high degree of caution’ because a ‘sudden change in the law is likely to destabilise it’.</w:t>
      </w:r>
      <w:r w:rsidRPr="00263C61">
        <w:rPr>
          <w:rStyle w:val="FootnoteReference"/>
          <w:rFonts w:ascii="Times New Roman" w:hAnsi="Times New Roman" w:cs="Times New Roman"/>
          <w:sz w:val="24"/>
          <w:szCs w:val="24"/>
        </w:rPr>
        <w:footnoteReference w:id="30"/>
      </w:r>
      <w:r w:rsidRPr="00263C61">
        <w:rPr>
          <w:rFonts w:ascii="Times New Roman" w:hAnsi="Times New Roman" w:cs="Times New Roman"/>
          <w:sz w:val="24"/>
          <w:szCs w:val="24"/>
        </w:rPr>
        <w:t xml:space="preserve"> Considering this dictum, it is expected that the Supreme Court will be setting a high threshold to depart from retained EU case law. Also, considering the extensive influence of the CJEU interpretation of habitual residence as well as the attention paid by the Supreme Court to international coherence, </w:t>
      </w:r>
      <w:r w:rsidRPr="00263C61">
        <w:rPr>
          <w:rFonts w:ascii="Times New Roman" w:hAnsi="Times New Roman" w:cs="Times New Roman"/>
          <w:iCs/>
          <w:sz w:val="24"/>
          <w:szCs w:val="24"/>
        </w:rPr>
        <w:t>it seems unlikely that the SC will readil</w:t>
      </w:r>
      <w:r w:rsidRPr="00F934F9">
        <w:rPr>
          <w:rFonts w:ascii="Times New Roman" w:hAnsi="Times New Roman" w:cs="Times New Roman"/>
          <w:iCs/>
          <w:sz w:val="24"/>
          <w:szCs w:val="24"/>
        </w:rPr>
        <w:t xml:space="preserve">y depart from its previous precedent. Indeed, post-Brexit child abduction case-law thus far does not show any signs of deviation from the pre-Brexit approach to HR of a child. Looking into the future, it is even </w:t>
      </w:r>
      <w:r w:rsidRPr="00F934F9">
        <w:rPr>
          <w:rFonts w:ascii="Times New Roman" w:hAnsi="Times New Roman" w:cs="Times New Roman"/>
          <w:iCs/>
          <w:sz w:val="24"/>
          <w:szCs w:val="24"/>
        </w:rPr>
        <w:lastRenderedPageBreak/>
        <w:t xml:space="preserve">possible that the SC will ‘have regard’ to future CJEU decisions on HR, as authorised by section 6(2) of the Withdrawal Act. </w:t>
      </w:r>
    </w:p>
    <w:p w14:paraId="15194FE5" w14:textId="5EFE969B" w:rsidR="00020CE8" w:rsidRPr="00F934F9" w:rsidRDefault="00BE41C7"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C</w:t>
      </w:r>
      <w:r w:rsidR="00020CE8" w:rsidRPr="00F934F9">
        <w:rPr>
          <w:rStyle w:val="IntenseEmphasis"/>
          <w:rFonts w:ascii="Times New Roman" w:hAnsi="Times New Roman" w:cs="Times New Roman"/>
          <w:b/>
          <w:bCs/>
          <w:sz w:val="24"/>
          <w:szCs w:val="24"/>
        </w:rPr>
        <w:t xml:space="preserve">onsequences in practice of Brexit for international child abduction cases </w:t>
      </w:r>
    </w:p>
    <w:p w14:paraId="071AB50C" w14:textId="77777777" w:rsidR="00020CE8" w:rsidRPr="00F934F9" w:rsidRDefault="00020CE8" w:rsidP="00F934F9">
      <w:pPr>
        <w:spacing w:before="240"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This question can be addressed with reference to several separate points, distinguishing between provisions that can be considered as being missed and those that, for various reasons, are considered as not being missed. This section begins with the latter.  </w:t>
      </w:r>
    </w:p>
    <w:p w14:paraId="26A05152" w14:textId="77777777" w:rsidR="00020CE8" w:rsidRPr="00F934F9" w:rsidRDefault="00020CE8" w:rsidP="00F934F9">
      <w:pPr>
        <w:spacing w:before="240" w:line="276" w:lineRule="auto"/>
        <w:jc w:val="both"/>
        <w:rPr>
          <w:rFonts w:ascii="Times New Roman" w:hAnsi="Times New Roman" w:cs="Times New Roman"/>
          <w:sz w:val="24"/>
          <w:szCs w:val="24"/>
          <w:u w:val="single"/>
        </w:rPr>
      </w:pPr>
      <w:r w:rsidRPr="00F934F9">
        <w:rPr>
          <w:rFonts w:ascii="Times New Roman" w:hAnsi="Times New Roman" w:cs="Times New Roman"/>
          <w:sz w:val="24"/>
          <w:szCs w:val="24"/>
          <w:u w:val="single"/>
        </w:rPr>
        <w:t>First, the position following the refusal to return (the so-called override or second-hand procedure)</w:t>
      </w:r>
    </w:p>
    <w:p w14:paraId="6F5C86F6" w14:textId="77777777" w:rsidR="00020CE8" w:rsidRPr="00F934F9" w:rsidRDefault="00020CE8" w:rsidP="00F934F9">
      <w:pPr>
        <w:spacing w:before="240" w:line="276" w:lineRule="auto"/>
        <w:jc w:val="both"/>
        <w:rPr>
          <w:rFonts w:ascii="Times New Roman" w:hAnsi="Times New Roman" w:cs="Times New Roman"/>
          <w:sz w:val="24"/>
          <w:szCs w:val="24"/>
        </w:rPr>
      </w:pPr>
      <w:r w:rsidRPr="00F934F9">
        <w:rPr>
          <w:rFonts w:ascii="Times New Roman" w:hAnsi="Times New Roman" w:cs="Times New Roman"/>
          <w:sz w:val="24"/>
          <w:szCs w:val="24"/>
        </w:rPr>
        <w:t>The so called ‘override procedure’ established by Article 11(6)-(8) of Brussels II</w:t>
      </w:r>
      <w:r w:rsidRPr="00F934F9">
        <w:rPr>
          <w:rFonts w:ascii="Times New Roman" w:hAnsi="Times New Roman" w:cs="Times New Roman"/>
          <w:i/>
          <w:iCs/>
          <w:sz w:val="24"/>
          <w:szCs w:val="24"/>
        </w:rPr>
        <w:t>bis</w:t>
      </w:r>
      <w:r w:rsidRPr="00F934F9">
        <w:rPr>
          <w:rFonts w:ascii="Times New Roman" w:hAnsi="Times New Roman" w:cs="Times New Roman"/>
          <w:sz w:val="24"/>
          <w:szCs w:val="24"/>
        </w:rPr>
        <w:t xml:space="preserve"> allowed the courts of the requesting State to review and essentially ‘trump’ a non-return order issued by the requested court pursuant to Article 13 of the 1980 Convention. It is now embodied in Article 29 of the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Regulation. Research conducted in the UK prior to Brexit found the ‘override procedure’ under-utilised and confusing, whilst extending the period of uncertainty for the child and increasing hostility between the parents.</w:t>
      </w:r>
      <w:r w:rsidRPr="00F934F9">
        <w:rPr>
          <w:rStyle w:val="FootnoteReference"/>
          <w:rFonts w:ascii="Times New Roman" w:hAnsi="Times New Roman" w:cs="Times New Roman"/>
          <w:sz w:val="24"/>
          <w:szCs w:val="24"/>
        </w:rPr>
        <w:footnoteReference w:id="31"/>
      </w:r>
      <w:r w:rsidRPr="00F934F9">
        <w:rPr>
          <w:rFonts w:ascii="Times New Roman" w:hAnsi="Times New Roman" w:cs="Times New Roman"/>
          <w:i/>
          <w:iCs/>
          <w:sz w:val="24"/>
          <w:szCs w:val="24"/>
        </w:rPr>
        <w:t xml:space="preserve"> </w:t>
      </w:r>
      <w:r w:rsidRPr="00F934F9">
        <w:rPr>
          <w:rFonts w:ascii="Times New Roman" w:hAnsi="Times New Roman" w:cs="Times New Roman"/>
          <w:sz w:val="24"/>
          <w:szCs w:val="24"/>
        </w:rPr>
        <w:t>As the Hague regime contains no such ‘override’ mechanism, it can be said that Brexit allowed the UK courts to abandon this, as perceived, inefficient procedure, which, despite calls to be scrapped, has been retained in the Brussels IIt</w:t>
      </w:r>
      <w:r w:rsidRPr="00F934F9">
        <w:rPr>
          <w:rFonts w:ascii="Times New Roman" w:hAnsi="Times New Roman" w:cs="Times New Roman"/>
          <w:i/>
          <w:iCs/>
          <w:sz w:val="24"/>
          <w:szCs w:val="24"/>
        </w:rPr>
        <w:t xml:space="preserve">er </w:t>
      </w:r>
      <w:r w:rsidRPr="00F934F9">
        <w:rPr>
          <w:rFonts w:ascii="Times New Roman" w:hAnsi="Times New Roman" w:cs="Times New Roman"/>
          <w:sz w:val="24"/>
          <w:szCs w:val="24"/>
        </w:rPr>
        <w:t>Regulation.</w:t>
      </w:r>
      <w:r w:rsidRPr="00F934F9">
        <w:rPr>
          <w:rStyle w:val="FootnoteReference"/>
          <w:rFonts w:ascii="Times New Roman" w:hAnsi="Times New Roman" w:cs="Times New Roman"/>
          <w:sz w:val="24"/>
          <w:szCs w:val="24"/>
        </w:rPr>
        <w:footnoteReference w:id="32"/>
      </w:r>
      <w:r w:rsidRPr="00F934F9">
        <w:rPr>
          <w:rFonts w:ascii="Times New Roman" w:hAnsi="Times New Roman" w:cs="Times New Roman"/>
          <w:sz w:val="24"/>
          <w:szCs w:val="24"/>
        </w:rPr>
        <w:t xml:space="preserve"> </w:t>
      </w:r>
    </w:p>
    <w:p w14:paraId="4BB272D8" w14:textId="77777777" w:rsidR="00020CE8" w:rsidRPr="00F934F9" w:rsidRDefault="00020CE8" w:rsidP="00F934F9">
      <w:pPr>
        <w:spacing w:before="240"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The second point to be touched on is </w:t>
      </w:r>
      <w:r w:rsidRPr="00F934F9">
        <w:rPr>
          <w:rFonts w:ascii="Times New Roman" w:hAnsi="Times New Roman" w:cs="Times New Roman"/>
          <w:sz w:val="24"/>
          <w:szCs w:val="24"/>
          <w:u w:val="single"/>
        </w:rPr>
        <w:t>the hearing of the child in return proceedings</w:t>
      </w:r>
      <w:r w:rsidRPr="00F934F9">
        <w:rPr>
          <w:rFonts w:ascii="Times New Roman" w:hAnsi="Times New Roman" w:cs="Times New Roman"/>
          <w:sz w:val="24"/>
          <w:szCs w:val="24"/>
        </w:rPr>
        <w:t>. The Brussels II</w:t>
      </w:r>
      <w:r w:rsidRPr="00F934F9">
        <w:rPr>
          <w:rFonts w:ascii="Times New Roman" w:hAnsi="Times New Roman" w:cs="Times New Roman"/>
          <w:i/>
          <w:iCs/>
          <w:sz w:val="24"/>
          <w:szCs w:val="24"/>
        </w:rPr>
        <w:t xml:space="preserve">ter </w:t>
      </w:r>
      <w:r w:rsidRPr="00F934F9">
        <w:rPr>
          <w:rFonts w:ascii="Times New Roman" w:hAnsi="Times New Roman" w:cs="Times New Roman"/>
          <w:sz w:val="24"/>
          <w:szCs w:val="24"/>
        </w:rPr>
        <w:t>Regulation imposes on the courts the obligation to examine the child’s wishes in all return proceedings - regardless of which exceptions to return have been raised by the abducting parent.</w:t>
      </w:r>
      <w:r w:rsidRPr="00F934F9">
        <w:rPr>
          <w:rStyle w:val="FootnoteReference"/>
          <w:rFonts w:ascii="Times New Roman" w:hAnsi="Times New Roman" w:cs="Times New Roman"/>
          <w:sz w:val="24"/>
          <w:szCs w:val="24"/>
        </w:rPr>
        <w:footnoteReference w:id="33"/>
      </w:r>
      <w:r w:rsidRPr="00F934F9">
        <w:rPr>
          <w:rFonts w:ascii="Times New Roman" w:hAnsi="Times New Roman" w:cs="Times New Roman"/>
          <w:sz w:val="24"/>
          <w:szCs w:val="24"/>
        </w:rPr>
        <w:t xml:space="preserve"> The principle of a mandatory hearing of the child represents an expansion on the Convention obligation to hear the child in those abduction cases where the child’s objections defence has been raised by the abducting parent.</w:t>
      </w:r>
      <w:r w:rsidRPr="00F934F9">
        <w:rPr>
          <w:rStyle w:val="FootnoteReference"/>
          <w:rFonts w:ascii="Times New Roman" w:hAnsi="Times New Roman" w:cs="Times New Roman"/>
          <w:sz w:val="24"/>
          <w:szCs w:val="24"/>
        </w:rPr>
        <w:footnoteReference w:id="34"/>
      </w:r>
      <w:r w:rsidRPr="00F934F9">
        <w:rPr>
          <w:rFonts w:ascii="Times New Roman" w:hAnsi="Times New Roman" w:cs="Times New Roman"/>
          <w:sz w:val="24"/>
          <w:szCs w:val="24"/>
        </w:rPr>
        <w:t xml:space="preserve"> Nevertheless, back in 2006, in the case of </w:t>
      </w:r>
      <w:r w:rsidRPr="00F934F9">
        <w:rPr>
          <w:rFonts w:ascii="Times New Roman" w:hAnsi="Times New Roman" w:cs="Times New Roman"/>
          <w:i/>
          <w:iCs/>
          <w:sz w:val="24"/>
          <w:szCs w:val="24"/>
        </w:rPr>
        <w:t>Re D (A Child) (Abduction: Rights of Custody)</w:t>
      </w:r>
      <w:r w:rsidRPr="00F934F9">
        <w:rPr>
          <w:rStyle w:val="FootnoteReference"/>
          <w:rFonts w:ascii="Times New Roman" w:hAnsi="Times New Roman" w:cs="Times New Roman"/>
          <w:sz w:val="24"/>
          <w:szCs w:val="24"/>
        </w:rPr>
        <w:footnoteReference w:id="35"/>
      </w:r>
      <w:r w:rsidRPr="00F934F9">
        <w:rPr>
          <w:rFonts w:ascii="Times New Roman" w:hAnsi="Times New Roman" w:cs="Times New Roman"/>
          <w:sz w:val="24"/>
          <w:szCs w:val="24"/>
        </w:rPr>
        <w:t xml:space="preserve">, the UK Supreme Court held that the principle of the mandatory hearing of the child in return proceedings was of ‘universal application’ and, </w:t>
      </w:r>
      <w:r w:rsidRPr="00F934F9">
        <w:rPr>
          <w:rFonts w:ascii="Times New Roman" w:hAnsi="Times New Roman" w:cs="Times New Roman"/>
          <w:sz w:val="24"/>
          <w:szCs w:val="24"/>
        </w:rPr>
        <w:lastRenderedPageBreak/>
        <w:t xml:space="preserve">as such, was applicable in every 1980 Hague Abduction Convention case. Since then, children have been routinely heard in return proceedings involving both EU and non-EU States, and this practice has not changed as a consequence of Brexit. Quite the contrary. It appears that there has been an ever-increasing emphasis on children’s rights, including the right of the child to be heard in the UK courts. In Scotland, for example, this trend has culminated in the United Nations Convention on the Rights of the Child (‘UNCRC’) being directly incorporated into domestic law. In August 2020, the Children (Scotland) Act 2020 was passed by the Scottish Parliament and received Royal Assent on 1 October 2020. The Act brings the law further into line with children’s rights under the UNCRC </w:t>
      </w:r>
      <w:r w:rsidRPr="00F934F9">
        <w:rPr>
          <w:rFonts w:ascii="Times New Roman" w:hAnsi="Times New Roman" w:cs="Times New Roman"/>
          <w:i/>
          <w:iCs/>
          <w:sz w:val="24"/>
          <w:szCs w:val="24"/>
        </w:rPr>
        <w:t>inter alia</w:t>
      </w:r>
      <w:r w:rsidRPr="00F934F9">
        <w:rPr>
          <w:rFonts w:ascii="Times New Roman" w:hAnsi="Times New Roman" w:cs="Times New Roman"/>
          <w:sz w:val="24"/>
          <w:szCs w:val="24"/>
        </w:rPr>
        <w:t xml:space="preserve"> by making sure children’s views are heard in family court cases and children’s hearings and the best interests of children are at centre of those cases.</w:t>
      </w:r>
      <w:r w:rsidRPr="00F934F9">
        <w:rPr>
          <w:rStyle w:val="FootnoteReference"/>
          <w:rFonts w:ascii="Times New Roman" w:hAnsi="Times New Roman" w:cs="Times New Roman"/>
          <w:sz w:val="24"/>
          <w:szCs w:val="24"/>
        </w:rPr>
        <w:footnoteReference w:id="36"/>
      </w:r>
      <w:r w:rsidRPr="00F934F9">
        <w:rPr>
          <w:rFonts w:ascii="Times New Roman" w:hAnsi="Times New Roman" w:cs="Times New Roman"/>
          <w:sz w:val="24"/>
          <w:szCs w:val="24"/>
        </w:rPr>
        <w:t xml:space="preserve"> Nevertheless, the Act has not been fully implemented yet as more time is needed to implement the various areas of the Act.</w:t>
      </w:r>
      <w:r w:rsidRPr="00F934F9">
        <w:rPr>
          <w:rStyle w:val="FootnoteReference"/>
          <w:rFonts w:ascii="Times New Roman" w:hAnsi="Times New Roman" w:cs="Times New Roman"/>
          <w:sz w:val="24"/>
          <w:szCs w:val="24"/>
        </w:rPr>
        <w:footnoteReference w:id="37"/>
      </w:r>
    </w:p>
    <w:p w14:paraId="17EC9C77" w14:textId="77777777" w:rsidR="00020CE8" w:rsidRPr="00F934F9" w:rsidRDefault="00020CE8"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The third point is </w:t>
      </w:r>
      <w:r w:rsidRPr="00F934F9">
        <w:rPr>
          <w:rFonts w:ascii="Times New Roman" w:hAnsi="Times New Roman" w:cs="Times New Roman"/>
          <w:sz w:val="24"/>
          <w:szCs w:val="24"/>
          <w:u w:val="single"/>
        </w:rPr>
        <w:t>the application of the grave risk of harm defence (Art 13(1)(b) of the 1980 Convention).</w:t>
      </w:r>
      <w:r w:rsidRPr="00F934F9">
        <w:rPr>
          <w:rStyle w:val="FootnoteReference"/>
          <w:rFonts w:ascii="Times New Roman" w:hAnsi="Times New Roman" w:cs="Times New Roman"/>
          <w:sz w:val="24"/>
          <w:szCs w:val="24"/>
        </w:rPr>
        <w:footnoteReference w:id="38"/>
      </w:r>
      <w:r w:rsidRPr="00F934F9">
        <w:rPr>
          <w:rFonts w:ascii="Times New Roman" w:hAnsi="Times New Roman" w:cs="Times New Roman"/>
          <w:sz w:val="24"/>
          <w:szCs w:val="24"/>
        </w:rPr>
        <w:t xml:space="preserve"> Article 11(4) of the Brussels II</w:t>
      </w:r>
      <w:r w:rsidRPr="00F934F9">
        <w:rPr>
          <w:rFonts w:ascii="Times New Roman" w:hAnsi="Times New Roman" w:cs="Times New Roman"/>
          <w:i/>
          <w:iCs/>
          <w:sz w:val="24"/>
          <w:szCs w:val="24"/>
        </w:rPr>
        <w:t>bis</w:t>
      </w:r>
      <w:r w:rsidRPr="00F934F9">
        <w:rPr>
          <w:rFonts w:ascii="Times New Roman" w:hAnsi="Times New Roman" w:cs="Times New Roman"/>
          <w:sz w:val="24"/>
          <w:szCs w:val="24"/>
        </w:rPr>
        <w:t xml:space="preserve"> Regulation (now Article 27(3) of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instructed courts not to refuse the return of a child on the basis of the grave risk of harm defence if it is established that adequate arrangements have been made to secure the protection of the child after his or her return. </w:t>
      </w:r>
    </w:p>
    <w:p w14:paraId="6B3B4C75" w14:textId="77777777" w:rsidR="00020CE8" w:rsidRPr="00F934F9" w:rsidRDefault="00020CE8"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This approach is deeply entrenched in the UK courts’ child abduction jurisprudence but not only as a consequence of Article 11(4) of the Brussels II</w:t>
      </w:r>
      <w:r w:rsidRPr="00F934F9">
        <w:rPr>
          <w:rFonts w:ascii="Times New Roman" w:hAnsi="Times New Roman" w:cs="Times New Roman"/>
          <w:i/>
          <w:iCs/>
          <w:sz w:val="24"/>
          <w:szCs w:val="24"/>
        </w:rPr>
        <w:t xml:space="preserve">bis </w:t>
      </w:r>
      <w:r w:rsidRPr="00F934F9">
        <w:rPr>
          <w:rFonts w:ascii="Times New Roman" w:hAnsi="Times New Roman" w:cs="Times New Roman"/>
          <w:sz w:val="24"/>
          <w:szCs w:val="24"/>
        </w:rPr>
        <w:t>Regulation but also as a result of earlier case-law that had seen UK courts inquiring into the existence of effective protective measures as a prerequisite for making a return order.</w:t>
      </w:r>
      <w:r w:rsidRPr="00F934F9">
        <w:rPr>
          <w:rStyle w:val="FootnoteReference"/>
          <w:rFonts w:ascii="Times New Roman" w:hAnsi="Times New Roman" w:cs="Times New Roman"/>
          <w:sz w:val="24"/>
          <w:szCs w:val="24"/>
        </w:rPr>
        <w:footnoteReference w:id="39"/>
      </w:r>
      <w:r w:rsidRPr="00F934F9">
        <w:rPr>
          <w:rFonts w:ascii="Times New Roman" w:hAnsi="Times New Roman" w:cs="Times New Roman"/>
          <w:sz w:val="24"/>
          <w:szCs w:val="24"/>
        </w:rPr>
        <w:t xml:space="preserve"> Consequently, as in the UK the ‘Article 11(4) approach’ effectively pre-dated the Regulation, no changes in the application of the grave risk of harm defence have occurred post-Brexit in this respect.</w:t>
      </w:r>
    </w:p>
    <w:p w14:paraId="5CF10C6E" w14:textId="77777777" w:rsidR="00020CE8" w:rsidRPr="00F934F9" w:rsidRDefault="00020CE8"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Now moving on to the provisions of the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Regulation that, arguably, the UK is missing out on. First, it is in respect of </w:t>
      </w:r>
      <w:r w:rsidRPr="00F934F9">
        <w:rPr>
          <w:rFonts w:ascii="Times New Roman" w:hAnsi="Times New Roman" w:cs="Times New Roman"/>
          <w:sz w:val="24"/>
          <w:szCs w:val="24"/>
          <w:u w:val="single"/>
        </w:rPr>
        <w:t>the enforceability of protective measures issued in return proceedings</w:t>
      </w:r>
      <w:r w:rsidRPr="00F934F9">
        <w:rPr>
          <w:rFonts w:ascii="Times New Roman" w:hAnsi="Times New Roman" w:cs="Times New Roman"/>
          <w:sz w:val="24"/>
          <w:szCs w:val="24"/>
        </w:rPr>
        <w:t xml:space="preserve"> upon the return of the child and the abducting parent to the requesting State.</w:t>
      </w:r>
      <w:r w:rsidRPr="00F934F9">
        <w:rPr>
          <w:rStyle w:val="FootnoteReference"/>
          <w:rFonts w:ascii="Times New Roman" w:hAnsi="Times New Roman" w:cs="Times New Roman"/>
          <w:sz w:val="24"/>
          <w:szCs w:val="24"/>
        </w:rPr>
        <w:footnoteReference w:id="40"/>
      </w:r>
      <w:r w:rsidRPr="00F934F9">
        <w:rPr>
          <w:rFonts w:ascii="Times New Roman" w:hAnsi="Times New Roman" w:cs="Times New Roman"/>
          <w:sz w:val="24"/>
          <w:szCs w:val="24"/>
        </w:rPr>
        <w:t xml:space="preserve"> Unlike the original Brussels II</w:t>
      </w:r>
      <w:r w:rsidRPr="00F934F9">
        <w:rPr>
          <w:rFonts w:ascii="Times New Roman" w:hAnsi="Times New Roman" w:cs="Times New Roman"/>
          <w:i/>
          <w:iCs/>
          <w:sz w:val="24"/>
          <w:szCs w:val="24"/>
        </w:rPr>
        <w:t>bis</w:t>
      </w:r>
      <w:r w:rsidRPr="00F934F9">
        <w:rPr>
          <w:rFonts w:ascii="Times New Roman" w:hAnsi="Times New Roman" w:cs="Times New Roman"/>
          <w:sz w:val="24"/>
          <w:szCs w:val="24"/>
        </w:rPr>
        <w:t xml:space="preserve"> Regulation,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Regulation</w:t>
      </w:r>
      <w:r w:rsidRPr="00F934F9">
        <w:rPr>
          <w:rStyle w:val="FootnoteReference"/>
          <w:rFonts w:ascii="Times New Roman" w:hAnsi="Times New Roman" w:cs="Times New Roman"/>
          <w:sz w:val="24"/>
          <w:szCs w:val="24"/>
        </w:rPr>
        <w:footnoteReference w:id="41"/>
      </w:r>
      <w:r w:rsidRPr="00F934F9">
        <w:rPr>
          <w:rFonts w:ascii="Times New Roman" w:hAnsi="Times New Roman" w:cs="Times New Roman"/>
          <w:sz w:val="24"/>
          <w:szCs w:val="24"/>
        </w:rPr>
        <w:t xml:space="preserve"> encourages courts of Member States to order in return proceedings measures to protect the child from the grave risk of harm upon return, and such measures are now enforceable in the requesting State upon the child’s return.</w:t>
      </w:r>
      <w:r w:rsidRPr="00F934F9">
        <w:rPr>
          <w:rStyle w:val="FootnoteReference"/>
          <w:rFonts w:ascii="Times New Roman" w:hAnsi="Times New Roman" w:cs="Times New Roman"/>
          <w:sz w:val="24"/>
          <w:szCs w:val="24"/>
        </w:rPr>
        <w:footnoteReference w:id="42"/>
      </w:r>
      <w:r w:rsidRPr="00F934F9">
        <w:rPr>
          <w:rFonts w:ascii="Times New Roman" w:hAnsi="Times New Roman" w:cs="Times New Roman"/>
          <w:sz w:val="24"/>
          <w:szCs w:val="24"/>
        </w:rPr>
        <w:t xml:space="preserve"> It is argued here that this is an area where the UK would have benefitted from </w:t>
      </w:r>
      <w:r w:rsidRPr="00F934F9">
        <w:rPr>
          <w:rFonts w:ascii="Times New Roman" w:hAnsi="Times New Roman" w:cs="Times New Roman"/>
          <w:sz w:val="24"/>
          <w:szCs w:val="24"/>
        </w:rPr>
        <w:lastRenderedPageBreak/>
        <w:t>the revised Brussels II</w:t>
      </w:r>
      <w:r w:rsidRPr="00F934F9">
        <w:rPr>
          <w:rFonts w:ascii="Times New Roman" w:hAnsi="Times New Roman" w:cs="Times New Roman"/>
          <w:i/>
          <w:iCs/>
          <w:sz w:val="24"/>
          <w:szCs w:val="24"/>
        </w:rPr>
        <w:t xml:space="preserve">bis </w:t>
      </w:r>
      <w:r w:rsidRPr="00F934F9">
        <w:rPr>
          <w:rFonts w:ascii="Times New Roman" w:hAnsi="Times New Roman" w:cs="Times New Roman"/>
          <w:sz w:val="24"/>
          <w:szCs w:val="24"/>
        </w:rPr>
        <w:t>Regulation. In the absence of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the UK has to continue relying on the 1996 Hague Convention on Jurisdiction, Applicable Law, Recognition, Enforcement and Co-operation in respect of Parental Responsibility and Measures for the Protection of Children (‘1996 Hague Child Protection Convention’) as a basis for enforcing protective measures issued in return proceedings.</w:t>
      </w:r>
      <w:r w:rsidRPr="00F934F9">
        <w:rPr>
          <w:rStyle w:val="FootnoteReference"/>
          <w:rFonts w:ascii="Times New Roman" w:hAnsi="Times New Roman" w:cs="Times New Roman"/>
          <w:sz w:val="24"/>
          <w:szCs w:val="24"/>
        </w:rPr>
        <w:footnoteReference w:id="43"/>
      </w:r>
      <w:r w:rsidRPr="00F934F9">
        <w:rPr>
          <w:rFonts w:ascii="Times New Roman" w:hAnsi="Times New Roman" w:cs="Times New Roman"/>
          <w:sz w:val="24"/>
          <w:szCs w:val="24"/>
        </w:rPr>
        <w:t xml:space="preserve"> This is not ideal as the Convention recognition and enforcement procedure</w:t>
      </w:r>
      <w:r w:rsidRPr="00F934F9">
        <w:rPr>
          <w:rStyle w:val="FootnoteReference"/>
          <w:rFonts w:ascii="Times New Roman" w:hAnsi="Times New Roman" w:cs="Times New Roman"/>
          <w:sz w:val="24"/>
          <w:szCs w:val="24"/>
        </w:rPr>
        <w:footnoteReference w:id="44"/>
      </w:r>
      <w:r w:rsidRPr="00F934F9">
        <w:rPr>
          <w:rFonts w:ascii="Times New Roman" w:hAnsi="Times New Roman" w:cs="Times New Roman"/>
          <w:sz w:val="24"/>
          <w:szCs w:val="24"/>
        </w:rPr>
        <w:t xml:space="preserve"> is rather cumbersome. In particular, before a measure taken in one Contracting State can be enforced in another Contracting State, it has to be declared enforceable or registered for the purpose of enforcement in that other State.</w:t>
      </w:r>
      <w:r w:rsidRPr="00F934F9">
        <w:rPr>
          <w:rStyle w:val="FootnoteReference"/>
          <w:rFonts w:ascii="Times New Roman" w:hAnsi="Times New Roman" w:cs="Times New Roman"/>
          <w:sz w:val="24"/>
          <w:szCs w:val="24"/>
        </w:rPr>
        <w:footnoteReference w:id="45"/>
      </w:r>
      <w:r w:rsidRPr="00F934F9">
        <w:rPr>
          <w:rFonts w:ascii="Times New Roman" w:hAnsi="Times New Roman" w:cs="Times New Roman"/>
          <w:sz w:val="24"/>
          <w:szCs w:val="24"/>
        </w:rPr>
        <w:t xml:space="preserve"> The procedure is governed by national law, although the Convention stipulates that it should be ‘simple and rapid’.</w:t>
      </w:r>
      <w:r w:rsidRPr="00F934F9">
        <w:rPr>
          <w:rStyle w:val="FootnoteReference"/>
          <w:rFonts w:ascii="Times New Roman" w:hAnsi="Times New Roman" w:cs="Times New Roman"/>
          <w:sz w:val="24"/>
          <w:szCs w:val="24"/>
        </w:rPr>
        <w:footnoteReference w:id="46"/>
      </w:r>
      <w:r w:rsidRPr="00F934F9">
        <w:rPr>
          <w:rFonts w:ascii="Times New Roman" w:hAnsi="Times New Roman" w:cs="Times New Roman"/>
          <w:sz w:val="24"/>
          <w:szCs w:val="24"/>
        </w:rPr>
        <w:t xml:space="preserve"> The lack of uniformity in this respect is recognised as </w:t>
      </w:r>
      <w:r w:rsidRPr="00F934F9">
        <w:rPr>
          <w:rFonts w:ascii="Times New Roman" w:hAnsi="Times New Roman" w:cs="Times New Roman"/>
          <w:i/>
          <w:iCs/>
          <w:sz w:val="24"/>
          <w:szCs w:val="24"/>
        </w:rPr>
        <w:t>lex imperfecta</w:t>
      </w:r>
      <w:r w:rsidRPr="00F934F9">
        <w:rPr>
          <w:rFonts w:ascii="Times New Roman" w:hAnsi="Times New Roman" w:cs="Times New Roman"/>
          <w:sz w:val="24"/>
          <w:szCs w:val="24"/>
        </w:rPr>
        <w:t xml:space="preserve"> by Lagarde.</w:t>
      </w:r>
      <w:r w:rsidRPr="00F934F9">
        <w:rPr>
          <w:rStyle w:val="FootnoteReference"/>
          <w:rFonts w:ascii="Times New Roman" w:hAnsi="Times New Roman" w:cs="Times New Roman"/>
          <w:sz w:val="24"/>
          <w:szCs w:val="24"/>
        </w:rPr>
        <w:footnoteReference w:id="47"/>
      </w:r>
      <w:r w:rsidRPr="00F934F9">
        <w:rPr>
          <w:rFonts w:ascii="Times New Roman" w:hAnsi="Times New Roman" w:cs="Times New Roman"/>
          <w:sz w:val="24"/>
          <w:szCs w:val="24"/>
        </w:rPr>
        <w:t xml:space="preserve"> Moreover, the declaration of enforceability or registration may be refused, for the same reasons as recognition (set out in Article 23(2)).</w:t>
      </w:r>
      <w:r w:rsidRPr="00F934F9">
        <w:rPr>
          <w:rStyle w:val="FootnoteReference"/>
          <w:rFonts w:ascii="Times New Roman" w:hAnsi="Times New Roman" w:cs="Times New Roman"/>
          <w:sz w:val="24"/>
          <w:szCs w:val="24"/>
        </w:rPr>
        <w:footnoteReference w:id="48"/>
      </w:r>
      <w:r w:rsidRPr="00F934F9">
        <w:rPr>
          <w:rFonts w:ascii="Times New Roman" w:hAnsi="Times New Roman" w:cs="Times New Roman"/>
          <w:sz w:val="24"/>
          <w:szCs w:val="24"/>
        </w:rPr>
        <w:t xml:space="preserve"> In contrast, the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Regulation has abolished</w:t>
      </w:r>
      <w:r w:rsidRPr="00F934F9">
        <w:rPr>
          <w:rStyle w:val="FootnoteReference"/>
          <w:rFonts w:ascii="Times New Roman" w:hAnsi="Times New Roman" w:cs="Times New Roman"/>
          <w:sz w:val="24"/>
          <w:szCs w:val="24"/>
        </w:rPr>
        <w:footnoteReference w:id="49"/>
      </w:r>
      <w:r w:rsidRPr="00F934F9">
        <w:rPr>
          <w:rFonts w:ascii="Times New Roman" w:hAnsi="Times New Roman" w:cs="Times New Roman"/>
          <w:sz w:val="24"/>
          <w:szCs w:val="24"/>
        </w:rPr>
        <w:t xml:space="preserve"> the </w:t>
      </w:r>
      <w:r w:rsidRPr="00F934F9">
        <w:rPr>
          <w:rFonts w:ascii="Times New Roman" w:hAnsi="Times New Roman" w:cs="Times New Roman"/>
          <w:i/>
          <w:iCs/>
          <w:sz w:val="24"/>
          <w:szCs w:val="24"/>
        </w:rPr>
        <w:t>exequatur</w:t>
      </w:r>
      <w:r w:rsidRPr="00F934F9">
        <w:rPr>
          <w:rFonts w:ascii="Times New Roman" w:hAnsi="Times New Roman" w:cs="Times New Roman"/>
          <w:sz w:val="24"/>
          <w:szCs w:val="24"/>
        </w:rPr>
        <w:t xml:space="preserve"> procedure</w:t>
      </w:r>
      <w:r w:rsidRPr="00F934F9">
        <w:rPr>
          <w:rFonts w:ascii="Times New Roman" w:hAnsi="Times New Roman" w:cs="Times New Roman"/>
          <w:i/>
          <w:iCs/>
          <w:sz w:val="24"/>
          <w:szCs w:val="24"/>
        </w:rPr>
        <w:t xml:space="preserve"> </w:t>
      </w:r>
      <w:r w:rsidRPr="00F934F9">
        <w:rPr>
          <w:rFonts w:ascii="Times New Roman" w:hAnsi="Times New Roman" w:cs="Times New Roman"/>
          <w:sz w:val="24"/>
          <w:szCs w:val="24"/>
        </w:rPr>
        <w:t>for parental responsibility matters</w:t>
      </w:r>
      <w:r w:rsidRPr="00F934F9">
        <w:rPr>
          <w:rStyle w:val="FootnoteReference"/>
          <w:rFonts w:ascii="Times New Roman" w:hAnsi="Times New Roman" w:cs="Times New Roman"/>
          <w:sz w:val="24"/>
          <w:szCs w:val="24"/>
        </w:rPr>
        <w:footnoteReference w:id="50"/>
      </w:r>
      <w:r w:rsidRPr="00F934F9">
        <w:rPr>
          <w:rFonts w:ascii="Times New Roman" w:hAnsi="Times New Roman" w:cs="Times New Roman"/>
          <w:sz w:val="24"/>
          <w:szCs w:val="24"/>
        </w:rPr>
        <w:t xml:space="preserve"> According to Beaumont, the abolition of the </w:t>
      </w:r>
      <w:r w:rsidRPr="00F934F9">
        <w:rPr>
          <w:rFonts w:ascii="Times New Roman" w:hAnsi="Times New Roman" w:cs="Times New Roman"/>
          <w:i/>
          <w:iCs/>
          <w:sz w:val="24"/>
          <w:szCs w:val="24"/>
        </w:rPr>
        <w:t xml:space="preserve">exequatur </w:t>
      </w:r>
      <w:r w:rsidRPr="00F934F9">
        <w:rPr>
          <w:rFonts w:ascii="Times New Roman" w:hAnsi="Times New Roman" w:cs="Times New Roman"/>
          <w:sz w:val="24"/>
          <w:szCs w:val="24"/>
        </w:rPr>
        <w:t>does not have far-reaching effects as it only eliminates ‘a stage in the process rather than the grounds for refusal of enforcement,’ in analogous fashion to the Brussels I Recast Regulation.</w:t>
      </w:r>
      <w:r w:rsidRPr="00F934F9">
        <w:rPr>
          <w:rStyle w:val="FootnoteReference"/>
          <w:rFonts w:ascii="Times New Roman" w:hAnsi="Times New Roman" w:cs="Times New Roman"/>
          <w:sz w:val="24"/>
          <w:szCs w:val="24"/>
        </w:rPr>
        <w:footnoteReference w:id="51"/>
      </w:r>
      <w:r w:rsidRPr="00F934F9">
        <w:rPr>
          <w:rFonts w:ascii="Times New Roman" w:hAnsi="Times New Roman" w:cs="Times New Roman"/>
          <w:sz w:val="24"/>
          <w:szCs w:val="24"/>
        </w:rPr>
        <w:t xml:space="preserve"> The abolition of the </w:t>
      </w:r>
      <w:r w:rsidRPr="00F934F9">
        <w:rPr>
          <w:rFonts w:ascii="Times New Roman" w:hAnsi="Times New Roman" w:cs="Times New Roman"/>
          <w:i/>
          <w:iCs/>
          <w:sz w:val="24"/>
          <w:szCs w:val="24"/>
        </w:rPr>
        <w:t xml:space="preserve">exequatur </w:t>
      </w:r>
      <w:r w:rsidRPr="00F934F9">
        <w:rPr>
          <w:rFonts w:ascii="Times New Roman" w:hAnsi="Times New Roman" w:cs="Times New Roman"/>
          <w:sz w:val="24"/>
          <w:szCs w:val="24"/>
        </w:rPr>
        <w:t>might not be revolutionising and parties will continue to apply for enforcement of parental responsibility measures, however the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Regulation contains one hurdle less than the 1996 Hague Child Protection Convention. Reducing hurdles, no matter their legal novelty, also reduces cost and time involved in international litigation for families, which cannot be discounted. According to at least one author, while the shifting back to the 1996 Convention does not encompass severe consequences, it will result in a ‘downgrading’ of UK decisions on parental responsibility, including protective measures in return proceedings, when these are to be enforced in the EU Member States.</w:t>
      </w:r>
      <w:r w:rsidRPr="00F934F9">
        <w:rPr>
          <w:rStyle w:val="FootnoteReference"/>
          <w:rFonts w:ascii="Times New Roman" w:hAnsi="Times New Roman" w:cs="Times New Roman"/>
          <w:sz w:val="24"/>
          <w:szCs w:val="24"/>
        </w:rPr>
        <w:footnoteReference w:id="52"/>
      </w:r>
    </w:p>
    <w:p w14:paraId="2676AF67" w14:textId="77777777" w:rsidR="00020CE8" w:rsidRPr="00F934F9" w:rsidRDefault="00020CE8"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lastRenderedPageBreak/>
        <w:t>Additionally, there are several other provisions in the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Regulation, which the UK courts dealing with child abduction cases may have benefitted from – in particular, Article 24 which encourages courts to act promptly in return proceedings; and Article 25 which encourages the use of mediation or other means of ADR in return proceedings.</w:t>
      </w:r>
    </w:p>
    <w:p w14:paraId="3233DB49" w14:textId="77777777" w:rsidR="00020CE8" w:rsidRPr="00F934F9" w:rsidRDefault="00020CE8"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Conclusion</w:t>
      </w:r>
    </w:p>
    <w:p w14:paraId="32451269" w14:textId="6A656F18" w:rsidR="003503D5" w:rsidRPr="00F934F9" w:rsidRDefault="00020CE8"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To conclude, the consequences of Brexit in the UK for international child abduction cases have not been as severe as it had been feared before the end of the transition period on 30 December 2020. It is encouraging that thus far, there have been no signs of a departure from the concept of habitual residence of the child as interpreted by the CJEU over the past decades and embedded in the UK domestic law pre-Brexit. Similarly, the loss of the Brussels II</w:t>
      </w:r>
      <w:r w:rsidRPr="00F934F9">
        <w:rPr>
          <w:rFonts w:ascii="Times New Roman" w:hAnsi="Times New Roman" w:cs="Times New Roman"/>
          <w:i/>
          <w:iCs/>
          <w:sz w:val="24"/>
          <w:szCs w:val="24"/>
        </w:rPr>
        <w:t>bis</w:t>
      </w:r>
      <w:r w:rsidRPr="00F934F9">
        <w:rPr>
          <w:rFonts w:ascii="Times New Roman" w:hAnsi="Times New Roman" w:cs="Times New Roman"/>
          <w:sz w:val="24"/>
          <w:szCs w:val="24"/>
        </w:rPr>
        <w:t xml:space="preserve"> (now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Regulation does not seem to have had a significant impact on the application of the 1980 Hague Abduction Convention by the UK courts. This is partly due to significant long-term experience with child abduction cases on the part of the UK courts and meticulous interpretation and application of the 1980 Convention in the UK. Nevertheless, as explained above, there are some provisions in the Brussels II</w:t>
      </w:r>
      <w:r w:rsidRPr="00F934F9">
        <w:rPr>
          <w:rFonts w:ascii="Times New Roman" w:hAnsi="Times New Roman" w:cs="Times New Roman"/>
          <w:i/>
          <w:iCs/>
          <w:sz w:val="24"/>
          <w:szCs w:val="24"/>
        </w:rPr>
        <w:t>ter</w:t>
      </w:r>
      <w:r w:rsidRPr="00F934F9">
        <w:rPr>
          <w:rFonts w:ascii="Times New Roman" w:hAnsi="Times New Roman" w:cs="Times New Roman"/>
          <w:sz w:val="24"/>
          <w:szCs w:val="24"/>
        </w:rPr>
        <w:t xml:space="preserve"> Regulation that the UK is missing out on.</w:t>
      </w:r>
    </w:p>
    <w:p w14:paraId="4169ED0C" w14:textId="145B2AEE" w:rsidR="00E371A9" w:rsidRPr="00F934F9" w:rsidRDefault="00E371A9" w:rsidP="00F934F9">
      <w:pPr>
        <w:pStyle w:val="ListParagraph"/>
        <w:numPr>
          <w:ilvl w:val="0"/>
          <w:numId w:val="1"/>
        </w:numPr>
        <w:spacing w:line="276" w:lineRule="auto"/>
        <w:jc w:val="both"/>
        <w:rPr>
          <w:rStyle w:val="IntenseReference"/>
          <w:rFonts w:ascii="Times New Roman" w:hAnsi="Times New Roman" w:cs="Times New Roman"/>
          <w:sz w:val="24"/>
          <w:szCs w:val="24"/>
        </w:rPr>
      </w:pPr>
      <w:r w:rsidRPr="00F934F9">
        <w:rPr>
          <w:rStyle w:val="IntenseReference"/>
          <w:rFonts w:ascii="Times New Roman" w:hAnsi="Times New Roman" w:cs="Times New Roman"/>
          <w:sz w:val="24"/>
          <w:szCs w:val="24"/>
        </w:rPr>
        <w:t>The 1970</w:t>
      </w:r>
      <w:r w:rsidR="00EA717C" w:rsidRPr="00F934F9">
        <w:rPr>
          <w:rStyle w:val="IntenseReference"/>
          <w:rFonts w:ascii="Times New Roman" w:hAnsi="Times New Roman" w:cs="Times New Roman"/>
          <w:sz w:val="24"/>
          <w:szCs w:val="24"/>
        </w:rPr>
        <w:t xml:space="preserve"> hague</w:t>
      </w:r>
      <w:r w:rsidRPr="00F934F9">
        <w:rPr>
          <w:rStyle w:val="IntenseReference"/>
          <w:rFonts w:ascii="Times New Roman" w:hAnsi="Times New Roman" w:cs="Times New Roman"/>
          <w:sz w:val="24"/>
          <w:szCs w:val="24"/>
        </w:rPr>
        <w:t xml:space="preserve"> Convention on the Recognition of Divorces and Legal Separations</w:t>
      </w:r>
    </w:p>
    <w:p w14:paraId="2774A0B5" w14:textId="77777777" w:rsidR="00E371A9" w:rsidRPr="00F934F9" w:rsidRDefault="00E371A9"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 xml:space="preserve">Introduction </w:t>
      </w:r>
    </w:p>
    <w:p w14:paraId="42E2CC5A" w14:textId="77777777" w:rsidR="000359C5" w:rsidRPr="00F934F9" w:rsidRDefault="000359C5" w:rsidP="00F934F9">
      <w:pPr>
        <w:shd w:val="clear" w:color="auto" w:fill="FFFFFF"/>
        <w:spacing w:line="276" w:lineRule="auto"/>
        <w:jc w:val="both"/>
        <w:textAlignment w:val="baseline"/>
        <w:rPr>
          <w:rFonts w:ascii="Times New Roman" w:hAnsi="Times New Roman" w:cs="Times New Roman"/>
          <w:sz w:val="24"/>
          <w:szCs w:val="24"/>
        </w:rPr>
      </w:pPr>
      <w:bookmarkStart w:id="2" w:name="_Hlk146285997"/>
      <w:r w:rsidRPr="00F934F9">
        <w:rPr>
          <w:rFonts w:ascii="Times New Roman" w:hAnsi="Times New Roman" w:cs="Times New Roman"/>
          <w:sz w:val="24"/>
          <w:szCs w:val="24"/>
        </w:rPr>
        <w:t>Before 1972, English judges had gradually developed a number of common law rules for the recognition of foreign divorces. In 1968, the Hague Conference on Private International Law produced a Convention on the recognition of divorces and legal separations which was originally implemented by the </w:t>
      </w:r>
      <w:hyperlink r:id="rId8" w:history="1">
        <w:r w:rsidRPr="00F934F9">
          <w:rPr>
            <w:rFonts w:ascii="Times New Roman" w:hAnsi="Times New Roman" w:cs="Times New Roman"/>
            <w:sz w:val="24"/>
            <w:szCs w:val="24"/>
          </w:rPr>
          <w:t>Recognition of Divorces and Legal Separations Act 1971</w:t>
        </w:r>
      </w:hyperlink>
      <w:r w:rsidRPr="00F934F9">
        <w:rPr>
          <w:rFonts w:ascii="Times New Roman" w:hAnsi="Times New Roman" w:cs="Times New Roman"/>
          <w:sz w:val="24"/>
          <w:szCs w:val="24"/>
        </w:rPr>
        <w:t>, now replaced by provisions in the </w:t>
      </w:r>
      <w:hyperlink r:id="rId9" w:history="1">
        <w:r w:rsidRPr="00F934F9">
          <w:rPr>
            <w:rFonts w:ascii="Times New Roman" w:hAnsi="Times New Roman" w:cs="Times New Roman"/>
            <w:sz w:val="24"/>
            <w:szCs w:val="24"/>
          </w:rPr>
          <w:t>Family Law Act 1986</w:t>
        </w:r>
      </w:hyperlink>
      <w:r w:rsidRPr="00F934F9">
        <w:rPr>
          <w:rFonts w:ascii="Times New Roman" w:hAnsi="Times New Roman" w:cs="Times New Roman"/>
          <w:sz w:val="24"/>
          <w:szCs w:val="24"/>
        </w:rPr>
        <w:t>. In two respects, the legislation is more liberal than the Convention. First, both Acts apply to all divorces and legal separations obtained in any country outside the British Isles, and not merely to divorces and legal separations obtained in countries parties to the Convention. For it would have been an unnecessary complication to have one set of rules applicable to Convention countries and another set of rules applicable to other countries. Secondly, the Convention requires that its two main bases of recognition—habitual residence and nationality—should be reinforced by other factors designed to discourage “forum-shopping,” which occurs when the petitioner brings suit not in the natural forum but in what for him is a more favourable forum. The legislation abandons these complicated reinforcing factors in the interests of simplicity and because, as the Law Commissions cogently pointed out, the stage when recognition is sought is not the appropriate stage at which to discourage forum-shopping. At that stage the forum-shopping, if any, has already taken place, and the real problem is to prevent limping marriages. This abandonment of the reinforcing factors is in accordance with the Convention, Art.17 of which provides that it does not prevent a Contracting State from applying recognition rules more favourable than those of the Convention.</w:t>
      </w:r>
    </w:p>
    <w:p w14:paraId="11C67948" w14:textId="77777777" w:rsidR="000359C5" w:rsidRPr="00F934F9" w:rsidRDefault="000359C5"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lastRenderedPageBreak/>
        <w:t>The UK ratified the 1970 Convention on 24 August 1975. The Convention extends to the legal systems of all three parts of the UK - England and Wales, Scotland and Northern Ireland.</w:t>
      </w:r>
      <w:r w:rsidRPr="00F934F9">
        <w:rPr>
          <w:rStyle w:val="FootnoteReference"/>
          <w:rFonts w:ascii="Times New Roman" w:hAnsi="Times New Roman" w:cs="Times New Roman"/>
          <w:sz w:val="24"/>
          <w:szCs w:val="24"/>
        </w:rPr>
        <w:footnoteReference w:id="53"/>
      </w:r>
      <w:r w:rsidRPr="00F934F9">
        <w:rPr>
          <w:rFonts w:ascii="Times New Roman" w:hAnsi="Times New Roman" w:cs="Times New Roman"/>
          <w:sz w:val="24"/>
          <w:szCs w:val="24"/>
        </w:rPr>
        <w:t xml:space="preserve"> Our case-law search identified 9 published cases in which the 1970 Convention was mentioned. However, interestingly, none of these cases was dealt with under the Convention itself as the countries involved were not Contracting Parties to the Convention. Nevertheless, the domestic legislation under which the cases were dealt with had been modelled on the 1970 Convention;</w:t>
      </w:r>
      <w:r w:rsidRPr="00F934F9">
        <w:rPr>
          <w:rStyle w:val="FootnoteReference"/>
          <w:rFonts w:ascii="Times New Roman" w:hAnsi="Times New Roman" w:cs="Times New Roman"/>
          <w:sz w:val="24"/>
          <w:szCs w:val="24"/>
        </w:rPr>
        <w:footnoteReference w:id="54"/>
      </w:r>
      <w:r w:rsidRPr="00F934F9">
        <w:rPr>
          <w:rFonts w:ascii="Times New Roman" w:hAnsi="Times New Roman" w:cs="Times New Roman"/>
          <w:sz w:val="24"/>
          <w:szCs w:val="24"/>
        </w:rPr>
        <w:t xml:space="preserve"> and therefore, one can presume that the interpretation of the key concepts as adopted in these cases would be followed also in cases under the Convention.   </w:t>
      </w:r>
    </w:p>
    <w:p w14:paraId="062777CE" w14:textId="77777777" w:rsidR="000359C5" w:rsidRPr="00F934F9" w:rsidRDefault="000359C5"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The most frequently discussed point was non recognition of divorce on grounds of public policy (cf Article 10 of the 1970 Convention).</w:t>
      </w:r>
      <w:r w:rsidRPr="00F934F9">
        <w:rPr>
          <w:rStyle w:val="FootnoteReference"/>
          <w:rFonts w:ascii="Times New Roman" w:hAnsi="Times New Roman" w:cs="Times New Roman"/>
          <w:sz w:val="24"/>
          <w:szCs w:val="24"/>
        </w:rPr>
        <w:footnoteReference w:id="55"/>
      </w:r>
      <w:r w:rsidRPr="00F934F9">
        <w:rPr>
          <w:rFonts w:ascii="Times New Roman" w:hAnsi="Times New Roman" w:cs="Times New Roman"/>
          <w:sz w:val="24"/>
          <w:szCs w:val="24"/>
        </w:rPr>
        <w:t xml:space="preserve">  </w:t>
      </w:r>
    </w:p>
    <w:p w14:paraId="332BD99A" w14:textId="77777777" w:rsidR="000359C5" w:rsidRPr="00F934F9" w:rsidRDefault="000359C5"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Refusal of divorce recognition on the grounds of public policy (see Article 10 of the Convention)</w:t>
      </w:r>
    </w:p>
    <w:p w14:paraId="3447B287" w14:textId="77777777" w:rsidR="000359C5" w:rsidRPr="00F934F9" w:rsidRDefault="000359C5"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In </w:t>
      </w:r>
      <w:r w:rsidRPr="00F934F9">
        <w:rPr>
          <w:rFonts w:ascii="Times New Roman" w:hAnsi="Times New Roman" w:cs="Times New Roman"/>
          <w:b/>
          <w:bCs/>
          <w:i/>
          <w:iCs/>
          <w:sz w:val="24"/>
          <w:szCs w:val="24"/>
        </w:rPr>
        <w:t>Lachaux v Lachaux</w:t>
      </w:r>
      <w:r w:rsidRPr="00F934F9">
        <w:rPr>
          <w:rStyle w:val="FootnoteReference"/>
          <w:rFonts w:ascii="Times New Roman" w:hAnsi="Times New Roman" w:cs="Times New Roman"/>
          <w:sz w:val="24"/>
          <w:szCs w:val="24"/>
        </w:rPr>
        <w:footnoteReference w:id="56"/>
      </w:r>
      <w:r w:rsidRPr="00F934F9">
        <w:rPr>
          <w:rFonts w:ascii="Times New Roman" w:hAnsi="Times New Roman" w:cs="Times New Roman"/>
          <w:sz w:val="24"/>
          <w:szCs w:val="24"/>
        </w:rPr>
        <w:t xml:space="preserve"> the substantive legal issue was whether the court should refuse to recognise on the grounds of public policy a divorce obtained by the husband by means of proceedings in Dubai on 12th August 2012. The couple was granted a divorce by the Dubai courts,</w:t>
      </w:r>
      <w:r w:rsidRPr="00F934F9">
        <w:rPr>
          <w:rStyle w:val="FootnoteReference"/>
          <w:rFonts w:ascii="Times New Roman" w:hAnsi="Times New Roman" w:cs="Times New Roman"/>
          <w:sz w:val="24"/>
          <w:szCs w:val="24"/>
        </w:rPr>
        <w:footnoteReference w:id="57"/>
      </w:r>
      <w:r w:rsidRPr="00F934F9">
        <w:rPr>
          <w:rFonts w:ascii="Times New Roman" w:hAnsi="Times New Roman" w:cs="Times New Roman"/>
          <w:sz w:val="24"/>
          <w:szCs w:val="24"/>
        </w:rPr>
        <w:t xml:space="preserve"> awarding the husband full custody of their common child on the basis that the mother did not “obey the husband” and “did not fulfil her marital duties.” At first instance, the judge recognised the Dubai divorce. The question before the appeal court (i.e., in the present case) was whether the first instance decision was correct. </w:t>
      </w:r>
    </w:p>
    <w:p w14:paraId="3D98A6C1" w14:textId="77777777" w:rsidR="000359C5" w:rsidRPr="00F934F9" w:rsidRDefault="000359C5"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The court discussed extensively the issue of public policy and refusing recognition on that basis. It was agreed that non-recognition on the basis of public policy has a very high threshold and will apply in the specific circumstances of a case taking account of the following factors: a) the connections of the parties with England and Wales; b) the reason why the spouse obtained divorce in a foreign jurisdiction; and c) the impact on those rights of the divorce being recognized.</w:t>
      </w:r>
      <w:r w:rsidRPr="00F934F9">
        <w:rPr>
          <w:rStyle w:val="FootnoteReference"/>
          <w:rFonts w:ascii="Times New Roman" w:hAnsi="Times New Roman" w:cs="Times New Roman"/>
          <w:sz w:val="24"/>
          <w:szCs w:val="24"/>
        </w:rPr>
        <w:footnoteReference w:id="58"/>
      </w:r>
    </w:p>
    <w:p w14:paraId="24421F6B" w14:textId="77777777" w:rsidR="000359C5" w:rsidRPr="00F934F9" w:rsidRDefault="000359C5"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The appeal court held that the first instance judge had been entitled to find that the discriminatory content of a Dubai judgment, which granted a husband a divorce on the ground </w:t>
      </w:r>
      <w:r w:rsidRPr="00F934F9">
        <w:rPr>
          <w:rFonts w:ascii="Times New Roman" w:hAnsi="Times New Roman" w:cs="Times New Roman"/>
          <w:sz w:val="24"/>
          <w:szCs w:val="24"/>
        </w:rPr>
        <w:lastRenderedPageBreak/>
        <w:t xml:space="preserve">that his wife did not obey him and was careless in fulfilling her marital and childcare duties, did not sufficiently affect the divorce as to render recognition by the English courts contrary to public policy. Accordingly, the English court recognized the Dubai divorce, and the decision was upheld on appeal. </w:t>
      </w:r>
    </w:p>
    <w:p w14:paraId="17BC1587" w14:textId="77777777" w:rsidR="000359C5" w:rsidRPr="00F934F9" w:rsidRDefault="000359C5"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The court emphasised the link between recognition and limping marriages, and noted that under the 1970 Convention, a primary goal is to eliminate limping marriages. That was primarily achieved by recognising overseas divorces, not by refusing to recognise them. The public policy exception had a high threshold before a court would decide that it applied, but the first instance judge had identified the correct test and reached the right conclusion.</w:t>
      </w:r>
      <w:r w:rsidRPr="00F934F9">
        <w:rPr>
          <w:rStyle w:val="FootnoteReference"/>
          <w:rFonts w:ascii="Times New Roman" w:hAnsi="Times New Roman" w:cs="Times New Roman"/>
          <w:sz w:val="24"/>
          <w:szCs w:val="24"/>
        </w:rPr>
        <w:footnoteReference w:id="59"/>
      </w:r>
      <w:r w:rsidRPr="00F934F9">
        <w:rPr>
          <w:rFonts w:ascii="Times New Roman" w:hAnsi="Times New Roman" w:cs="Times New Roman"/>
          <w:sz w:val="24"/>
          <w:szCs w:val="24"/>
        </w:rPr>
        <w:t xml:space="preserve"> </w:t>
      </w:r>
    </w:p>
    <w:p w14:paraId="2592A4BA" w14:textId="77777777" w:rsidR="000359C5" w:rsidRPr="00F934F9" w:rsidRDefault="000359C5" w:rsidP="00F934F9">
      <w:pPr>
        <w:spacing w:line="276" w:lineRule="auto"/>
        <w:jc w:val="both"/>
        <w:rPr>
          <w:rFonts w:ascii="Times New Roman" w:hAnsi="Times New Roman" w:cs="Times New Roman"/>
          <w:color w:val="000000"/>
          <w:sz w:val="24"/>
          <w:szCs w:val="24"/>
        </w:rPr>
      </w:pPr>
      <w:r w:rsidRPr="00F934F9">
        <w:rPr>
          <w:rFonts w:ascii="Times New Roman" w:hAnsi="Times New Roman" w:cs="Times New Roman"/>
          <w:sz w:val="24"/>
          <w:szCs w:val="24"/>
        </w:rPr>
        <w:t xml:space="preserve">Interestingly, the case had been dealt with also by the French courts. On </w:t>
      </w:r>
      <w:r w:rsidRPr="00F934F9">
        <w:rPr>
          <w:rFonts w:ascii="Times New Roman" w:hAnsi="Times New Roman" w:cs="Times New Roman"/>
          <w:color w:val="000000"/>
          <w:sz w:val="24"/>
          <w:szCs w:val="24"/>
        </w:rPr>
        <w:t>the husband's application, the French courts initially recognised the Dubai divorce. However, the French appeal court reversed that recognition on the basis that the reference to the wife's refusal to obey her husband was contrary to French public policy. At the time of the English appeal proceedings, an appeal was still pending before the French Cour de Cassation (Supreme Court). The English appeal court, however, decided to proceed and give its judgment so as to avoid delay which would be caused by waiting for the French court’s decision.</w:t>
      </w:r>
      <w:r w:rsidRPr="00F934F9">
        <w:rPr>
          <w:rStyle w:val="FootnoteReference"/>
          <w:rFonts w:ascii="Times New Roman" w:hAnsi="Times New Roman" w:cs="Times New Roman"/>
          <w:color w:val="000000"/>
          <w:sz w:val="24"/>
          <w:szCs w:val="24"/>
        </w:rPr>
        <w:footnoteReference w:id="60"/>
      </w:r>
      <w:r w:rsidRPr="00F934F9">
        <w:rPr>
          <w:rFonts w:ascii="Times New Roman" w:hAnsi="Times New Roman" w:cs="Times New Roman"/>
          <w:color w:val="000000"/>
          <w:sz w:val="24"/>
          <w:szCs w:val="24"/>
        </w:rPr>
        <w:t xml:space="preserve"> It would be interesting to find out what the Cour de Cassation decision in this case was, in particular whether it aligned or not with the decision of the English Court of Appeal, potentially exposing a concerning lack of uniformity in the interpretation of the public policy clause in the context of divorce recognition.  </w:t>
      </w:r>
    </w:p>
    <w:p w14:paraId="05C62E65" w14:textId="77777777" w:rsidR="000359C5" w:rsidRPr="00F934F9" w:rsidRDefault="000359C5" w:rsidP="00F934F9">
      <w:pPr>
        <w:pStyle w:val="NormalWeb"/>
        <w:spacing w:line="276" w:lineRule="auto"/>
        <w:jc w:val="both"/>
        <w:rPr>
          <w:color w:val="000000"/>
        </w:rPr>
      </w:pPr>
      <w:r w:rsidRPr="00F934F9">
        <w:rPr>
          <w:color w:val="000000"/>
        </w:rPr>
        <w:t xml:space="preserve">In </w:t>
      </w:r>
      <w:r w:rsidRPr="00F934F9">
        <w:rPr>
          <w:b/>
          <w:bCs/>
          <w:i/>
          <w:iCs/>
          <w:color w:val="000000"/>
        </w:rPr>
        <w:t>Golubovich v Golubovich</w:t>
      </w:r>
      <w:r w:rsidRPr="00F934F9">
        <w:rPr>
          <w:color w:val="000000"/>
        </w:rPr>
        <w:t>,</w:t>
      </w:r>
      <w:r w:rsidRPr="00F934F9">
        <w:rPr>
          <w:rStyle w:val="FootnoteReference"/>
          <w:color w:val="000000"/>
        </w:rPr>
        <w:footnoteReference w:id="61"/>
      </w:r>
      <w:r w:rsidRPr="00F934F9">
        <w:rPr>
          <w:color w:val="000000"/>
        </w:rPr>
        <w:t xml:space="preserve"> the appellant husband appealed against a decision refusing to recognise a decree of divorce pronounced by Russian courts. The Court of Appeal held that where a wife had petitioned for divorce in the English courts and the husband had petitioned in Russia, and where an order was made preventing the husband from taking further steps in the Russian proceedings, a first instance judge was wrong to refuse to recognise the subsequent dissolution of the marriage by the Russian courts on the grounds of public policy under the Family Law Act 1986 s.53(1)(c). </w:t>
      </w:r>
    </w:p>
    <w:p w14:paraId="1EEE7C5C" w14:textId="77777777" w:rsidR="000359C5" w:rsidRPr="00F934F9" w:rsidRDefault="000359C5" w:rsidP="00F934F9">
      <w:pPr>
        <w:pStyle w:val="NormalWeb"/>
        <w:spacing w:line="276" w:lineRule="auto"/>
        <w:jc w:val="both"/>
        <w:rPr>
          <w:color w:val="000000"/>
        </w:rPr>
      </w:pPr>
      <w:r w:rsidRPr="00F934F9">
        <w:rPr>
          <w:color w:val="000000"/>
        </w:rPr>
        <w:t xml:space="preserve">Thorpe LJ summarised the development of the statutory power to refuse recognition on the grounds of public policy. He referred to </w:t>
      </w:r>
      <w:r w:rsidRPr="00F934F9">
        <w:rPr>
          <w:i/>
          <w:iCs/>
          <w:color w:val="000000"/>
        </w:rPr>
        <w:t>Chaudhury v Chaudhury</w:t>
      </w:r>
      <w:r w:rsidRPr="00F934F9">
        <w:rPr>
          <w:color w:val="000000"/>
        </w:rPr>
        <w:t xml:space="preserve"> and the decision of </w:t>
      </w:r>
      <w:r w:rsidRPr="00F934F9">
        <w:rPr>
          <w:i/>
          <w:iCs/>
          <w:color w:val="000000"/>
        </w:rPr>
        <w:t>Tahir v Tahir</w:t>
      </w:r>
      <w:r w:rsidRPr="00F934F9">
        <w:rPr>
          <w:color w:val="000000"/>
        </w:rPr>
        <w:t xml:space="preserve"> (see below). Thorpe LJ made a general observation that, "absent breach of natural justice, [refusal of recognition] must be regarded as truly exceptional".</w:t>
      </w:r>
      <w:r w:rsidRPr="00F934F9">
        <w:rPr>
          <w:rStyle w:val="FootnoteReference"/>
          <w:color w:val="000000"/>
        </w:rPr>
        <w:footnoteReference w:id="62"/>
      </w:r>
      <w:r w:rsidRPr="00F934F9">
        <w:rPr>
          <w:color w:val="000000"/>
        </w:rPr>
        <w:t xml:space="preserve"> This was an observation made specifically in respect of divorces obtained in jurisdictions within the Council of Europe.</w:t>
      </w:r>
    </w:p>
    <w:p w14:paraId="3E259A95" w14:textId="77777777" w:rsidR="000359C5" w:rsidRPr="00F934F9" w:rsidRDefault="000359C5" w:rsidP="00F934F9">
      <w:pPr>
        <w:pStyle w:val="NormalWeb"/>
        <w:spacing w:line="276" w:lineRule="auto"/>
        <w:jc w:val="both"/>
        <w:rPr>
          <w:color w:val="000000"/>
        </w:rPr>
      </w:pPr>
      <w:r w:rsidRPr="00F934F9">
        <w:rPr>
          <w:color w:val="000000"/>
        </w:rPr>
        <w:t xml:space="preserve">Nevertheless, Thorpe LJ did identify a situation which might be "sufficiently exceptional", namely: "What circumstances would be sufficiently exceptional to found a refusal under section 51(3)(c)? I would posit a case in which the court held primary jurisdiction established by a fully reasoned judgment delivered on an application for a forum conveniens stay. If the </w:t>
      </w:r>
      <w:r w:rsidRPr="00F934F9">
        <w:rPr>
          <w:color w:val="000000"/>
        </w:rPr>
        <w:lastRenderedPageBreak/>
        <w:t>other jurisdiction seised, then, with full knowledge of the London judgment, defiantly dissolved the marriage of a wife who could not establish jurisdiction for a Part III claim that would be manifestly offensive."</w:t>
      </w:r>
      <w:r w:rsidRPr="00F934F9">
        <w:rPr>
          <w:rStyle w:val="FootnoteReference"/>
          <w:color w:val="000000"/>
        </w:rPr>
        <w:footnoteReference w:id="63"/>
      </w:r>
    </w:p>
    <w:p w14:paraId="43A812B5" w14:textId="77777777" w:rsidR="000359C5" w:rsidRPr="00F934F9" w:rsidRDefault="000359C5" w:rsidP="00F934F9">
      <w:pPr>
        <w:pStyle w:val="NormalWeb"/>
        <w:spacing w:line="276" w:lineRule="auto"/>
        <w:jc w:val="both"/>
        <w:rPr>
          <w:color w:val="000000"/>
        </w:rPr>
      </w:pPr>
      <w:r w:rsidRPr="00F934F9">
        <w:rPr>
          <w:i/>
          <w:iCs/>
          <w:color w:val="000000"/>
        </w:rPr>
        <w:t>Background to the Court of Appeal decision</w:t>
      </w:r>
      <w:r w:rsidRPr="00F934F9">
        <w:rPr>
          <w:color w:val="000000"/>
        </w:rPr>
        <w:t xml:space="preserve">: </w:t>
      </w:r>
    </w:p>
    <w:p w14:paraId="21E275A9" w14:textId="77777777" w:rsidR="000359C5" w:rsidRPr="00F934F9" w:rsidRDefault="000359C5" w:rsidP="00F934F9">
      <w:pPr>
        <w:pStyle w:val="NormalWeb"/>
        <w:spacing w:line="276" w:lineRule="auto"/>
        <w:jc w:val="both"/>
        <w:rPr>
          <w:color w:val="000000"/>
        </w:rPr>
      </w:pPr>
      <w:r w:rsidRPr="00F934F9">
        <w:rPr>
          <w:color w:val="000000"/>
        </w:rPr>
        <w:t xml:space="preserve">The husband and wife, who were Russian citizens, had married and lived in the United Kingdom. The marriage broke down; the wife filed for divorce in England, and the husband in Russia. Each party accelerated matters in the jurisdiction of choice and impeded progress in the other jurisdiction. The husband forged a decree of divorce, and at a hearing in England asserted the validity of the fictitious divorce and submitted that the wife’s petition failed. A trial date was set to decide whether the marriage had been dissolved. The wife made an application to the Russian courts for cancellation of the divorce, the application was granted and the husband’s suit resumed. The wife’s application in England for an order that the husband withdraw the Russian proceedings was refused but the court, in accordance with </w:t>
      </w:r>
      <w:r w:rsidRPr="00F934F9">
        <w:rPr>
          <w:i/>
          <w:iCs/>
          <w:color w:val="000000"/>
        </w:rPr>
        <w:t>Hemain v Hemain</w:t>
      </w:r>
      <w:r w:rsidRPr="00F934F9">
        <w:rPr>
          <w:color w:val="000000"/>
        </w:rPr>
        <w:t>,</w:t>
      </w:r>
      <w:r w:rsidRPr="00F934F9">
        <w:rPr>
          <w:rStyle w:val="FootnoteReference"/>
          <w:color w:val="000000"/>
        </w:rPr>
        <w:footnoteReference w:id="64"/>
      </w:r>
      <w:r w:rsidRPr="00F934F9">
        <w:rPr>
          <w:color w:val="000000"/>
        </w:rPr>
        <w:t xml:space="preserve"> made an order preventing the husband from taking any further steps in Russia until after the hearing date in England. Despite that, the hearing resumed in Russia, and the marriage was dissolved. The wife applied for the refusal of recognition of the Russian divorce. The judge held that it was unconscionable for a party subject to Hemain restrictions to circumvent them. He refused to recognise the dissolution on the grounds of public policy under the Family Law Act 1986 s.53(1)(c).</w:t>
      </w:r>
    </w:p>
    <w:p w14:paraId="07C887F3" w14:textId="77777777" w:rsidR="000359C5" w:rsidRPr="00F934F9" w:rsidRDefault="000359C5" w:rsidP="00F934F9">
      <w:pPr>
        <w:pStyle w:val="NormalWeb"/>
        <w:spacing w:line="276" w:lineRule="auto"/>
        <w:jc w:val="both"/>
        <w:rPr>
          <w:color w:val="000000"/>
        </w:rPr>
      </w:pPr>
      <w:r w:rsidRPr="00F934F9">
        <w:rPr>
          <w:color w:val="000000"/>
        </w:rPr>
        <w:t>On appeal, the husband submitted that the court's injunctive powers essentially served to ensure that the jurisdiction of the court was not stolen once its priority had been established following a forum conveniens enquiry. The husband contended that the English court had no priority and the approach of the Russian court to the Hemain order was not offensive. He argued that the order could not be elevated to the inter-state level and the proper target of the judge's disapproval was the husband and not the Russian Federation.</w:t>
      </w:r>
    </w:p>
    <w:p w14:paraId="3314278E" w14:textId="77777777" w:rsidR="000359C5" w:rsidRPr="00F934F9" w:rsidRDefault="000359C5" w:rsidP="00F934F9">
      <w:pPr>
        <w:pStyle w:val="NormalWeb"/>
        <w:spacing w:line="276" w:lineRule="auto"/>
        <w:jc w:val="both"/>
        <w:rPr>
          <w:color w:val="000000"/>
        </w:rPr>
      </w:pPr>
      <w:r w:rsidRPr="00F934F9">
        <w:rPr>
          <w:color w:val="000000"/>
        </w:rPr>
        <w:t>The appeal was allowed, and the Court of Appeal held:</w:t>
      </w:r>
    </w:p>
    <w:p w14:paraId="273E47DB" w14:textId="77777777" w:rsidR="000359C5" w:rsidRPr="00F934F9" w:rsidRDefault="000359C5" w:rsidP="00F934F9">
      <w:pPr>
        <w:pStyle w:val="NormalWeb"/>
        <w:spacing w:line="276" w:lineRule="auto"/>
        <w:jc w:val="both"/>
        <w:rPr>
          <w:color w:val="000000"/>
        </w:rPr>
      </w:pPr>
      <w:r w:rsidRPr="00F934F9">
        <w:rPr>
          <w:color w:val="000000"/>
        </w:rPr>
        <w:t xml:space="preserve">(1) The bitter race to divorce between the husband and the wife did not directly engage the two states involved. There was no application in either state to establish which held primary responsibility to exercise jurisdiction. There were no procedural deficiencies within the Russian proceedings and the court was fully appraised of the injunctions issued in England and the risk the husband faced in breaching them. The only safe conclusion was that the Russian court regarded itself as having a straightforward jurisdiction to dissolve a marriage between two Russian citizens and, absent any treaty with the UK in that field, was not deterred by the Hemain orders. To refuse recognition of the Russian decree would disregard the obligations of the instant court to respect the function of the Russian court. </w:t>
      </w:r>
    </w:p>
    <w:p w14:paraId="1B576B29" w14:textId="77777777" w:rsidR="000359C5" w:rsidRPr="00F934F9" w:rsidRDefault="000359C5" w:rsidP="00F934F9">
      <w:pPr>
        <w:pStyle w:val="NormalWeb"/>
        <w:spacing w:line="276" w:lineRule="auto"/>
        <w:jc w:val="both"/>
        <w:rPr>
          <w:color w:val="000000"/>
        </w:rPr>
      </w:pPr>
      <w:r w:rsidRPr="00F934F9">
        <w:rPr>
          <w:color w:val="000000"/>
        </w:rPr>
        <w:lastRenderedPageBreak/>
        <w:t xml:space="preserve">(2) The recognition of the Russian decree did not deprive the wife of her claims to financial relief in the English jurisdiction. Given the history of the matter the grant of leave under the Matrimonial and Family Proceedings Act 1984 s.13 was a foregone conclusion. </w:t>
      </w:r>
    </w:p>
    <w:p w14:paraId="03B6CC21" w14:textId="77777777" w:rsidR="000359C5" w:rsidRPr="00F934F9" w:rsidRDefault="000359C5" w:rsidP="00F934F9">
      <w:pPr>
        <w:pStyle w:val="NormalWeb"/>
        <w:spacing w:line="276" w:lineRule="auto"/>
        <w:jc w:val="both"/>
        <w:rPr>
          <w:color w:val="000000"/>
        </w:rPr>
      </w:pPr>
      <w:r w:rsidRPr="00F934F9">
        <w:rPr>
          <w:color w:val="000000"/>
        </w:rPr>
        <w:t>(3) In all cases where competitive concurrent divorce proceedings continued in two jurisdictions it was essential to establish which court had priority. If there was no challenge to jurisdiction in either court then there had to be an application for a statutory stay under the Domicile and Matrimonial Proceedings Act 1973 Sch.2 para.9. In the instant case, as the husband had pleaded that Russia was the more appropriate forum but did not issue the necessary application for a stay of the wife’s petition, the court of its own motion should have directed a trial as a preliminary issue. There should be cross-border judicial collaboration. The benefit of such collaboration in children's cases was universally recognised and that should extend to all areas of international family law.</w:t>
      </w:r>
    </w:p>
    <w:p w14:paraId="16C1C55D" w14:textId="77777777" w:rsidR="000359C5" w:rsidRPr="00F934F9" w:rsidRDefault="000359C5" w:rsidP="00F934F9">
      <w:pPr>
        <w:pStyle w:val="NormalWeb"/>
        <w:spacing w:line="276" w:lineRule="auto"/>
        <w:jc w:val="both"/>
        <w:rPr>
          <w:color w:val="000000"/>
        </w:rPr>
      </w:pPr>
      <w:r w:rsidRPr="00F934F9">
        <w:rPr>
          <w:color w:val="000000"/>
        </w:rPr>
        <w:t xml:space="preserve">In the Scottish case of </w:t>
      </w:r>
      <w:r w:rsidRPr="00F934F9">
        <w:rPr>
          <w:b/>
          <w:bCs/>
          <w:i/>
          <w:iCs/>
          <w:color w:val="000000"/>
        </w:rPr>
        <w:t>Tahir v Tahir (Husband and wife: Divorce)</w:t>
      </w:r>
      <w:r w:rsidRPr="00F934F9">
        <w:rPr>
          <w:color w:val="000000"/>
        </w:rPr>
        <w:t>,</w:t>
      </w:r>
      <w:r w:rsidRPr="00F934F9">
        <w:rPr>
          <w:rStyle w:val="FootnoteReference"/>
          <w:color w:val="000000"/>
        </w:rPr>
        <w:footnoteReference w:id="65"/>
      </w:r>
      <w:r w:rsidRPr="00F934F9">
        <w:rPr>
          <w:color w:val="000000"/>
        </w:rPr>
        <w:t xml:space="preserve"> an action of divorce with conclusions for financial provision was raised by a wife in 1986. When the matter came to proof in 1992 one defence to the action was that the defender had already divorced the pursuer in Pakistan in 1989. The pursuer argued that the motive of the husband defender in obtaining the divorce in Pakistan had to be looked at, and there was nothing in his evidence to override the inference that he had obtained the divorce to avoid his wife's claim for financial provision. Recognition would thus be "manifestly contrary to public policy" in terms of s.51(3)(c) of the 1986 Family Law Act.</w:t>
      </w:r>
    </w:p>
    <w:p w14:paraId="22BD3D2E" w14:textId="77777777" w:rsidR="000359C5" w:rsidRPr="00F934F9" w:rsidRDefault="000359C5" w:rsidP="00F934F9">
      <w:pPr>
        <w:pStyle w:val="NormalWeb"/>
        <w:spacing w:line="276" w:lineRule="auto"/>
        <w:jc w:val="both"/>
        <w:rPr>
          <w:color w:val="000000"/>
        </w:rPr>
      </w:pPr>
      <w:r w:rsidRPr="00F934F9">
        <w:rPr>
          <w:color w:val="000000"/>
        </w:rPr>
        <w:t>Lord Sutherland accepted that it would be contrary to public policy to recognise a decree "if both the motive and the effect were to deprive the pursuer of her rights in Scotland".</w:t>
      </w:r>
      <w:r w:rsidRPr="00F934F9">
        <w:rPr>
          <w:rStyle w:val="FootnoteReference"/>
          <w:color w:val="000000"/>
        </w:rPr>
        <w:footnoteReference w:id="66"/>
      </w:r>
      <w:r w:rsidRPr="00F934F9">
        <w:rPr>
          <w:color w:val="000000"/>
        </w:rPr>
        <w:t xml:space="preserve"> Since the wife’s rights were preserved under Scottish law, there was no public policy objection.</w:t>
      </w:r>
    </w:p>
    <w:p w14:paraId="50E0D09F" w14:textId="77777777" w:rsidR="000359C5" w:rsidRPr="00F934F9" w:rsidRDefault="000359C5" w:rsidP="00F934F9">
      <w:pPr>
        <w:pStyle w:val="NormalWeb"/>
        <w:spacing w:line="276" w:lineRule="auto"/>
        <w:jc w:val="both"/>
        <w:rPr>
          <w:color w:val="000000"/>
        </w:rPr>
      </w:pPr>
      <w:r w:rsidRPr="00F934F9">
        <w:rPr>
          <w:color w:val="000000"/>
        </w:rPr>
        <w:t xml:space="preserve">In </w:t>
      </w:r>
      <w:r w:rsidRPr="00F934F9">
        <w:rPr>
          <w:b/>
          <w:bCs/>
          <w:i/>
          <w:iCs/>
          <w:color w:val="000000"/>
        </w:rPr>
        <w:t>Chaudhary v Chaudhary</w:t>
      </w:r>
      <w:r w:rsidRPr="00F934F9">
        <w:rPr>
          <w:color w:val="000000"/>
        </w:rPr>
        <w:t>,</w:t>
      </w:r>
      <w:r w:rsidRPr="00F934F9">
        <w:rPr>
          <w:rStyle w:val="FootnoteReference"/>
          <w:color w:val="000000"/>
        </w:rPr>
        <w:footnoteReference w:id="67"/>
      </w:r>
      <w:r w:rsidRPr="00F934F9">
        <w:rPr>
          <w:color w:val="000000"/>
        </w:rPr>
        <w:t xml:space="preserve"> the husband failed to establish that he had divorced the wife by one or other of two oral talaqs pronounced respectively in England and Pakistan, the court holding that the husband - a Kashmiri - had acquired a domicile of choice in England. The main points were as follows:</w:t>
      </w:r>
    </w:p>
    <w:p w14:paraId="5BB04578" w14:textId="77777777" w:rsidR="000359C5" w:rsidRPr="00F934F9" w:rsidRDefault="000359C5" w:rsidP="00F934F9">
      <w:pPr>
        <w:pStyle w:val="NormalWeb"/>
        <w:numPr>
          <w:ilvl w:val="0"/>
          <w:numId w:val="6"/>
        </w:numPr>
        <w:spacing w:line="276" w:lineRule="auto"/>
        <w:jc w:val="both"/>
        <w:rPr>
          <w:color w:val="000000"/>
        </w:rPr>
      </w:pPr>
      <w:r w:rsidRPr="00F934F9">
        <w:rPr>
          <w:color w:val="000000"/>
        </w:rPr>
        <w:t>Interpretation of “manifestly” [contrary to public policy]</w:t>
      </w:r>
      <w:r w:rsidRPr="00F934F9">
        <w:rPr>
          <w:rStyle w:val="FootnoteReference"/>
          <w:color w:val="000000"/>
        </w:rPr>
        <w:footnoteReference w:id="68"/>
      </w:r>
      <w:r w:rsidRPr="00F934F9">
        <w:rPr>
          <w:color w:val="000000"/>
        </w:rPr>
        <w:t xml:space="preserve"> </w:t>
      </w:r>
    </w:p>
    <w:p w14:paraId="1465E10A" w14:textId="77777777" w:rsidR="000359C5" w:rsidRPr="00F934F9" w:rsidRDefault="000359C5" w:rsidP="00F934F9">
      <w:pPr>
        <w:pStyle w:val="NormalWeb"/>
        <w:numPr>
          <w:ilvl w:val="0"/>
          <w:numId w:val="7"/>
        </w:numPr>
        <w:spacing w:line="276" w:lineRule="auto"/>
        <w:jc w:val="both"/>
        <w:rPr>
          <w:color w:val="000000"/>
        </w:rPr>
      </w:pPr>
      <w:r w:rsidRPr="00F934F9">
        <w:rPr>
          <w:color w:val="000000"/>
        </w:rPr>
        <w:t>It was agreed that refusal of recognition on the basis of public policy is reserved for rare cases.</w:t>
      </w:r>
    </w:p>
    <w:p w14:paraId="23770B4F" w14:textId="77777777" w:rsidR="000359C5" w:rsidRPr="00F934F9" w:rsidRDefault="000359C5" w:rsidP="00F934F9">
      <w:pPr>
        <w:pStyle w:val="NormalWeb"/>
        <w:numPr>
          <w:ilvl w:val="0"/>
          <w:numId w:val="7"/>
        </w:numPr>
        <w:spacing w:line="276" w:lineRule="auto"/>
        <w:jc w:val="both"/>
        <w:rPr>
          <w:color w:val="000000"/>
        </w:rPr>
      </w:pPr>
      <w:r w:rsidRPr="00F934F9">
        <w:rPr>
          <w:color w:val="000000"/>
        </w:rPr>
        <w:t>The circumstances in which the courts might consider public policy are limitless and have no definition. There is no definition to limit judicial discretion in this regard either.</w:t>
      </w:r>
    </w:p>
    <w:p w14:paraId="28F9A4E6" w14:textId="77777777" w:rsidR="000359C5" w:rsidRPr="00F934F9" w:rsidRDefault="000359C5" w:rsidP="00F934F9">
      <w:pPr>
        <w:pStyle w:val="NormalWeb"/>
        <w:numPr>
          <w:ilvl w:val="0"/>
          <w:numId w:val="7"/>
        </w:numPr>
        <w:spacing w:line="276" w:lineRule="auto"/>
        <w:jc w:val="both"/>
        <w:rPr>
          <w:color w:val="000000"/>
        </w:rPr>
      </w:pPr>
      <w:r w:rsidRPr="00F934F9">
        <w:rPr>
          <w:color w:val="000000"/>
        </w:rPr>
        <w:lastRenderedPageBreak/>
        <w:t>On interpretation, the court found that the pre-existing principles of judicial discretion on public policy remained after the 1970 Convention (via the enaction of the Recognition of Divorces and Legal Separations Act 1971).</w:t>
      </w:r>
    </w:p>
    <w:p w14:paraId="0C37E52C" w14:textId="77777777" w:rsidR="000359C5" w:rsidRPr="00F934F9" w:rsidRDefault="000359C5" w:rsidP="00F934F9">
      <w:pPr>
        <w:pStyle w:val="NormalWeb"/>
        <w:numPr>
          <w:ilvl w:val="0"/>
          <w:numId w:val="6"/>
        </w:numPr>
        <w:spacing w:line="276" w:lineRule="auto"/>
        <w:jc w:val="both"/>
        <w:rPr>
          <w:color w:val="000000"/>
        </w:rPr>
      </w:pPr>
      <w:r w:rsidRPr="00F934F9">
        <w:rPr>
          <w:color w:val="000000"/>
        </w:rPr>
        <w:t>Other points of importance:</w:t>
      </w:r>
    </w:p>
    <w:p w14:paraId="575F85C0" w14:textId="77777777" w:rsidR="000359C5" w:rsidRPr="00F934F9" w:rsidRDefault="000359C5" w:rsidP="00F934F9">
      <w:pPr>
        <w:pStyle w:val="NormalWeb"/>
        <w:numPr>
          <w:ilvl w:val="0"/>
          <w:numId w:val="7"/>
        </w:numPr>
        <w:spacing w:line="276" w:lineRule="auto"/>
        <w:jc w:val="both"/>
        <w:rPr>
          <w:color w:val="000000"/>
        </w:rPr>
      </w:pPr>
      <w:r w:rsidRPr="00F934F9">
        <w:rPr>
          <w:color w:val="000000"/>
        </w:rPr>
        <w:t>The bare talaq is not “judicial … proceedings” within the meaning of the 1971 Act (and therefore, the 1970 Convention).</w:t>
      </w:r>
      <w:r w:rsidRPr="00F934F9">
        <w:rPr>
          <w:rStyle w:val="FootnoteReference"/>
          <w:color w:val="000000"/>
        </w:rPr>
        <w:footnoteReference w:id="69"/>
      </w:r>
      <w:r w:rsidRPr="00F934F9">
        <w:rPr>
          <w:color w:val="000000"/>
        </w:rPr>
        <w:t xml:space="preserve"> </w:t>
      </w:r>
    </w:p>
    <w:p w14:paraId="069AFC82" w14:textId="77777777" w:rsidR="000359C5" w:rsidRPr="00F934F9" w:rsidRDefault="000359C5" w:rsidP="00F934F9">
      <w:pPr>
        <w:pStyle w:val="NormalWeb"/>
        <w:numPr>
          <w:ilvl w:val="0"/>
          <w:numId w:val="7"/>
        </w:numPr>
        <w:spacing w:line="276" w:lineRule="auto"/>
        <w:jc w:val="both"/>
        <w:rPr>
          <w:color w:val="000000"/>
        </w:rPr>
      </w:pPr>
      <w:r w:rsidRPr="00F934F9">
        <w:rPr>
          <w:color w:val="000000"/>
        </w:rPr>
        <w:t>The bare talaq is “other proceedings” and might be recognized subject to public policy considerations.</w:t>
      </w:r>
      <w:r w:rsidRPr="00F934F9">
        <w:rPr>
          <w:rStyle w:val="FootnoteReference"/>
          <w:color w:val="000000"/>
        </w:rPr>
        <w:footnoteReference w:id="70"/>
      </w:r>
    </w:p>
    <w:p w14:paraId="02D5ADF8" w14:textId="77777777" w:rsidR="000359C5" w:rsidRPr="00F934F9" w:rsidRDefault="000359C5" w:rsidP="00F934F9">
      <w:pPr>
        <w:pStyle w:val="NormalWeb"/>
        <w:spacing w:line="276" w:lineRule="auto"/>
        <w:jc w:val="both"/>
        <w:rPr>
          <w:rStyle w:val="IntenseEmphasis"/>
          <w:b/>
          <w:bCs/>
        </w:rPr>
      </w:pPr>
      <w:r w:rsidRPr="00F934F9">
        <w:rPr>
          <w:rStyle w:val="IntenseEmphasis"/>
          <w:b/>
          <w:bCs/>
        </w:rPr>
        <w:t>Refusal of divorce recognition due to the lack of sufficient opportunity to present one’s case (see Article 8 of the Convention)</w:t>
      </w:r>
    </w:p>
    <w:p w14:paraId="5A7FB30C" w14:textId="77777777" w:rsidR="000359C5" w:rsidRPr="00F934F9" w:rsidRDefault="000359C5" w:rsidP="00F934F9">
      <w:pPr>
        <w:pStyle w:val="NormalWeb"/>
        <w:spacing w:line="276" w:lineRule="auto"/>
        <w:jc w:val="both"/>
        <w:rPr>
          <w:color w:val="000000"/>
        </w:rPr>
      </w:pPr>
      <w:r w:rsidRPr="00F934F9">
        <w:rPr>
          <w:color w:val="000000"/>
        </w:rPr>
        <w:t xml:space="preserve">In </w:t>
      </w:r>
      <w:r w:rsidRPr="00F934F9">
        <w:rPr>
          <w:i/>
          <w:iCs/>
          <w:color w:val="000000"/>
        </w:rPr>
        <w:t>Joyce v Joyce and O’Hare</w:t>
      </w:r>
      <w:r w:rsidRPr="00F934F9">
        <w:rPr>
          <w:color w:val="000000"/>
        </w:rPr>
        <w:t>,</w:t>
      </w:r>
      <w:r w:rsidRPr="00F934F9">
        <w:rPr>
          <w:rStyle w:val="FootnoteReference"/>
          <w:color w:val="000000"/>
        </w:rPr>
        <w:footnoteReference w:id="71"/>
      </w:r>
      <w:r w:rsidRPr="00F934F9">
        <w:rPr>
          <w:color w:val="000000"/>
        </w:rPr>
        <w:t xml:space="preserve"> the Court discussed the requirement of “sufficient opportunity to present his case” (Art 8 of the Convention). A husband left his wife who then obtained a magistrates' order for custody of the children and maintenance on the grounds of the husband’s adultery and desertion. The husband went to live in Canada, where he filed a divorce petition alleging mental cruelty against the wife. The petition was served on the wife, informing her that she had 60 days to file an appearance. The whole of that period was occupied with the wife’s attempts to obtain legal aid in England and in Canada to contest the action. The husband’s lawyers in Canada were told what was happening and also of the English maintenance order, but before an appearance was entered, the wife was sent the decree nisi. The wife filed a divorce petition in England, asking for financial relief. Then the Canadian decree nisi was made absolute. The husband filed an answer in the English proceedings, seeking a declaration that the Canadian decree had already dissolved the marriage.</w:t>
      </w:r>
    </w:p>
    <w:p w14:paraId="7004B6CA" w14:textId="77777777" w:rsidR="000359C5" w:rsidRPr="00F934F9" w:rsidRDefault="000359C5" w:rsidP="00F934F9">
      <w:pPr>
        <w:pStyle w:val="NormalWeb"/>
        <w:spacing w:line="276" w:lineRule="auto"/>
        <w:jc w:val="both"/>
        <w:rPr>
          <w:color w:val="000000"/>
        </w:rPr>
      </w:pPr>
      <w:r w:rsidRPr="00F934F9">
        <w:rPr>
          <w:color w:val="000000"/>
        </w:rPr>
        <w:t>The Court held that the wife had not been given a reasonable opportunity to take part in the Canadian proceedings and the court would refuse recognition of the Canadian decree. It held that an "opportunity to take part" in foreign divorce proceedings under the Recognition of Divorces and Legal Separations Act 1971 s.8(2)(a)(ii) means an adequate and effective opportunity of presenting a party's views, and asserting any rights he may have, not merely an opportunity to take part in formalities:</w:t>
      </w:r>
    </w:p>
    <w:p w14:paraId="7FE555A5" w14:textId="77777777" w:rsidR="000359C5" w:rsidRPr="00F934F9" w:rsidRDefault="000359C5" w:rsidP="00F934F9">
      <w:pPr>
        <w:pStyle w:val="NormalWeb"/>
        <w:spacing w:line="276" w:lineRule="auto"/>
        <w:jc w:val="both"/>
        <w:rPr>
          <w:color w:val="000000"/>
        </w:rPr>
      </w:pPr>
      <w:r w:rsidRPr="00F934F9">
        <w:rPr>
          <w:color w:val="000000"/>
        </w:rPr>
        <w:t xml:space="preserve">“[adequate representation] meaning not just that there was a competent opportunity which could have been taken. The must be (…) a formal offer of opportunity, and if opportunity has been offered, the court must ask itself: "Was that opportunity adequate?" and further “It is submitted that a spouse against whom a foreign decree is to be recognised by an English court must have had, first, the right to be heard. Secondly, the ability or facility to place herself in a </w:t>
      </w:r>
      <w:r w:rsidRPr="00F934F9">
        <w:rPr>
          <w:color w:val="000000"/>
        </w:rPr>
        <w:lastRenderedPageBreak/>
        <w:t>position to put her views before the court. If on either of those grounds the party is shut out, then to a greater or lesser extent the opportunity referred to in the subsection is defective.”</w:t>
      </w:r>
      <w:r w:rsidRPr="00F934F9">
        <w:rPr>
          <w:rStyle w:val="FootnoteReference"/>
          <w:color w:val="000000"/>
        </w:rPr>
        <w:footnoteReference w:id="72"/>
      </w:r>
    </w:p>
    <w:p w14:paraId="1C139B4C" w14:textId="77777777" w:rsidR="000359C5" w:rsidRPr="00F934F9" w:rsidRDefault="000359C5" w:rsidP="00F934F9">
      <w:pPr>
        <w:pStyle w:val="NormalWeb"/>
        <w:spacing w:line="276" w:lineRule="auto"/>
        <w:jc w:val="both"/>
        <w:rPr>
          <w:color w:val="000000"/>
        </w:rPr>
      </w:pPr>
      <w:r w:rsidRPr="00F934F9">
        <w:rPr>
          <w:color w:val="000000"/>
        </w:rPr>
        <w:t>The Court also addressed an argument of insufficient opportunity to present case as breaching public policy (Art 10 of the Convention).</w:t>
      </w:r>
      <w:r w:rsidRPr="00F934F9">
        <w:rPr>
          <w:rStyle w:val="FootnoteReference"/>
          <w:color w:val="000000"/>
        </w:rPr>
        <w:footnoteReference w:id="73"/>
      </w:r>
    </w:p>
    <w:p w14:paraId="37396BEE" w14:textId="77777777" w:rsidR="000359C5" w:rsidRPr="00F934F9" w:rsidRDefault="000359C5" w:rsidP="00F934F9">
      <w:pPr>
        <w:pStyle w:val="NormalWeb"/>
        <w:spacing w:line="276" w:lineRule="auto"/>
        <w:jc w:val="both"/>
        <w:rPr>
          <w:rStyle w:val="IntenseEmphasis"/>
          <w:b/>
          <w:bCs/>
        </w:rPr>
      </w:pPr>
      <w:r w:rsidRPr="00F934F9">
        <w:rPr>
          <w:rStyle w:val="IntenseEmphasis"/>
          <w:b/>
          <w:bCs/>
        </w:rPr>
        <w:t>Divorce recognition and remarriage (see Article 11 of the Convention)</w:t>
      </w:r>
    </w:p>
    <w:p w14:paraId="30EE6194" w14:textId="77777777" w:rsidR="000359C5" w:rsidRPr="00F934F9" w:rsidRDefault="000359C5" w:rsidP="00F934F9">
      <w:p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 xml:space="preserve">In </w:t>
      </w:r>
      <w:r w:rsidRPr="00F934F9">
        <w:rPr>
          <w:rFonts w:ascii="Times New Roman" w:hAnsi="Times New Roman" w:cs="Times New Roman"/>
          <w:b/>
          <w:bCs/>
          <w:i/>
          <w:iCs/>
          <w:color w:val="000000"/>
          <w:sz w:val="24"/>
          <w:szCs w:val="24"/>
        </w:rPr>
        <w:t>Parveen v Hussain</w:t>
      </w:r>
      <w:r w:rsidRPr="00F934F9">
        <w:rPr>
          <w:rFonts w:ascii="Times New Roman" w:hAnsi="Times New Roman" w:cs="Times New Roman"/>
          <w:color w:val="000000"/>
          <w:sz w:val="24"/>
          <w:szCs w:val="24"/>
        </w:rPr>
        <w:t>,</w:t>
      </w:r>
      <w:r w:rsidRPr="00F934F9">
        <w:rPr>
          <w:rStyle w:val="FootnoteReference"/>
          <w:rFonts w:ascii="Times New Roman" w:hAnsi="Times New Roman" w:cs="Times New Roman"/>
          <w:color w:val="000000"/>
          <w:sz w:val="24"/>
          <w:szCs w:val="24"/>
        </w:rPr>
        <w:footnoteReference w:id="74"/>
      </w:r>
      <w:r w:rsidRPr="00F934F9">
        <w:rPr>
          <w:rFonts w:ascii="Times New Roman" w:hAnsi="Times New Roman" w:cs="Times New Roman"/>
          <w:color w:val="000000"/>
          <w:sz w:val="24"/>
          <w:szCs w:val="24"/>
        </w:rPr>
        <w:t xml:space="preserve"> the court considered whether a divorce not capable of recognition in the UK should preclude the parties from validly remarrying (cf Art 11 of the 1970 Convention). In this case, the respondent wife was married to X but remained in Pakistan. X pronounced talaq in England, which was converted to a divorce certificate and send to the respondent and registered with the Union Council in Pakistan. The respondent then married the petitioner and moved to the UK. The petitioner sought to declare the marriage a nullity on the basis that the respondent remained married to X. He argued that the divorce had been transnational and could not be recognised in England. The Queen's Proctor, as intervenor, argued that a divorce by talaq could only be recognised in England if the entirety of the relevant proceedings had taken place in Pakistan. The preliminary case was in favour of the petitioner and found the first talaq was transnational and therefore could not be recognised. This position was overturned.</w:t>
      </w:r>
    </w:p>
    <w:p w14:paraId="4422359E" w14:textId="77777777" w:rsidR="000359C5" w:rsidRPr="00F934F9" w:rsidRDefault="000359C5" w:rsidP="00F934F9">
      <w:p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The Court held that where a Pakistani woman had previously married in Pakistan and remained living there for the duration of that marriage, and her first husband had divorced her by way of talaq in England, confirmed by a divorce certificate issued in England and accepted by the Pakistani authorities, she had the capacity to marry her second husband because her divorce had been effective under the law of Pakistan. The fact that that divorce was not entitled to recognition under the Family Law Act 1986 was not determinative and did not mean that she had lacked the capacity to marry.</w:t>
      </w:r>
      <w:r w:rsidRPr="00F934F9">
        <w:rPr>
          <w:rStyle w:val="FootnoteReference"/>
          <w:rFonts w:ascii="Times New Roman" w:hAnsi="Times New Roman" w:cs="Times New Roman"/>
          <w:color w:val="000000"/>
          <w:sz w:val="24"/>
          <w:szCs w:val="24"/>
        </w:rPr>
        <w:footnoteReference w:id="75"/>
      </w:r>
    </w:p>
    <w:p w14:paraId="6F6FD9D8" w14:textId="77777777" w:rsidR="000359C5" w:rsidRPr="00F934F9" w:rsidRDefault="000359C5" w:rsidP="00F934F9">
      <w:p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The Court discussed Article 11 of the Convention and explained its transposition in UK law through the Recognition of Divorces and Legal Separations Act 1971, section 7.</w:t>
      </w:r>
      <w:r w:rsidRPr="00F934F9">
        <w:rPr>
          <w:rStyle w:val="FootnoteReference"/>
          <w:rFonts w:ascii="Times New Roman" w:hAnsi="Times New Roman" w:cs="Times New Roman"/>
          <w:color w:val="000000"/>
          <w:sz w:val="24"/>
          <w:szCs w:val="24"/>
        </w:rPr>
        <w:footnoteReference w:id="76"/>
      </w:r>
      <w:r w:rsidRPr="00F934F9">
        <w:rPr>
          <w:rFonts w:ascii="Times New Roman" w:hAnsi="Times New Roman" w:cs="Times New Roman"/>
          <w:color w:val="000000"/>
          <w:sz w:val="24"/>
          <w:szCs w:val="24"/>
        </w:rPr>
        <w:t xml:space="preserve"> </w:t>
      </w:r>
    </w:p>
    <w:p w14:paraId="31051F71" w14:textId="77777777" w:rsidR="000359C5" w:rsidRPr="00F934F9" w:rsidRDefault="000359C5" w:rsidP="00F934F9">
      <w:pPr>
        <w:pStyle w:val="ListParagraph"/>
        <w:numPr>
          <w:ilvl w:val="0"/>
          <w:numId w:val="4"/>
        </w:num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 xml:space="preserve">Prior to the 1971 Act, the common law position (both English and Scots Law) was not in line with Art 11 of the Convention (specifically, it was contrary to </w:t>
      </w:r>
      <w:r w:rsidRPr="00F934F9">
        <w:rPr>
          <w:rFonts w:ascii="Times New Roman" w:hAnsi="Times New Roman" w:cs="Times New Roman"/>
          <w:i/>
          <w:iCs/>
          <w:color w:val="000000"/>
          <w:sz w:val="24"/>
          <w:szCs w:val="24"/>
        </w:rPr>
        <w:t>R v Brentwood Superintendent Registar of Marriages, Ex parte Arias</w:t>
      </w:r>
      <w:r w:rsidRPr="00F934F9">
        <w:rPr>
          <w:rFonts w:ascii="Times New Roman" w:hAnsi="Times New Roman" w:cs="Times New Roman"/>
          <w:color w:val="000000"/>
          <w:sz w:val="24"/>
          <w:szCs w:val="24"/>
        </w:rPr>
        <w:t xml:space="preserve"> [1968] 2 QB 956.</w:t>
      </w:r>
    </w:p>
    <w:p w14:paraId="2C940227" w14:textId="77777777" w:rsidR="000359C5" w:rsidRPr="00F934F9" w:rsidRDefault="000359C5" w:rsidP="00F934F9">
      <w:pPr>
        <w:pStyle w:val="ListParagraph"/>
        <w:numPr>
          <w:ilvl w:val="0"/>
          <w:numId w:val="4"/>
        </w:num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The Law Commission proposed adopting text as close to the Convention as possible but a more limited version ended up in the 1971 Act. Under Art 11, where the parties obtained a divorce which was not recognised, were free to remarry, irrespectively of the place of marriage. Section 7 restricted this position to remarriage in the UK only.</w:t>
      </w:r>
    </w:p>
    <w:p w14:paraId="45234C50" w14:textId="77777777" w:rsidR="000359C5" w:rsidRPr="00F934F9" w:rsidRDefault="000359C5" w:rsidP="00F934F9">
      <w:pPr>
        <w:pStyle w:val="ListParagraph"/>
        <w:numPr>
          <w:ilvl w:val="0"/>
          <w:numId w:val="4"/>
        </w:num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The Law Commission’s recommendation was finally implemented by section 50 of the Family Law Act 1986.</w:t>
      </w:r>
    </w:p>
    <w:p w14:paraId="7633711A" w14:textId="77777777" w:rsidR="000359C5" w:rsidRPr="00F934F9" w:rsidRDefault="000359C5" w:rsidP="00F934F9">
      <w:pPr>
        <w:pStyle w:val="ListParagraph"/>
        <w:numPr>
          <w:ilvl w:val="0"/>
          <w:numId w:val="4"/>
        </w:num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lastRenderedPageBreak/>
        <w:t>The court discussed these issues extensively and concluded that capacity to marry trumped the recognition of divorce issue. In the circumstances, the wife had capacity to remarry because she was domiciled and lived in Pakistan, therefore entitled to rely on the Pakistani authority’s divorce validity. She was also not expected to be subject to English policy considerations regarding her first divorce.</w:t>
      </w:r>
      <w:r w:rsidRPr="00F934F9">
        <w:rPr>
          <w:rStyle w:val="FootnoteReference"/>
          <w:rFonts w:ascii="Times New Roman" w:hAnsi="Times New Roman" w:cs="Times New Roman"/>
          <w:color w:val="000000"/>
          <w:sz w:val="24"/>
          <w:szCs w:val="24"/>
        </w:rPr>
        <w:footnoteReference w:id="77"/>
      </w:r>
      <w:r w:rsidRPr="00F934F9">
        <w:rPr>
          <w:rFonts w:ascii="Times New Roman" w:hAnsi="Times New Roman" w:cs="Times New Roman"/>
          <w:color w:val="000000"/>
          <w:sz w:val="24"/>
          <w:szCs w:val="24"/>
        </w:rPr>
        <w:t xml:space="preserve"> </w:t>
      </w:r>
    </w:p>
    <w:p w14:paraId="2E86DCB2" w14:textId="77777777" w:rsidR="000359C5" w:rsidRPr="00F934F9" w:rsidRDefault="000359C5" w:rsidP="00F934F9">
      <w:pPr>
        <w:pStyle w:val="ListParagraph"/>
        <w:numPr>
          <w:ilvl w:val="0"/>
          <w:numId w:val="4"/>
        </w:numPr>
        <w:spacing w:line="276" w:lineRule="auto"/>
        <w:jc w:val="both"/>
        <w:rPr>
          <w:rFonts w:ascii="Times New Roman" w:hAnsi="Times New Roman" w:cs="Times New Roman"/>
          <w:i/>
          <w:iCs/>
          <w:color w:val="000000"/>
          <w:sz w:val="24"/>
          <w:szCs w:val="24"/>
        </w:rPr>
      </w:pPr>
      <w:r w:rsidRPr="00F934F9">
        <w:rPr>
          <w:rFonts w:ascii="Times New Roman" w:hAnsi="Times New Roman" w:cs="Times New Roman"/>
          <w:color w:val="000000"/>
          <w:sz w:val="24"/>
          <w:szCs w:val="24"/>
        </w:rPr>
        <w:t>Meaning of “transnational divorce” – positive reference made to</w:t>
      </w:r>
      <w:r w:rsidRPr="00F934F9">
        <w:rPr>
          <w:rFonts w:ascii="Times New Roman" w:hAnsi="Times New Roman" w:cs="Times New Roman"/>
          <w:i/>
          <w:iCs/>
          <w:color w:val="000000"/>
          <w:sz w:val="24"/>
          <w:szCs w:val="24"/>
        </w:rPr>
        <w:t xml:space="preserve"> R v Secretary of State for the Home Department Ex p. Fatima (Ghulam) </w:t>
      </w:r>
      <w:r w:rsidRPr="00F934F9">
        <w:rPr>
          <w:rFonts w:ascii="Times New Roman" w:hAnsi="Times New Roman" w:cs="Times New Roman"/>
          <w:color w:val="000000"/>
          <w:sz w:val="24"/>
          <w:szCs w:val="24"/>
        </w:rPr>
        <w:t>– see below.</w:t>
      </w:r>
    </w:p>
    <w:p w14:paraId="06CD6206" w14:textId="77777777" w:rsidR="000359C5" w:rsidRPr="00F934F9" w:rsidRDefault="000359C5" w:rsidP="00F934F9">
      <w:p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 xml:space="preserve">Another relevant case under the heading of divorce recognition and remarriage is </w:t>
      </w:r>
      <w:r w:rsidRPr="00F934F9">
        <w:rPr>
          <w:rFonts w:ascii="Times New Roman" w:hAnsi="Times New Roman" w:cs="Times New Roman"/>
          <w:b/>
          <w:bCs/>
          <w:i/>
          <w:iCs/>
          <w:color w:val="000000"/>
          <w:sz w:val="24"/>
          <w:szCs w:val="24"/>
        </w:rPr>
        <w:t>R v Secretary of State for the Home Department Ex p. Fatima (Ghulam)</w:t>
      </w:r>
      <w:r w:rsidRPr="00F934F9">
        <w:rPr>
          <w:rFonts w:ascii="Times New Roman" w:hAnsi="Times New Roman" w:cs="Times New Roman"/>
          <w:i/>
          <w:iCs/>
          <w:color w:val="000000"/>
          <w:sz w:val="24"/>
          <w:szCs w:val="24"/>
        </w:rPr>
        <w:t>.</w:t>
      </w:r>
      <w:r w:rsidRPr="00F934F9">
        <w:rPr>
          <w:rStyle w:val="FootnoteReference"/>
          <w:rFonts w:ascii="Times New Roman" w:hAnsi="Times New Roman" w:cs="Times New Roman"/>
          <w:color w:val="000000"/>
          <w:sz w:val="24"/>
          <w:szCs w:val="24"/>
        </w:rPr>
        <w:footnoteReference w:id="78"/>
      </w:r>
      <w:r w:rsidRPr="00F934F9">
        <w:rPr>
          <w:rFonts w:ascii="Times New Roman" w:hAnsi="Times New Roman" w:cs="Times New Roman"/>
          <w:b/>
          <w:bCs/>
          <w:i/>
          <w:iCs/>
          <w:color w:val="000000"/>
          <w:sz w:val="24"/>
          <w:szCs w:val="24"/>
        </w:rPr>
        <w:t xml:space="preserve"> </w:t>
      </w:r>
      <w:r w:rsidRPr="00F934F9">
        <w:rPr>
          <w:rFonts w:ascii="Times New Roman" w:hAnsi="Times New Roman" w:cs="Times New Roman"/>
          <w:color w:val="000000"/>
          <w:sz w:val="24"/>
          <w:szCs w:val="24"/>
        </w:rPr>
        <w:t>Importantly, this case raised the issue of interpretation of the term “transnational divorce”. The Court held that for an overseas divorce to be recognised in the United Kingdom under the Recognition of Divorces and Legal Separations Act 1971, the entirety of the divorce proceedings must have taken place abroad. In the present case, three Pakistani Muslims pronounced talaq in England against their wives who were in Pakistan. Each of them gave written notices to his wife and to the chairman of his local union council in Pakistan in accordance with Pakistani law. Their marriages were dissolved in accordance with Pakistani law 90 days later. The question of the validity of those divorces was raised when the men sought to bring their new fiancees to the UK. The Divisional Court held that the divorces were not obtained by means of judicial or other proceedings in a country outside the British Isles within the meaning of s.2 of the 1971 Act since the entirety of the proceedings had not taken place abroad. Two of the fiancées appealed.</w:t>
      </w:r>
    </w:p>
    <w:p w14:paraId="10362CFD" w14:textId="77777777" w:rsidR="000359C5" w:rsidRPr="00F934F9" w:rsidRDefault="000359C5" w:rsidP="00F934F9">
      <w:pPr>
        <w:spacing w:line="276"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The Court dismissed the appeal and held that since part of the proceedings had not taken place abroad, the divorces were not "overseas" divorces within the meaning of s.2, and s.3 of the Act.</w:t>
      </w:r>
      <w:r w:rsidRPr="00F934F9">
        <w:rPr>
          <w:rStyle w:val="FootnoteReference"/>
          <w:rFonts w:ascii="Times New Roman" w:hAnsi="Times New Roman" w:cs="Times New Roman"/>
          <w:color w:val="000000"/>
          <w:sz w:val="24"/>
          <w:szCs w:val="24"/>
        </w:rPr>
        <w:footnoteReference w:id="79"/>
      </w:r>
      <w:r w:rsidRPr="00F934F9">
        <w:rPr>
          <w:rFonts w:ascii="Times New Roman" w:hAnsi="Times New Roman" w:cs="Times New Roman"/>
          <w:color w:val="000000"/>
          <w:sz w:val="24"/>
          <w:szCs w:val="24"/>
        </w:rPr>
        <w:t xml:space="preserve">  Unfortunately, we do not have access to the full judgement, but the case is important. Cases such as </w:t>
      </w:r>
      <w:r w:rsidRPr="00F934F9">
        <w:rPr>
          <w:rFonts w:ascii="Times New Roman" w:hAnsi="Times New Roman" w:cs="Times New Roman"/>
          <w:i/>
          <w:iCs/>
          <w:color w:val="000000"/>
          <w:sz w:val="24"/>
          <w:szCs w:val="24"/>
        </w:rPr>
        <w:t>Parveen v Hussain</w:t>
      </w:r>
      <w:r w:rsidRPr="00F934F9">
        <w:rPr>
          <w:rFonts w:ascii="Times New Roman" w:hAnsi="Times New Roman" w:cs="Times New Roman"/>
          <w:color w:val="000000"/>
          <w:sz w:val="24"/>
          <w:szCs w:val="24"/>
        </w:rPr>
        <w:t xml:space="preserve"> consider it valid precedent.</w:t>
      </w:r>
    </w:p>
    <w:p w14:paraId="0968B137" w14:textId="77777777" w:rsidR="000359C5" w:rsidRPr="00F934F9" w:rsidRDefault="000359C5"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Talaq divorce: obtained by “judicial or other proceedings”?</w:t>
      </w:r>
    </w:p>
    <w:p w14:paraId="10635384" w14:textId="77777777" w:rsidR="000359C5" w:rsidRPr="00F934F9" w:rsidRDefault="000359C5" w:rsidP="00F934F9">
      <w:pPr>
        <w:pStyle w:val="NormalWeb"/>
        <w:spacing w:line="276" w:lineRule="auto"/>
        <w:jc w:val="both"/>
        <w:rPr>
          <w:color w:val="000000"/>
        </w:rPr>
      </w:pPr>
      <w:r w:rsidRPr="00F934F9">
        <w:rPr>
          <w:color w:val="000000"/>
        </w:rPr>
        <w:t xml:space="preserve">In </w:t>
      </w:r>
      <w:r w:rsidRPr="00F934F9">
        <w:rPr>
          <w:i/>
          <w:iCs/>
          <w:color w:val="000000"/>
        </w:rPr>
        <w:t>Quazi v Quazi</w:t>
      </w:r>
      <w:r w:rsidRPr="00F934F9">
        <w:rPr>
          <w:color w:val="000000"/>
        </w:rPr>
        <w:t>,</w:t>
      </w:r>
      <w:r w:rsidRPr="00F934F9">
        <w:rPr>
          <w:rStyle w:val="FootnoteReference"/>
          <w:color w:val="000000"/>
        </w:rPr>
        <w:footnoteReference w:id="80"/>
      </w:r>
      <w:r w:rsidRPr="00F934F9">
        <w:rPr>
          <w:color w:val="000000"/>
        </w:rPr>
        <w:t xml:space="preserve"> the House of Lords (former name for the Supreme Court) considered the underlying purpose of the 1970 Convention (and the Recognition of Divorces and Legal Separations Act 1971) and concluded that the "clear mischief" at which the Hague Convention and the 1971 Act had been aimed was that of the "limping marriage". The Court provided a very apt definition of the term “limping marriage”, holding that it was “a marriage which is recognised in one country but not recognised in another with the unhappy results that may follow therefrom - namely bigamous remarriage, illegitimate children and uncertainty or confusion over status and property rights.”</w:t>
      </w:r>
      <w:r w:rsidRPr="00F934F9">
        <w:rPr>
          <w:rStyle w:val="FootnoteReference"/>
          <w:color w:val="000000"/>
        </w:rPr>
        <w:footnoteReference w:id="81"/>
      </w:r>
      <w:r w:rsidRPr="00F934F9">
        <w:rPr>
          <w:color w:val="000000"/>
        </w:rPr>
        <w:t xml:space="preserve"> </w:t>
      </w:r>
    </w:p>
    <w:p w14:paraId="4D879BD6" w14:textId="77777777" w:rsidR="000359C5" w:rsidRPr="00F934F9" w:rsidRDefault="000359C5" w:rsidP="00F934F9">
      <w:pPr>
        <w:pStyle w:val="NormalWeb"/>
        <w:spacing w:line="276" w:lineRule="auto"/>
        <w:jc w:val="both"/>
        <w:rPr>
          <w:color w:val="000000"/>
        </w:rPr>
      </w:pPr>
      <w:r w:rsidRPr="00F934F9">
        <w:rPr>
          <w:color w:val="000000"/>
        </w:rPr>
        <w:t xml:space="preserve">The Court also analysed whether talaq divorce is recognised as “judicial or other proceedings” (cf Art 1 of the 1970 Convention). The analysis focused on the procedure of obtaining talaq </w:t>
      </w:r>
      <w:r w:rsidRPr="00F934F9">
        <w:rPr>
          <w:color w:val="000000"/>
        </w:rPr>
        <w:lastRenderedPageBreak/>
        <w:t>divorce, how that clicks into our interpretation of a western divorce and how it is legitimate and recognizable under the 1970 Convention.</w:t>
      </w:r>
      <w:r w:rsidRPr="00F934F9">
        <w:rPr>
          <w:rStyle w:val="FootnoteReference"/>
          <w:color w:val="000000"/>
        </w:rPr>
        <w:footnoteReference w:id="82"/>
      </w:r>
      <w:r w:rsidRPr="00F934F9">
        <w:rPr>
          <w:color w:val="000000"/>
        </w:rPr>
        <w:t xml:space="preserve"> </w:t>
      </w:r>
    </w:p>
    <w:p w14:paraId="66723303" w14:textId="77777777" w:rsidR="000359C5" w:rsidRPr="00F934F9" w:rsidRDefault="000359C5" w:rsidP="00F934F9">
      <w:pPr>
        <w:pStyle w:val="NormalWeb"/>
        <w:spacing w:line="276" w:lineRule="auto"/>
        <w:jc w:val="both"/>
        <w:rPr>
          <w:color w:val="000000"/>
        </w:rPr>
      </w:pPr>
      <w:r w:rsidRPr="00F934F9">
        <w:rPr>
          <w:color w:val="000000"/>
        </w:rPr>
        <w:t>The parties, who married in India in 1963, were Muslims, born in India and nationals of Pakistan. In 1968 while living in Thailand they made a khula, recognised as a form of divorce under Muslim law, terminating the marriage. In 1973 the husband came to England, bought a house, and was joined by his family, including, against his wishes, his wife. The husband returned to Pakistan and purported to divorce his wife again by pronouncing the talaq in accordance with the laws of Pakistan. The husband presented a petition for a declaration that the marriage had been lawfully dissolved by either the khula or talaq or both. Wood J. held that both proceedings would be recognised by the court as dissolving the marriage. The Court of Appeal allowed the wife's appeal. On appeal, held, allowing the husband's appeal, that the words "other proceedings" applied to any proceedings officially recognised by the country in which they were taken, and that a divorce obtained by talaq was a divorce obtained by such "other proceedings." Accordingly, the words "other proceedings" in the Recognition of Divorce Act 1971 (and in Art 1 of the 1970 Convention) are not limited solely to quasi-judicial proceedings, but refer to any proceedings, such as divorce by talaq, officially recognised in the country in which they are taken.</w:t>
      </w:r>
    </w:p>
    <w:p w14:paraId="461BE4DD" w14:textId="77777777" w:rsidR="000359C5" w:rsidRPr="00F934F9" w:rsidRDefault="000359C5" w:rsidP="00F934F9">
      <w:pPr>
        <w:pStyle w:val="NormalWeb"/>
        <w:spacing w:line="276" w:lineRule="auto"/>
        <w:jc w:val="both"/>
        <w:rPr>
          <w:color w:val="000000"/>
        </w:rPr>
      </w:pPr>
      <w:r w:rsidRPr="00F934F9">
        <w:rPr>
          <w:color w:val="000000"/>
        </w:rPr>
        <w:t xml:space="preserve"> In </w:t>
      </w:r>
      <w:r w:rsidRPr="00F934F9">
        <w:rPr>
          <w:i/>
          <w:iCs/>
          <w:color w:val="000000"/>
        </w:rPr>
        <w:t>H v S (Recognition of Overseas Divorce)</w:t>
      </w:r>
      <w:r w:rsidRPr="00F934F9">
        <w:rPr>
          <w:color w:val="000000"/>
        </w:rPr>
        <w:t>,</w:t>
      </w:r>
      <w:r w:rsidRPr="00F934F9">
        <w:rPr>
          <w:rStyle w:val="FootnoteReference"/>
          <w:color w:val="000000"/>
        </w:rPr>
        <w:footnoteReference w:id="83"/>
      </w:r>
      <w:r w:rsidRPr="00F934F9">
        <w:rPr>
          <w:color w:val="000000"/>
        </w:rPr>
        <w:t xml:space="preserve"> in the course of a petition by the petitioner wife for financial relief from the respondent husband, the court was required to determine whether a talaq divorce pronounced in Saudi Arabia could be afforded recognition by the English courts. The issue was whether the husband's talaq fell within the phrase "judicial or other proceedings" as imported into domestic legislation from the 1970 Convention, Article 1. The Court made the following key findings:</w:t>
      </w:r>
    </w:p>
    <w:p w14:paraId="3727C5E8" w14:textId="77777777" w:rsidR="000359C5" w:rsidRPr="00F934F9" w:rsidRDefault="000359C5" w:rsidP="00F934F9">
      <w:pPr>
        <w:pStyle w:val="NormalWeb"/>
        <w:numPr>
          <w:ilvl w:val="0"/>
          <w:numId w:val="5"/>
        </w:numPr>
        <w:spacing w:line="276" w:lineRule="auto"/>
        <w:jc w:val="both"/>
        <w:rPr>
          <w:color w:val="000000"/>
        </w:rPr>
      </w:pPr>
      <w:r w:rsidRPr="00F934F9">
        <w:rPr>
          <w:color w:val="000000"/>
        </w:rPr>
        <w:t>The phrase was not defined in either the Convention or the domestic statutes, and determining its meaning had given rise to considerable difficulty in the past.</w:t>
      </w:r>
      <w:r w:rsidRPr="00F934F9">
        <w:rPr>
          <w:rStyle w:val="FootnoteReference"/>
          <w:color w:val="000000"/>
        </w:rPr>
        <w:footnoteReference w:id="84"/>
      </w:r>
      <w:r w:rsidRPr="00F934F9">
        <w:rPr>
          <w:color w:val="000000"/>
        </w:rPr>
        <w:t xml:space="preserve"> </w:t>
      </w:r>
    </w:p>
    <w:p w14:paraId="0BE02409" w14:textId="77777777" w:rsidR="000359C5" w:rsidRPr="00F934F9" w:rsidRDefault="000359C5" w:rsidP="00F934F9">
      <w:pPr>
        <w:pStyle w:val="NormalWeb"/>
        <w:numPr>
          <w:ilvl w:val="0"/>
          <w:numId w:val="5"/>
        </w:numPr>
        <w:spacing w:line="276" w:lineRule="auto"/>
        <w:jc w:val="both"/>
        <w:rPr>
          <w:color w:val="000000"/>
        </w:rPr>
      </w:pPr>
      <w:r w:rsidRPr="00F934F9">
        <w:rPr>
          <w:color w:val="000000"/>
        </w:rPr>
        <w:t>In the circumstances the husband approaching the Saudi courts, which facilitated the registration of the divorce, did count as engaging in “proceedings”. Also, the combination of talaq, a written deed to evidence it, and fulfilment of the registration requirement amounted to an intervention within proceedings with a specific function to fulfil. That system could properly be described as having developed into "proceedings".</w:t>
      </w:r>
      <w:r w:rsidRPr="00F934F9">
        <w:rPr>
          <w:rStyle w:val="FootnoteReference"/>
          <w:color w:val="000000"/>
        </w:rPr>
        <w:footnoteReference w:id="85"/>
      </w:r>
      <w:r w:rsidRPr="00F934F9">
        <w:rPr>
          <w:color w:val="000000"/>
        </w:rPr>
        <w:t xml:space="preserve"> </w:t>
      </w:r>
    </w:p>
    <w:p w14:paraId="30D31D13" w14:textId="77777777" w:rsidR="000359C5" w:rsidRPr="00F934F9" w:rsidRDefault="000359C5" w:rsidP="00F934F9">
      <w:pPr>
        <w:pStyle w:val="NormalWeb"/>
        <w:numPr>
          <w:ilvl w:val="0"/>
          <w:numId w:val="5"/>
        </w:numPr>
        <w:spacing w:line="276" w:lineRule="auto"/>
        <w:jc w:val="both"/>
        <w:rPr>
          <w:color w:val="000000"/>
        </w:rPr>
      </w:pPr>
      <w:r w:rsidRPr="00F934F9">
        <w:rPr>
          <w:color w:val="000000"/>
        </w:rPr>
        <w:t>The determination of this legal issue is to be considered on a case-by-case basis.</w:t>
      </w:r>
    </w:p>
    <w:p w14:paraId="2E0F3766" w14:textId="77777777" w:rsidR="000359C5" w:rsidRPr="00F934F9" w:rsidRDefault="000359C5" w:rsidP="00F934F9">
      <w:pPr>
        <w:pStyle w:val="NormalWeb"/>
        <w:numPr>
          <w:ilvl w:val="0"/>
          <w:numId w:val="5"/>
        </w:numPr>
        <w:spacing w:line="276" w:lineRule="auto"/>
        <w:jc w:val="both"/>
        <w:rPr>
          <w:color w:val="000000"/>
        </w:rPr>
      </w:pPr>
      <w:r w:rsidRPr="00F934F9">
        <w:rPr>
          <w:color w:val="000000"/>
        </w:rPr>
        <w:t>The purpose and policy of the Convention and s.46(1) of the Family Law Act 1986 was to provide a mechanism to afford recognition to a Sharia divorce which had developed from mere oral delivery so that there could be no question that it had been pronounced.</w:t>
      </w:r>
      <w:r w:rsidRPr="00F934F9">
        <w:rPr>
          <w:rStyle w:val="FootnoteReference"/>
          <w:color w:val="000000"/>
        </w:rPr>
        <w:footnoteReference w:id="86"/>
      </w:r>
    </w:p>
    <w:p w14:paraId="18CD0133" w14:textId="77777777" w:rsidR="000359C5" w:rsidRPr="00F934F9" w:rsidRDefault="000359C5" w:rsidP="00F934F9">
      <w:pPr>
        <w:pStyle w:val="NormalWeb"/>
        <w:spacing w:line="276" w:lineRule="auto"/>
        <w:jc w:val="both"/>
        <w:rPr>
          <w:color w:val="000000"/>
        </w:rPr>
      </w:pPr>
      <w:r w:rsidRPr="00F934F9">
        <w:rPr>
          <w:i/>
          <w:iCs/>
          <w:color w:val="000000"/>
        </w:rPr>
        <w:lastRenderedPageBreak/>
        <w:t>Background to the decision</w:t>
      </w:r>
      <w:r w:rsidRPr="00F934F9">
        <w:rPr>
          <w:color w:val="000000"/>
        </w:rPr>
        <w:t>:</w:t>
      </w:r>
    </w:p>
    <w:p w14:paraId="0BB3BD66" w14:textId="77777777" w:rsidR="000359C5" w:rsidRPr="00F934F9" w:rsidRDefault="000359C5" w:rsidP="00F934F9">
      <w:pPr>
        <w:pStyle w:val="NormalWeb"/>
        <w:spacing w:line="276" w:lineRule="auto"/>
        <w:jc w:val="both"/>
        <w:rPr>
          <w:color w:val="000000"/>
        </w:rPr>
      </w:pPr>
      <w:r w:rsidRPr="00F934F9">
        <w:rPr>
          <w:color w:val="000000"/>
        </w:rPr>
        <w:t>The parties were both Muslims. The wife had been born in Bahrain and the husband, whose mother was British, in Saudi Arabia. They had met in Britain and married at an Islamic ceremony in London in 1998, followed by a London register office ceremony three years later. After the marriage they moved between homes in London and Saudi Arabia. When they separated in 2009, the husband remained in Saudi Arabia and the wife in London, where she considered herself to be habitually resident. In January 2010, the husband pronounced talaq in Saudi Arabia and presented a deed of confirmation before the local court, which amended its civil register to show his divorced status. Under Islamic law and custom, the divorce became effective in April 2010. In January 2011, the wife applied under the Matrimonial and Family Proceedings Act 1984 s.13 for leave to seek financial relief against the husband. A judge found that it was doubtful whether the Saudi divorce was entitled to English recognition as a "proceedings" divorce as envisaged by the Family Law Act 1986 s.46(1), that being a pre-condition to the exercise of jurisdiction under the 1984 Act. Consequently, the husband applied to set aside that order and the wife issued a fresh petition for the dissolution of the marriage. The issue was whether husband's talaq fell within the phrase "judicial or other proceedings" as imported into domestic legislation from the Hague Convention on the Recognition of Divorces and Separations 1970 art.1 (see above findings).</w:t>
      </w:r>
    </w:p>
    <w:bookmarkEnd w:id="2"/>
    <w:p w14:paraId="462E5BBC" w14:textId="7F05F92D" w:rsidR="000E7D0C" w:rsidRPr="00F934F9" w:rsidRDefault="000E7D0C" w:rsidP="00F934F9">
      <w:pPr>
        <w:pStyle w:val="ListParagraph"/>
        <w:numPr>
          <w:ilvl w:val="0"/>
          <w:numId w:val="1"/>
        </w:numPr>
        <w:spacing w:line="276" w:lineRule="auto"/>
        <w:jc w:val="both"/>
        <w:rPr>
          <w:rStyle w:val="IntenseReference"/>
          <w:rFonts w:ascii="Times New Roman" w:hAnsi="Times New Roman" w:cs="Times New Roman"/>
          <w:sz w:val="24"/>
          <w:szCs w:val="24"/>
        </w:rPr>
      </w:pPr>
      <w:r w:rsidRPr="00F934F9">
        <w:rPr>
          <w:rStyle w:val="IntenseReference"/>
          <w:rFonts w:ascii="Times New Roman" w:hAnsi="Times New Roman" w:cs="Times New Roman"/>
          <w:sz w:val="24"/>
          <w:szCs w:val="24"/>
        </w:rPr>
        <w:t>The 2007 hague Convention on the International Recovery of Child Support and Other Forms of Family Maintenance</w:t>
      </w:r>
    </w:p>
    <w:p w14:paraId="457F1366" w14:textId="3C852DF2"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The legislative framework is confusing. The principal statute is the Maintenance Orders (Reciprocal Arrangements) Act 1972. However, in relation to recognition and enforcement in the UK of maintenance orders made in Hague Convention countries, the relevant parts of the 1972 Act are substantially amended. The principal amending Order is the Reciprocal Enforcement of Maintenance Orders (Hague Convention Countries) Order 1993 SI 1993/593. In particular, sections 6 and 9 of the 1972 Act are amended as regards registration and enforcement of maintenance orders made in Hague Convention countries, by paragraphs 6 and 9 of schedule 2 of the 1993 Order respectively. Accordingly, sections 6 and 9 of the 1972 Act have effect as they are set out in amended form in schedule 3 of the 1993 Order. </w:t>
      </w:r>
    </w:p>
    <w:p w14:paraId="2F82B066"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In </w:t>
      </w:r>
      <w:r w:rsidRPr="00F934F9">
        <w:rPr>
          <w:rFonts w:ascii="Times New Roman" w:hAnsi="Times New Roman" w:cs="Times New Roman"/>
          <w:i/>
          <w:iCs/>
          <w:sz w:val="24"/>
          <w:szCs w:val="24"/>
        </w:rPr>
        <w:t>DX v JX</w:t>
      </w:r>
      <w:r w:rsidRPr="00F934F9">
        <w:rPr>
          <w:rFonts w:ascii="Times New Roman" w:hAnsi="Times New Roman" w:cs="Times New Roman"/>
          <w:sz w:val="24"/>
          <w:szCs w:val="24"/>
        </w:rPr>
        <w:t>,</w:t>
      </w:r>
      <w:r w:rsidRPr="00F934F9">
        <w:rPr>
          <w:rStyle w:val="FootnoteReference"/>
          <w:rFonts w:ascii="Times New Roman" w:hAnsi="Times New Roman" w:cs="Times New Roman"/>
          <w:sz w:val="24"/>
          <w:szCs w:val="24"/>
        </w:rPr>
        <w:footnoteReference w:id="87"/>
      </w:r>
      <w:r w:rsidRPr="00F934F9">
        <w:rPr>
          <w:rFonts w:ascii="Times New Roman" w:hAnsi="Times New Roman" w:cs="Times New Roman"/>
          <w:sz w:val="24"/>
          <w:szCs w:val="24"/>
        </w:rPr>
        <w:t xml:space="preserve"> Article 18 of the 2007 Convention was touched on. </w:t>
      </w:r>
    </w:p>
    <w:p w14:paraId="43B615E4"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In this case, a husband applied to vary a consent order concerning his spousal and child maintenance obligations.</w:t>
      </w:r>
    </w:p>
    <w:p w14:paraId="3B72A7B1"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The husband and wife were 53 and had three children. They met while working overseas and married in England in 1999. They moved abroad soon after when the husband's employment took him to Luxembourg for 14 years. The wife's principal role was homemaker and child-carer. In 2013, the family moved to the United Arab Emirates after the husband obtained a significantly better-paid job, earning around £420,000 net per annum. The marriage broke down the following year and the wife filed for divorce in England in 2015. The parties drafted </w:t>
      </w:r>
      <w:r w:rsidRPr="00F934F9">
        <w:rPr>
          <w:rFonts w:ascii="Times New Roman" w:hAnsi="Times New Roman" w:cs="Times New Roman"/>
          <w:sz w:val="24"/>
          <w:szCs w:val="24"/>
        </w:rPr>
        <w:lastRenderedPageBreak/>
        <w:t xml:space="preserve">a consent order, which was approved by Gibbons DJ sitting in the Central Family Court (England) in 2017. The husband agreed to make periodical payments that were not linked to needs but instead were a percentage of his net salary. The wife received 25%; the children received 8.33% each until they turned 18. In addition, the wife received a percentage of the husband's bonus. He also undertook to share half of his Luxembourg state pension with her on receipt aged 65. The wife and the children moved to Luxembourg. Under the consent order, the husband had agreed to the wife redeveloping her earning capacity without it affecting the level of spousal maintenance. However, her capacity was better than she had suggested, and after she obtained employment, the husband applied to the Luxembourg court to vary the spousal maintenance. His application and appeal failed and relations between the parties broke down completely. In the meantime, the husband’s job in the UAE had ended and he was working in England, earning £65,693 net per annum plus a discretionary bonus. The wife earned £60,986 per annum. The two older children were over 18 and no child maintenance was paid in their regard; the youngest was 14. In 2021, the husband applied to the English court to vary the order. </w:t>
      </w:r>
    </w:p>
    <w:p w14:paraId="3897FF4D"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The wife responded by applying to dismiss the application on the basis that the Luxembourg court retained exclusive jurisdiction as she is the maintenance creditor and jurisdiction therefore lies with the court of her habitual residence. She also made the point that the husband had already aired these arguments in Luxembourg, such that further proceedings were vexatious, oppressive, harassing and intimidating. The court, however, found her application to be misconceived. The Maintenance Regulation no longer applied. It has been replaced by Article 18 of the Hague Convention 2007, which provides:</w:t>
      </w:r>
    </w:p>
    <w:p w14:paraId="3A2A0A2F"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 ”(1)  Where a decision is made in a Contracting State where the creditor is habitually resident, proceedings to modify the decision or to make a new decision cannot be brought by the debtor in any other Contracting State as long as the creditor remains habitually resident in the State where the decision was made.”</w:t>
      </w:r>
    </w:p>
    <w:p w14:paraId="79D58569"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 The Borras-Degeling Explanatory Report states, at paragraph 415:</w:t>
      </w:r>
    </w:p>
    <w:p w14:paraId="0F6C1345"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It operates by prohibiting the debtor from seizing another jurisdiction to modify a decision or obtain a new decision where the original decision has been made in a Contracting State in which the creditor is habitually resident”.</w:t>
      </w:r>
    </w:p>
    <w:p w14:paraId="402BF6F0"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 xml:space="preserve"> The court, however, found that Article 18 did not apply as the original decision (consent order) was made by an English court rather than a court of another Contracting State:</w:t>
      </w:r>
    </w:p>
    <w:p w14:paraId="71AD29DB"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t>“I am absolutely clear that Article 18 does not prevent the Husband’s application. The decision that the Husband wishes to modify is not the Luxembourg decision. It is the decision of Gibbons DJ in this jurisdiction. Using the expression in the Borras-Degeling Explanatory Report, the court of origin is England and Wales not Luxembourg. No attempt is therefore being made to modify the decision in another Contracting State as the decision that he seeks to modify is from this jurisdiction. It follows that I am entitled to vary the order previously made in this jurisdiction if there is good reason to do so.”</w:t>
      </w:r>
      <w:r w:rsidRPr="00F934F9">
        <w:rPr>
          <w:rStyle w:val="FootnoteReference"/>
          <w:rFonts w:ascii="Times New Roman" w:hAnsi="Times New Roman" w:cs="Times New Roman"/>
          <w:sz w:val="24"/>
          <w:szCs w:val="24"/>
        </w:rPr>
        <w:footnoteReference w:id="88"/>
      </w:r>
    </w:p>
    <w:p w14:paraId="1B2B9A24" w14:textId="77777777" w:rsidR="00345894" w:rsidRPr="00F934F9" w:rsidRDefault="00345894" w:rsidP="00F934F9">
      <w:pPr>
        <w:spacing w:line="276" w:lineRule="auto"/>
        <w:jc w:val="both"/>
        <w:rPr>
          <w:rFonts w:ascii="Times New Roman" w:hAnsi="Times New Roman" w:cs="Times New Roman"/>
          <w:sz w:val="24"/>
          <w:szCs w:val="24"/>
        </w:rPr>
      </w:pPr>
      <w:r w:rsidRPr="00F934F9">
        <w:rPr>
          <w:rFonts w:ascii="Times New Roman" w:hAnsi="Times New Roman" w:cs="Times New Roman"/>
          <w:sz w:val="24"/>
          <w:szCs w:val="24"/>
        </w:rPr>
        <w:lastRenderedPageBreak/>
        <w:t>Outcome: The court varied the consent order so as to terminate the husband's spousal maintenance obligation and change his child maintenance obligation after his employment in the United Arab Emirates ended and he took a job in England, resulting in a salary decrease from £420,000 to £65,693 net per annum. The wife's circumstances were such that she could adjust without undue hardship to the termination of spousal maintenance, and the case required a clean break.</w:t>
      </w:r>
    </w:p>
    <w:p w14:paraId="27C2EA65" w14:textId="41FF7685" w:rsidR="0045135A" w:rsidRPr="00F934F9" w:rsidRDefault="0068252B" w:rsidP="00F934F9">
      <w:pPr>
        <w:pStyle w:val="ListParagraph"/>
        <w:numPr>
          <w:ilvl w:val="0"/>
          <w:numId w:val="1"/>
        </w:numPr>
        <w:jc w:val="both"/>
        <w:rPr>
          <w:rStyle w:val="IntenseReference"/>
          <w:rFonts w:ascii="Times New Roman" w:hAnsi="Times New Roman" w:cs="Times New Roman"/>
          <w:sz w:val="24"/>
          <w:szCs w:val="24"/>
        </w:rPr>
      </w:pPr>
      <w:r w:rsidRPr="00F934F9">
        <w:rPr>
          <w:rStyle w:val="IntenseReference"/>
          <w:rFonts w:ascii="Times New Roman" w:hAnsi="Times New Roman" w:cs="Times New Roman"/>
          <w:sz w:val="24"/>
          <w:szCs w:val="24"/>
        </w:rPr>
        <w:t xml:space="preserve">The </w:t>
      </w:r>
      <w:r w:rsidR="0045135A" w:rsidRPr="00F934F9">
        <w:rPr>
          <w:rStyle w:val="IntenseReference"/>
          <w:rFonts w:ascii="Times New Roman" w:hAnsi="Times New Roman" w:cs="Times New Roman"/>
          <w:sz w:val="24"/>
          <w:szCs w:val="24"/>
        </w:rPr>
        <w:t>2000 hague Convention on the International Protection of Adults</w:t>
      </w:r>
    </w:p>
    <w:p w14:paraId="69C23722" w14:textId="77777777" w:rsidR="0068252B" w:rsidRPr="00F934F9" w:rsidRDefault="0068252B" w:rsidP="00F934F9">
      <w:pPr>
        <w:spacing w:line="276"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 xml:space="preserve">Introduction </w:t>
      </w:r>
    </w:p>
    <w:p w14:paraId="01580FA2"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sz w:val="24"/>
          <w:szCs w:val="24"/>
        </w:rPr>
        <w:t>The United Kingdom signed the 2000 Convention on 1 April 2003 and ratified it on 5 November 2003. The ratification, however, extends only to Scotland.</w:t>
      </w:r>
      <w:r w:rsidRPr="00F934F9">
        <w:rPr>
          <w:rStyle w:val="FootnoteReference"/>
          <w:rFonts w:ascii="Times New Roman" w:hAnsi="Times New Roman" w:cs="Times New Roman"/>
          <w:sz w:val="24"/>
          <w:szCs w:val="24"/>
        </w:rPr>
        <w:footnoteReference w:id="89"/>
      </w:r>
      <w:r w:rsidRPr="00F934F9">
        <w:rPr>
          <w:rFonts w:ascii="Times New Roman" w:hAnsi="Times New Roman" w:cs="Times New Roman"/>
          <w:sz w:val="24"/>
          <w:szCs w:val="24"/>
        </w:rPr>
        <w:t xml:space="preserve"> The Convention entered into force in Scotland on 1 January 2009. </w:t>
      </w:r>
    </w:p>
    <w:p w14:paraId="2A5C701A" w14:textId="77777777" w:rsidR="00544A2E" w:rsidRPr="00F934F9" w:rsidRDefault="00544A2E" w:rsidP="00F934F9">
      <w:pPr>
        <w:jc w:val="both"/>
        <w:rPr>
          <w:rFonts w:ascii="Times New Roman" w:hAnsi="Times New Roman" w:cs="Times New Roman"/>
          <w:b/>
          <w:bCs/>
          <w:sz w:val="24"/>
          <w:szCs w:val="24"/>
        </w:rPr>
      </w:pPr>
      <w:r w:rsidRPr="00F934F9">
        <w:rPr>
          <w:rFonts w:ascii="Times New Roman" w:hAnsi="Times New Roman" w:cs="Times New Roman"/>
          <w:b/>
          <w:bCs/>
          <w:sz w:val="24"/>
          <w:szCs w:val="24"/>
        </w:rPr>
        <w:t>SCOTLAND</w:t>
      </w:r>
    </w:p>
    <w:p w14:paraId="37455C68" w14:textId="77777777" w:rsidR="00544A2E" w:rsidRPr="00F934F9" w:rsidRDefault="00544A2E" w:rsidP="00F934F9">
      <w:pPr>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 xml:space="preserve">Legal framework </w:t>
      </w:r>
    </w:p>
    <w:p w14:paraId="7AF6C148"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sz w:val="24"/>
          <w:szCs w:val="24"/>
        </w:rPr>
        <w:t xml:space="preserve">The </w:t>
      </w:r>
      <w:bookmarkStart w:id="4" w:name="_Hlk146289458"/>
      <w:r w:rsidRPr="00F934F9">
        <w:rPr>
          <w:rFonts w:ascii="Times New Roman" w:hAnsi="Times New Roman" w:cs="Times New Roman"/>
          <w:sz w:val="24"/>
          <w:szCs w:val="24"/>
        </w:rPr>
        <w:t xml:space="preserve">Adults with Incapacity (Scotland) Act 2000 </w:t>
      </w:r>
      <w:bookmarkEnd w:id="4"/>
      <w:r w:rsidRPr="00F934F9">
        <w:rPr>
          <w:rFonts w:ascii="Times New Roman" w:hAnsi="Times New Roman" w:cs="Times New Roman"/>
          <w:sz w:val="24"/>
          <w:szCs w:val="24"/>
        </w:rPr>
        <w:t>(hereafter: ‘the 2000 Act’) provides a framework for safeguarding the welfare and managing the finances of adults (people aged 16 or over) who lack capacity due to mental illness, learning disability, dementia or a related condition, or an inability to communicate. The 2000 Act was designed to become the implementing legislation for the 2000 Convention.</w:t>
      </w:r>
    </w:p>
    <w:p w14:paraId="6761D1DA" w14:textId="77777777" w:rsidR="00544A2E" w:rsidRPr="00B30743" w:rsidRDefault="00544A2E" w:rsidP="00F934F9">
      <w:pPr>
        <w:jc w:val="both"/>
        <w:rPr>
          <w:rFonts w:ascii="Times New Roman" w:hAnsi="Times New Roman" w:cs="Times New Roman"/>
          <w:sz w:val="24"/>
          <w:szCs w:val="24"/>
          <w:shd w:val="clear" w:color="auto" w:fill="FFFFFF"/>
        </w:rPr>
      </w:pPr>
      <w:r w:rsidRPr="00B30743">
        <w:rPr>
          <w:rFonts w:ascii="Times New Roman" w:hAnsi="Times New Roman" w:cs="Times New Roman"/>
          <w:sz w:val="24"/>
          <w:szCs w:val="24"/>
          <w:shd w:val="clear" w:color="auto" w:fill="FFFFFF"/>
        </w:rPr>
        <w:t>The inter-relationship of the Convention with the 2000 Act is, however, not entirely uncomplicated. Article 1(1) of the Convention refers to adults who “by reason of an impairment or insufficiency of their personal faculties, are not in a position to protect their interests.” This undoubtedly covers all those persons who would fall within the material scope of the 2000 Act, however, it may go further and extend to incapacities which are physical or sensory.</w:t>
      </w:r>
      <w:r w:rsidRPr="00B30743">
        <w:rPr>
          <w:rStyle w:val="FootnoteReference"/>
          <w:rFonts w:ascii="Times New Roman" w:hAnsi="Times New Roman" w:cs="Times New Roman"/>
          <w:sz w:val="24"/>
          <w:szCs w:val="24"/>
          <w:shd w:val="clear" w:color="auto" w:fill="FFFFFF"/>
        </w:rPr>
        <w:footnoteReference w:id="90"/>
      </w:r>
      <w:r w:rsidRPr="00B30743">
        <w:rPr>
          <w:rFonts w:ascii="Times New Roman" w:hAnsi="Times New Roman" w:cs="Times New Roman"/>
          <w:sz w:val="24"/>
          <w:szCs w:val="24"/>
          <w:shd w:val="clear" w:color="auto" w:fill="FFFFFF"/>
        </w:rPr>
        <w:t xml:space="preserve"> This would not be aligned with the approach taken by the 2000 Act, which defines ‘incapable’ as incapable of:</w:t>
      </w:r>
    </w:p>
    <w:p w14:paraId="2EBC8B36" w14:textId="77777777" w:rsidR="00544A2E" w:rsidRPr="00B30743" w:rsidRDefault="00544A2E" w:rsidP="00F934F9">
      <w:pPr>
        <w:numPr>
          <w:ilvl w:val="0"/>
          <w:numId w:val="10"/>
        </w:numPr>
        <w:shd w:val="clear" w:color="auto" w:fill="FFFFFF"/>
        <w:spacing w:after="120" w:line="240" w:lineRule="auto"/>
        <w:jc w:val="both"/>
        <w:rPr>
          <w:rFonts w:ascii="Times New Roman" w:hAnsi="Times New Roman" w:cs="Times New Roman"/>
          <w:sz w:val="24"/>
          <w:szCs w:val="24"/>
        </w:rPr>
      </w:pPr>
      <w:r w:rsidRPr="00B30743">
        <w:rPr>
          <w:rFonts w:ascii="Times New Roman" w:hAnsi="Times New Roman" w:cs="Times New Roman"/>
          <w:sz w:val="24"/>
          <w:szCs w:val="24"/>
        </w:rPr>
        <w:t>acting on decisions; or</w:t>
      </w:r>
    </w:p>
    <w:p w14:paraId="1235697E" w14:textId="77777777" w:rsidR="00544A2E" w:rsidRPr="00B30743" w:rsidRDefault="00544A2E" w:rsidP="00F934F9">
      <w:pPr>
        <w:numPr>
          <w:ilvl w:val="0"/>
          <w:numId w:val="10"/>
        </w:numPr>
        <w:shd w:val="clear" w:color="auto" w:fill="FFFFFF"/>
        <w:spacing w:after="120" w:line="240" w:lineRule="auto"/>
        <w:jc w:val="both"/>
        <w:rPr>
          <w:rFonts w:ascii="Times New Roman" w:hAnsi="Times New Roman" w:cs="Times New Roman"/>
          <w:sz w:val="24"/>
          <w:szCs w:val="24"/>
        </w:rPr>
      </w:pPr>
      <w:r w:rsidRPr="00B30743">
        <w:rPr>
          <w:rFonts w:ascii="Times New Roman" w:hAnsi="Times New Roman" w:cs="Times New Roman"/>
          <w:sz w:val="24"/>
          <w:szCs w:val="24"/>
        </w:rPr>
        <w:t>making decisions; or</w:t>
      </w:r>
    </w:p>
    <w:p w14:paraId="261CB634" w14:textId="77777777" w:rsidR="00544A2E" w:rsidRPr="00B30743" w:rsidRDefault="00544A2E" w:rsidP="00F934F9">
      <w:pPr>
        <w:numPr>
          <w:ilvl w:val="0"/>
          <w:numId w:val="10"/>
        </w:numPr>
        <w:shd w:val="clear" w:color="auto" w:fill="FFFFFF"/>
        <w:spacing w:after="120" w:line="240" w:lineRule="auto"/>
        <w:jc w:val="both"/>
        <w:rPr>
          <w:rFonts w:ascii="Times New Roman" w:hAnsi="Times New Roman" w:cs="Times New Roman"/>
          <w:sz w:val="24"/>
          <w:szCs w:val="24"/>
        </w:rPr>
      </w:pPr>
      <w:r w:rsidRPr="00B30743">
        <w:rPr>
          <w:rFonts w:ascii="Times New Roman" w:hAnsi="Times New Roman" w:cs="Times New Roman"/>
          <w:sz w:val="24"/>
          <w:szCs w:val="24"/>
        </w:rPr>
        <w:t>communicating decisions; or</w:t>
      </w:r>
    </w:p>
    <w:p w14:paraId="3686C1E8" w14:textId="77777777" w:rsidR="00544A2E" w:rsidRPr="00B30743" w:rsidRDefault="00544A2E" w:rsidP="00F934F9">
      <w:pPr>
        <w:numPr>
          <w:ilvl w:val="0"/>
          <w:numId w:val="10"/>
        </w:numPr>
        <w:shd w:val="clear" w:color="auto" w:fill="FFFFFF"/>
        <w:spacing w:after="120" w:line="240" w:lineRule="auto"/>
        <w:jc w:val="both"/>
        <w:rPr>
          <w:rFonts w:ascii="Times New Roman" w:hAnsi="Times New Roman" w:cs="Times New Roman"/>
          <w:sz w:val="24"/>
          <w:szCs w:val="24"/>
        </w:rPr>
      </w:pPr>
      <w:r w:rsidRPr="00B30743">
        <w:rPr>
          <w:rFonts w:ascii="Times New Roman" w:hAnsi="Times New Roman" w:cs="Times New Roman"/>
          <w:sz w:val="24"/>
          <w:szCs w:val="24"/>
        </w:rPr>
        <w:t>understanding decisions; or</w:t>
      </w:r>
    </w:p>
    <w:p w14:paraId="6AC9B307" w14:textId="77777777" w:rsidR="00544A2E" w:rsidRPr="00B30743" w:rsidRDefault="00544A2E" w:rsidP="00F934F9">
      <w:pPr>
        <w:numPr>
          <w:ilvl w:val="0"/>
          <w:numId w:val="10"/>
        </w:numPr>
        <w:shd w:val="clear" w:color="auto" w:fill="FFFFFF"/>
        <w:spacing w:after="120" w:line="240" w:lineRule="auto"/>
        <w:jc w:val="both"/>
        <w:rPr>
          <w:rFonts w:ascii="Times New Roman" w:hAnsi="Times New Roman" w:cs="Times New Roman"/>
          <w:sz w:val="24"/>
          <w:szCs w:val="24"/>
        </w:rPr>
      </w:pPr>
      <w:r w:rsidRPr="00B30743">
        <w:rPr>
          <w:rFonts w:ascii="Times New Roman" w:hAnsi="Times New Roman" w:cs="Times New Roman"/>
          <w:sz w:val="24"/>
          <w:szCs w:val="24"/>
        </w:rPr>
        <w:t>retaining the memory of decisions</w:t>
      </w:r>
    </w:p>
    <w:p w14:paraId="56E5F3E6" w14:textId="77777777" w:rsidR="00544A2E" w:rsidRPr="00B30743" w:rsidRDefault="00544A2E" w:rsidP="00F934F9">
      <w:pPr>
        <w:pStyle w:val="NormalWeb"/>
        <w:shd w:val="clear" w:color="auto" w:fill="FFFFFF"/>
        <w:spacing w:before="0" w:beforeAutospacing="0" w:after="240" w:afterAutospacing="0"/>
        <w:jc w:val="both"/>
      </w:pPr>
      <w:r w:rsidRPr="00B30743">
        <w:t>in relation to any particular matter due to mental disorder or inability to communicate because of physical disability.</w:t>
      </w:r>
      <w:r w:rsidRPr="00B30743">
        <w:rPr>
          <w:rStyle w:val="FootnoteReference"/>
        </w:rPr>
        <w:footnoteReference w:id="91"/>
      </w:r>
      <w:r w:rsidRPr="00B30743">
        <w:rPr>
          <w:shd w:val="clear" w:color="auto" w:fill="FFFFFF"/>
        </w:rPr>
        <w:t xml:space="preserve"> A person does not fall within the scope of the Act only because of a </w:t>
      </w:r>
      <w:r w:rsidRPr="00B30743">
        <w:rPr>
          <w:shd w:val="clear" w:color="auto" w:fill="FFFFFF"/>
        </w:rPr>
        <w:lastRenderedPageBreak/>
        <w:t>lack or deficiency in a faculty of communication, if the latter can be made good by human or mechanical aid.</w:t>
      </w:r>
      <w:r w:rsidRPr="00B30743">
        <w:rPr>
          <w:rStyle w:val="FootnoteReference"/>
          <w:shd w:val="clear" w:color="auto" w:fill="FFFFFF"/>
        </w:rPr>
        <w:footnoteReference w:id="92"/>
      </w:r>
    </w:p>
    <w:p w14:paraId="4ECAAF2C" w14:textId="77777777" w:rsidR="00544A2E" w:rsidRPr="00F934F9" w:rsidRDefault="00544A2E" w:rsidP="00F934F9">
      <w:pPr>
        <w:pStyle w:val="NormalWeb"/>
        <w:shd w:val="clear" w:color="auto" w:fill="FFFFFF"/>
        <w:spacing w:before="0" w:beforeAutospacing="0" w:after="240" w:afterAutospacing="0"/>
        <w:jc w:val="both"/>
        <w:rPr>
          <w:color w:val="000000"/>
        </w:rPr>
      </w:pPr>
      <w:r w:rsidRPr="00F934F9">
        <w:rPr>
          <w:color w:val="000000"/>
        </w:rPr>
        <w:t>Another possible disconnection between the 2000 Act and the Convention pertains to the definition of ‘adult’. For the purposes of the Act, ‘adult’ means a person who has attained the age of 16 years</w:t>
      </w:r>
      <w:r w:rsidRPr="00F934F9">
        <w:rPr>
          <w:rStyle w:val="FootnoteReference"/>
          <w:color w:val="000000"/>
        </w:rPr>
        <w:footnoteReference w:id="93"/>
      </w:r>
      <w:r w:rsidRPr="00F934F9">
        <w:rPr>
          <w:color w:val="000000"/>
        </w:rPr>
        <w:t xml:space="preserve"> whereas the Convention applies to adults aged 18 and over.</w:t>
      </w:r>
      <w:r w:rsidRPr="00F934F9">
        <w:rPr>
          <w:rStyle w:val="FootnoteReference"/>
          <w:color w:val="000000"/>
        </w:rPr>
        <w:footnoteReference w:id="94"/>
      </w:r>
      <w:r w:rsidRPr="00F934F9">
        <w:rPr>
          <w:color w:val="000000"/>
        </w:rPr>
        <w:t xml:space="preserve"> Nevertheless, there is a high degree of integration between the 2000 Convention and the 1996 Convention as the 1996 Convention applies to persons under 18. Moreover, continuity in care is promoted by the 2000 Convention being able to cover measures which were actually taken during the childhood of an incapacitated person.</w:t>
      </w:r>
      <w:r w:rsidRPr="00F934F9">
        <w:rPr>
          <w:rStyle w:val="FootnoteReference"/>
          <w:color w:val="000000"/>
        </w:rPr>
        <w:footnoteReference w:id="95"/>
      </w:r>
    </w:p>
    <w:p w14:paraId="50AF050C" w14:textId="77777777" w:rsidR="00544A2E" w:rsidRPr="00F934F9" w:rsidRDefault="00544A2E" w:rsidP="00F934F9">
      <w:pPr>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Duties towards incapacitated adults are held by local authorities,</w:t>
      </w:r>
      <w:r w:rsidRPr="00F934F9">
        <w:rPr>
          <w:rStyle w:val="FootnoteReference"/>
          <w:rFonts w:ascii="Times New Roman" w:hAnsi="Times New Roman" w:cs="Times New Roman"/>
          <w:sz w:val="24"/>
          <w:szCs w:val="24"/>
          <w:shd w:val="clear" w:color="auto" w:fill="FFFFFF"/>
        </w:rPr>
        <w:footnoteReference w:id="96"/>
      </w:r>
      <w:r w:rsidRPr="00F934F9">
        <w:rPr>
          <w:rFonts w:ascii="Times New Roman" w:hAnsi="Times New Roman" w:cs="Times New Roman"/>
          <w:sz w:val="24"/>
          <w:szCs w:val="24"/>
          <w:shd w:val="clear" w:color="auto" w:fill="FFFFFF"/>
        </w:rPr>
        <w:t> the courts,</w:t>
      </w:r>
      <w:r w:rsidRPr="00F934F9">
        <w:rPr>
          <w:rStyle w:val="FootnoteReference"/>
          <w:rFonts w:ascii="Times New Roman" w:hAnsi="Times New Roman" w:cs="Times New Roman"/>
          <w:sz w:val="24"/>
          <w:szCs w:val="24"/>
          <w:shd w:val="clear" w:color="auto" w:fill="FFFFFF"/>
        </w:rPr>
        <w:footnoteReference w:id="97"/>
      </w:r>
      <w:r w:rsidRPr="00F934F9">
        <w:rPr>
          <w:rFonts w:ascii="Times New Roman" w:hAnsi="Times New Roman" w:cs="Times New Roman"/>
          <w:sz w:val="24"/>
          <w:szCs w:val="24"/>
          <w:shd w:val="clear" w:color="auto" w:fill="FFFFFF"/>
        </w:rPr>
        <w:t xml:space="preserve"> the Public Guardian</w:t>
      </w:r>
      <w:r w:rsidRPr="00F934F9">
        <w:rPr>
          <w:rStyle w:val="FootnoteReference"/>
          <w:rFonts w:ascii="Times New Roman" w:hAnsi="Times New Roman" w:cs="Times New Roman"/>
          <w:sz w:val="24"/>
          <w:szCs w:val="24"/>
          <w:shd w:val="clear" w:color="auto" w:fill="FFFFFF"/>
        </w:rPr>
        <w:footnoteReference w:id="98"/>
      </w:r>
      <w:r w:rsidRPr="00F934F9">
        <w:rPr>
          <w:rFonts w:ascii="Times New Roman" w:hAnsi="Times New Roman" w:cs="Times New Roman"/>
          <w:sz w:val="24"/>
          <w:szCs w:val="24"/>
          <w:shd w:val="clear" w:color="auto" w:fill="FFFFFF"/>
        </w:rPr>
        <w:t> and the Mental Welfare Commission.</w:t>
      </w:r>
      <w:r w:rsidRPr="00F934F9">
        <w:rPr>
          <w:rStyle w:val="FootnoteReference"/>
          <w:rFonts w:ascii="Times New Roman" w:hAnsi="Times New Roman" w:cs="Times New Roman"/>
          <w:sz w:val="24"/>
          <w:szCs w:val="24"/>
          <w:shd w:val="clear" w:color="auto" w:fill="FFFFFF"/>
        </w:rPr>
        <w:footnoteReference w:id="99"/>
      </w:r>
      <w:r w:rsidRPr="00F934F9">
        <w:rPr>
          <w:rFonts w:ascii="Times New Roman" w:hAnsi="Times New Roman" w:cs="Times New Roman"/>
          <w:sz w:val="24"/>
          <w:szCs w:val="24"/>
          <w:shd w:val="clear" w:color="auto" w:fill="FFFFFF"/>
        </w:rPr>
        <w:t> The Act provides ways for safeguarding a person's welfare and managing his/her financial affairs or both. The Act aims to ensure that solutions focus on the needs of the individual: for example, a person with dementia may be able to decide what sort of support he/she would prefer to help with day to day living, but be unable to manage his/her money. In such a case a financial intervention may be all that is needed. In other circumstances a combination of welfare and financial measures may be necessary.</w:t>
      </w:r>
    </w:p>
    <w:p w14:paraId="656183EF" w14:textId="77777777" w:rsidR="00544A2E" w:rsidRPr="00F934F9" w:rsidRDefault="00544A2E" w:rsidP="00F934F9">
      <w:pPr>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Act does not authorise action in every matter where the person may have impaired capacity. Certain decisions can never be made on behalf of a person who lacks capacity, for example, consent to marriage or making a will. The Act imposes other restrictions on what a proxy is able to do, for example, a welfare attorney or guardian or intervener cannot place the person they are acting for in a mental hospital against his/her will or consent to certain treatments on his/her behalf.</w:t>
      </w:r>
    </w:p>
    <w:p w14:paraId="690F5B36" w14:textId="77777777" w:rsidR="00544A2E" w:rsidRPr="00F934F9" w:rsidRDefault="00544A2E" w:rsidP="00F934F9">
      <w:pPr>
        <w:jc w:val="both"/>
        <w:rPr>
          <w:rFonts w:ascii="Times New Roman" w:hAnsi="Times New Roman" w:cs="Times New Roman"/>
          <w:i/>
          <w:iCs/>
          <w:sz w:val="24"/>
          <w:szCs w:val="24"/>
          <w:shd w:val="clear" w:color="auto" w:fill="FFFFFF"/>
        </w:rPr>
      </w:pPr>
      <w:r w:rsidRPr="00F934F9">
        <w:rPr>
          <w:rFonts w:ascii="Times New Roman" w:hAnsi="Times New Roman" w:cs="Times New Roman"/>
          <w:i/>
          <w:iCs/>
          <w:sz w:val="24"/>
          <w:szCs w:val="24"/>
          <w:shd w:val="clear" w:color="auto" w:fill="FFFFFF"/>
        </w:rPr>
        <w:t>Types of interventions</w:t>
      </w:r>
    </w:p>
    <w:p w14:paraId="0D2B1C55"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i/>
          <w:iCs/>
          <w:sz w:val="24"/>
          <w:szCs w:val="24"/>
        </w:rPr>
        <w:t>Ex lege</w:t>
      </w:r>
      <w:r w:rsidRPr="00F934F9">
        <w:rPr>
          <w:rFonts w:ascii="Times New Roman" w:hAnsi="Times New Roman" w:cs="Times New Roman"/>
          <w:sz w:val="24"/>
          <w:szCs w:val="24"/>
        </w:rPr>
        <w:t xml:space="preserve"> powers of attorney do not exist in Scotland as no next of kin automatically has a role under the Act. The Act sets out s</w:t>
      </w:r>
      <w:r w:rsidRPr="00F934F9">
        <w:rPr>
          <w:rFonts w:ascii="Times New Roman" w:hAnsi="Times New Roman" w:cs="Times New Roman"/>
          <w:sz w:val="24"/>
          <w:szCs w:val="24"/>
          <w:shd w:val="clear" w:color="auto" w:fill="FFFFFF"/>
        </w:rPr>
        <w:t>pecific regimes to deal with individual issues: continuing powers of attorney and welfare powers of attorney;</w:t>
      </w:r>
      <w:r w:rsidRPr="00F934F9">
        <w:rPr>
          <w:rStyle w:val="FootnoteReference"/>
          <w:rFonts w:ascii="Times New Roman" w:hAnsi="Times New Roman" w:cs="Times New Roman"/>
          <w:sz w:val="24"/>
          <w:szCs w:val="24"/>
          <w:shd w:val="clear" w:color="auto" w:fill="FFFFFF"/>
        </w:rPr>
        <w:footnoteReference w:id="100"/>
      </w:r>
      <w:r w:rsidRPr="00F934F9">
        <w:rPr>
          <w:rFonts w:ascii="Times New Roman" w:hAnsi="Times New Roman" w:cs="Times New Roman"/>
          <w:sz w:val="24"/>
          <w:szCs w:val="24"/>
          <w:shd w:val="clear" w:color="auto" w:fill="FFFFFF"/>
        </w:rPr>
        <w:t xml:space="preserve"> accounts and funds;</w:t>
      </w:r>
      <w:r w:rsidRPr="00F934F9">
        <w:rPr>
          <w:rStyle w:val="FootnoteReference"/>
          <w:rFonts w:ascii="Times New Roman" w:hAnsi="Times New Roman" w:cs="Times New Roman"/>
          <w:sz w:val="24"/>
          <w:szCs w:val="24"/>
          <w:shd w:val="clear" w:color="auto" w:fill="FFFFFF"/>
        </w:rPr>
        <w:footnoteReference w:id="101"/>
      </w:r>
      <w:r w:rsidRPr="00F934F9">
        <w:rPr>
          <w:rFonts w:ascii="Times New Roman" w:hAnsi="Times New Roman" w:cs="Times New Roman"/>
          <w:sz w:val="24"/>
          <w:szCs w:val="24"/>
          <w:shd w:val="clear" w:color="auto" w:fill="FFFFFF"/>
        </w:rPr>
        <w:t xml:space="preserve"> management of </w:t>
      </w:r>
      <w:r w:rsidRPr="00F934F9">
        <w:rPr>
          <w:rFonts w:ascii="Times New Roman" w:hAnsi="Times New Roman" w:cs="Times New Roman"/>
          <w:sz w:val="24"/>
          <w:szCs w:val="24"/>
          <w:shd w:val="clear" w:color="auto" w:fill="FFFFFF"/>
        </w:rPr>
        <w:lastRenderedPageBreak/>
        <w:t>the finances of persons in residential accommodation;</w:t>
      </w:r>
      <w:r w:rsidRPr="00F934F9">
        <w:rPr>
          <w:rStyle w:val="FootnoteReference"/>
          <w:rFonts w:ascii="Times New Roman" w:hAnsi="Times New Roman" w:cs="Times New Roman"/>
          <w:sz w:val="24"/>
          <w:szCs w:val="24"/>
          <w:shd w:val="clear" w:color="auto" w:fill="FFFFFF"/>
        </w:rPr>
        <w:footnoteReference w:id="102"/>
      </w:r>
      <w:r w:rsidRPr="00F934F9">
        <w:rPr>
          <w:rFonts w:ascii="Times New Roman" w:hAnsi="Times New Roman" w:cs="Times New Roman"/>
          <w:sz w:val="24"/>
          <w:szCs w:val="24"/>
          <w:shd w:val="clear" w:color="auto" w:fill="FFFFFF"/>
        </w:rPr>
        <w:t xml:space="preserve"> medical treatment;</w:t>
      </w:r>
      <w:r w:rsidRPr="00F934F9">
        <w:rPr>
          <w:rStyle w:val="FootnoteReference"/>
          <w:rFonts w:ascii="Times New Roman" w:hAnsi="Times New Roman" w:cs="Times New Roman"/>
          <w:sz w:val="24"/>
          <w:szCs w:val="24"/>
          <w:bdr w:val="none" w:sz="0" w:space="0" w:color="auto" w:frame="1"/>
          <w:shd w:val="clear" w:color="auto" w:fill="FFFFFF"/>
        </w:rPr>
        <w:footnoteReference w:id="103"/>
      </w:r>
      <w:r w:rsidRPr="00F934F9">
        <w:rPr>
          <w:rFonts w:ascii="Times New Roman" w:hAnsi="Times New Roman" w:cs="Times New Roman"/>
          <w:sz w:val="24"/>
          <w:szCs w:val="24"/>
          <w:shd w:val="clear" w:color="auto" w:fill="FFFFFF"/>
        </w:rPr>
        <w:t xml:space="preserve"> as well as consent to research.</w:t>
      </w:r>
      <w:r w:rsidRPr="00F934F9">
        <w:rPr>
          <w:rStyle w:val="FootnoteReference"/>
          <w:rFonts w:ascii="Times New Roman" w:hAnsi="Times New Roman" w:cs="Times New Roman"/>
          <w:sz w:val="24"/>
          <w:szCs w:val="24"/>
          <w:shd w:val="clear" w:color="auto" w:fill="FFFFFF"/>
        </w:rPr>
        <w:footnoteReference w:id="104"/>
      </w:r>
      <w:r w:rsidRPr="00F934F9">
        <w:rPr>
          <w:rFonts w:ascii="Times New Roman" w:hAnsi="Times New Roman" w:cs="Times New Roman"/>
          <w:sz w:val="24"/>
          <w:szCs w:val="24"/>
          <w:shd w:val="clear" w:color="auto" w:fill="FFFFFF"/>
        </w:rPr>
        <w:t> Where judicial measures are required these are to be obtained from the sheriff court in the form of an intervention order,</w:t>
      </w:r>
      <w:r w:rsidRPr="00F934F9">
        <w:rPr>
          <w:rStyle w:val="FootnoteReference"/>
          <w:rFonts w:ascii="Times New Roman" w:hAnsi="Times New Roman" w:cs="Times New Roman"/>
          <w:sz w:val="24"/>
          <w:szCs w:val="24"/>
          <w:shd w:val="clear" w:color="auto" w:fill="FFFFFF"/>
        </w:rPr>
        <w:footnoteReference w:id="105"/>
      </w:r>
      <w:r w:rsidRPr="00F934F9">
        <w:rPr>
          <w:rFonts w:ascii="Times New Roman" w:hAnsi="Times New Roman" w:cs="Times New Roman"/>
          <w:sz w:val="24"/>
          <w:szCs w:val="24"/>
          <w:shd w:val="clear" w:color="auto" w:fill="FFFFFF"/>
        </w:rPr>
        <w:t> as regards a specific issue, or a guardianship order,</w:t>
      </w:r>
      <w:r w:rsidRPr="00F934F9">
        <w:rPr>
          <w:rStyle w:val="FootnoteReference"/>
          <w:rFonts w:ascii="Times New Roman" w:hAnsi="Times New Roman" w:cs="Times New Roman"/>
          <w:sz w:val="24"/>
          <w:szCs w:val="24"/>
          <w:shd w:val="clear" w:color="auto" w:fill="FFFFFF"/>
        </w:rPr>
        <w:footnoteReference w:id="106"/>
      </w:r>
      <w:r w:rsidRPr="00F934F9">
        <w:rPr>
          <w:rFonts w:ascii="Times New Roman" w:hAnsi="Times New Roman" w:cs="Times New Roman"/>
          <w:sz w:val="24"/>
          <w:szCs w:val="24"/>
          <w:shd w:val="clear" w:color="auto" w:fill="FFFFFF"/>
        </w:rPr>
        <w:t> where on-going supervision is necessary.</w:t>
      </w:r>
    </w:p>
    <w:p w14:paraId="49EAAA11" w14:textId="77777777" w:rsidR="00544A2E" w:rsidRPr="00F934F9" w:rsidRDefault="00544A2E" w:rsidP="00F934F9">
      <w:pPr>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Power of attorney</w:t>
      </w:r>
      <w:r w:rsidRPr="00F934F9">
        <w:rPr>
          <w:rStyle w:val="FootnoteReference"/>
          <w:rFonts w:ascii="Times New Roman" w:hAnsi="Times New Roman" w:cs="Times New Roman"/>
          <w:sz w:val="24"/>
          <w:szCs w:val="24"/>
          <w:shd w:val="clear" w:color="auto" w:fill="FFFFFF"/>
        </w:rPr>
        <w:footnoteReference w:id="107"/>
      </w:r>
      <w:r w:rsidRPr="00F934F9">
        <w:rPr>
          <w:rFonts w:ascii="Times New Roman" w:hAnsi="Times New Roman" w:cs="Times New Roman"/>
          <w:sz w:val="24"/>
          <w:szCs w:val="24"/>
          <w:shd w:val="clear" w:color="auto" w:fill="FFFFFF"/>
        </w:rPr>
        <w:t xml:space="preserve"> is authority given by an individual, whilst they have capacity (‘the granter’), to another person (‘the attorney’) to act as their continuing (financial) and/or welfare attorney. One or more persons can be appointed. A continuing (financial) power of attorney continues or commences (where specified) on the granter's loss of capacity. A welfare power of attorney only comes into effect in the event of the granter's loss of capacity. All powers of attorney under the Act must be registered with the Public Guardian. </w:t>
      </w:r>
      <w:r w:rsidRPr="00F934F9">
        <w:rPr>
          <w:rFonts w:ascii="Times New Roman" w:hAnsi="Times New Roman" w:cs="Times New Roman"/>
          <w:sz w:val="24"/>
          <w:szCs w:val="24"/>
        </w:rPr>
        <w:t xml:space="preserve">Where no power of attorney is in place and capacity is in question, anyone wishing to intervene in the affairs of an adult with incapacity will have to petition a local Sheriff Court to be appointed as ‘guardian’ or ‘intervener’. </w:t>
      </w:r>
    </w:p>
    <w:p w14:paraId="4A8B2910" w14:textId="77777777" w:rsidR="00544A2E" w:rsidRPr="00F934F9" w:rsidRDefault="00544A2E" w:rsidP="00F934F9">
      <w:pPr>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rPr>
        <w:t>A g</w:t>
      </w:r>
      <w:r w:rsidRPr="00F934F9">
        <w:rPr>
          <w:rFonts w:ascii="Times New Roman" w:hAnsi="Times New Roman" w:cs="Times New Roman"/>
          <w:sz w:val="24"/>
          <w:szCs w:val="24"/>
          <w:shd w:val="clear" w:color="auto" w:fill="FFFFFF"/>
        </w:rPr>
        <w:t>uardianship order</w:t>
      </w:r>
      <w:r w:rsidRPr="00F934F9">
        <w:rPr>
          <w:rStyle w:val="FootnoteReference"/>
          <w:rFonts w:ascii="Times New Roman" w:hAnsi="Times New Roman" w:cs="Times New Roman"/>
          <w:sz w:val="24"/>
          <w:szCs w:val="24"/>
          <w:shd w:val="clear" w:color="auto" w:fill="FFFFFF"/>
        </w:rPr>
        <w:footnoteReference w:id="108"/>
      </w:r>
      <w:r w:rsidRPr="00F934F9">
        <w:rPr>
          <w:rFonts w:ascii="Times New Roman" w:hAnsi="Times New Roman" w:cs="Times New Roman"/>
          <w:sz w:val="24"/>
          <w:szCs w:val="24"/>
          <w:shd w:val="clear" w:color="auto" w:fill="FFFFFF"/>
        </w:rPr>
        <w:t xml:space="preserve"> can cover property and financial matters or personal welfare, including health, or a combination of these. It is likely to be suitable where the person has long-term needs in relation to these matters, and has lost, or has never had, capacity to take decisions or action on these matters for him or herself. An application may be made to the sheriff court by individuals, or by the local authority where no one else is applying and the adult has been assessed as needing a guardian. Before granting a guardianship order, the sheriff would have to be satisfied that the adult is incapable with regard to the matters in question, and that there is no other suitable means of safeguarding or promoting the adult's interests in these matters.</w:t>
      </w:r>
    </w:p>
    <w:p w14:paraId="57B33150" w14:textId="77777777" w:rsidR="00544A2E" w:rsidRPr="00F934F9" w:rsidRDefault="00544A2E" w:rsidP="00F934F9">
      <w:pPr>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An intervention order</w:t>
      </w:r>
      <w:r w:rsidRPr="00F934F9">
        <w:rPr>
          <w:rStyle w:val="FootnoteReference"/>
          <w:rFonts w:ascii="Times New Roman" w:hAnsi="Times New Roman" w:cs="Times New Roman"/>
          <w:sz w:val="24"/>
          <w:szCs w:val="24"/>
          <w:shd w:val="clear" w:color="auto" w:fill="FFFFFF"/>
        </w:rPr>
        <w:footnoteReference w:id="109"/>
      </w:r>
      <w:r w:rsidRPr="00F934F9">
        <w:rPr>
          <w:rFonts w:ascii="Times New Roman" w:hAnsi="Times New Roman" w:cs="Times New Roman"/>
          <w:sz w:val="24"/>
          <w:szCs w:val="24"/>
          <w:shd w:val="clear" w:color="auto" w:fill="FFFFFF"/>
        </w:rPr>
        <w:t xml:space="preserve"> would normally be suitable where there is a single action or decision to be taken on behalf of the adult. This could, for example, be a financial or property transaction or a legal action on behalf of the adult such as signing a tenancy agreement. Intervention orders </w:t>
      </w:r>
      <w:r w:rsidRPr="00F934F9">
        <w:rPr>
          <w:rFonts w:ascii="Times New Roman" w:hAnsi="Times New Roman" w:cs="Times New Roman"/>
          <w:sz w:val="24"/>
          <w:szCs w:val="24"/>
          <w:shd w:val="clear" w:color="auto" w:fill="FFFFFF"/>
        </w:rPr>
        <w:lastRenderedPageBreak/>
        <w:t>can cover both financial and welfare matters. An application may be made to the sheriff court by an individual or local authority.</w:t>
      </w:r>
    </w:p>
    <w:p w14:paraId="1077B67D" w14:textId="77777777" w:rsidR="00544A2E" w:rsidRPr="00F934F9" w:rsidRDefault="00544A2E" w:rsidP="00F934F9">
      <w:pPr>
        <w:jc w:val="both"/>
        <w:rPr>
          <w:rFonts w:ascii="Times New Roman" w:hAnsi="Times New Roman" w:cs="Times New Roman"/>
          <w:i/>
          <w:iCs/>
          <w:sz w:val="24"/>
          <w:szCs w:val="24"/>
          <w:shd w:val="clear" w:color="auto" w:fill="FFFFFF"/>
        </w:rPr>
      </w:pPr>
      <w:r w:rsidRPr="00F934F9">
        <w:rPr>
          <w:rFonts w:ascii="Times New Roman" w:hAnsi="Times New Roman" w:cs="Times New Roman"/>
          <w:i/>
          <w:iCs/>
          <w:sz w:val="24"/>
          <w:szCs w:val="24"/>
          <w:shd w:val="clear" w:color="auto" w:fill="FFFFFF"/>
        </w:rPr>
        <w:t>Principles</w:t>
      </w:r>
    </w:p>
    <w:p w14:paraId="5BA08684" w14:textId="77777777" w:rsidR="00544A2E" w:rsidRPr="00F934F9" w:rsidRDefault="00544A2E" w:rsidP="00F934F9">
      <w:pPr>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principles to be applied start with the policy of no intervention, unless this will benefit the adult and the benefit cannot otherwise be achieved.</w:t>
      </w:r>
      <w:r w:rsidRPr="00F934F9">
        <w:rPr>
          <w:rStyle w:val="FootnoteReference"/>
          <w:rFonts w:ascii="Times New Roman" w:hAnsi="Times New Roman" w:cs="Times New Roman"/>
          <w:sz w:val="24"/>
          <w:szCs w:val="24"/>
          <w:shd w:val="clear" w:color="auto" w:fill="FFFFFF"/>
        </w:rPr>
        <w:footnoteReference w:id="110"/>
      </w:r>
      <w:r w:rsidRPr="00F934F9">
        <w:rPr>
          <w:rFonts w:ascii="Times New Roman" w:hAnsi="Times New Roman" w:cs="Times New Roman"/>
          <w:sz w:val="24"/>
          <w:szCs w:val="24"/>
          <w:shd w:val="clear" w:color="auto" w:fill="FFFFFF"/>
        </w:rPr>
        <w:t> Where intervention is required it should be the least restrictive option in relation to the freedom of the adult;</w:t>
      </w:r>
      <w:r w:rsidRPr="00F934F9">
        <w:rPr>
          <w:rStyle w:val="FootnoteReference"/>
          <w:rFonts w:ascii="Times New Roman" w:hAnsi="Times New Roman" w:cs="Times New Roman"/>
          <w:sz w:val="24"/>
          <w:szCs w:val="24"/>
          <w:shd w:val="clear" w:color="auto" w:fill="FFFFFF"/>
        </w:rPr>
        <w:footnoteReference w:id="111"/>
      </w:r>
      <w:r w:rsidRPr="00F934F9">
        <w:rPr>
          <w:rFonts w:ascii="Times New Roman" w:hAnsi="Times New Roman" w:cs="Times New Roman"/>
          <w:sz w:val="24"/>
          <w:szCs w:val="24"/>
          <w:shd w:val="clear" w:color="auto" w:fill="FFFFFF"/>
        </w:rPr>
        <w:t> regard must also be paid to the views of the adult, present and past, insofar as they can be ascertained by any means of communication,</w:t>
      </w:r>
      <w:r w:rsidRPr="00F934F9">
        <w:rPr>
          <w:rStyle w:val="FootnoteReference"/>
          <w:rFonts w:ascii="Times New Roman" w:hAnsi="Times New Roman" w:cs="Times New Roman"/>
          <w:sz w:val="24"/>
          <w:szCs w:val="24"/>
          <w:shd w:val="clear" w:color="auto" w:fill="FFFFFF"/>
        </w:rPr>
        <w:footnoteReference w:id="112"/>
      </w:r>
      <w:r w:rsidRPr="00F934F9">
        <w:rPr>
          <w:rFonts w:ascii="Times New Roman" w:hAnsi="Times New Roman" w:cs="Times New Roman"/>
          <w:sz w:val="24"/>
          <w:szCs w:val="24"/>
          <w:shd w:val="clear" w:color="auto" w:fill="FFFFFF"/>
        </w:rPr>
        <w:t xml:space="preserve"> additionally the views of other concerned persons, including nearest relative, primary carer, guardian, must be ascertained in so far as it is reasonable and practicable to do so.</w:t>
      </w:r>
      <w:r w:rsidRPr="00F934F9">
        <w:rPr>
          <w:rStyle w:val="FootnoteReference"/>
          <w:rFonts w:ascii="Times New Roman" w:hAnsi="Times New Roman" w:cs="Times New Roman"/>
          <w:sz w:val="24"/>
          <w:szCs w:val="24"/>
          <w:shd w:val="clear" w:color="auto" w:fill="FFFFFF"/>
        </w:rPr>
        <w:footnoteReference w:id="113"/>
      </w:r>
      <w:r w:rsidRPr="00F934F9">
        <w:rPr>
          <w:rFonts w:ascii="Times New Roman" w:hAnsi="Times New Roman" w:cs="Times New Roman"/>
          <w:sz w:val="24"/>
          <w:szCs w:val="24"/>
          <w:shd w:val="clear" w:color="auto" w:fill="FFFFFF"/>
        </w:rPr>
        <w:t> </w:t>
      </w:r>
    </w:p>
    <w:p w14:paraId="38555D21" w14:textId="77777777" w:rsidR="00544A2E" w:rsidRPr="00F934F9" w:rsidRDefault="00544A2E" w:rsidP="00F934F9">
      <w:pPr>
        <w:jc w:val="both"/>
        <w:rPr>
          <w:rFonts w:ascii="Times New Roman" w:hAnsi="Times New Roman" w:cs="Times New Roman"/>
          <w:i/>
          <w:iCs/>
          <w:sz w:val="24"/>
          <w:szCs w:val="24"/>
          <w:shd w:val="clear" w:color="auto" w:fill="FFFFFF"/>
        </w:rPr>
      </w:pPr>
      <w:r w:rsidRPr="00F934F9">
        <w:rPr>
          <w:rFonts w:ascii="Times New Roman" w:hAnsi="Times New Roman" w:cs="Times New Roman"/>
          <w:i/>
          <w:iCs/>
          <w:sz w:val="24"/>
          <w:szCs w:val="24"/>
          <w:shd w:val="clear" w:color="auto" w:fill="FFFFFF"/>
        </w:rPr>
        <w:t>Legal aid</w:t>
      </w:r>
    </w:p>
    <w:p w14:paraId="3DE29966" w14:textId="77777777" w:rsidR="00544A2E" w:rsidRPr="00F934F9" w:rsidRDefault="00544A2E" w:rsidP="00F934F9">
      <w:pPr>
        <w:pStyle w:val="NormalWeb"/>
        <w:shd w:val="clear" w:color="auto" w:fill="FFFFFF"/>
        <w:spacing w:before="0" w:beforeAutospacing="0" w:after="240" w:afterAutospacing="0"/>
        <w:jc w:val="both"/>
        <w:rPr>
          <w:color w:val="000000"/>
        </w:rPr>
      </w:pPr>
      <w:r w:rsidRPr="00F934F9">
        <w:rPr>
          <w:color w:val="000000"/>
        </w:rPr>
        <w:t>An adult, someone authorised to act on his or her behalf under the Act, or anyone with an interest in the adult's welfare or affairs may be able to apply for legal aid. For example, costs may be incurred in making an application to the courts or in seeking legal advice. Two sorts of legal aid are available under the Act.</w:t>
      </w:r>
      <w:r w:rsidRPr="00F934F9">
        <w:rPr>
          <w:rStyle w:val="FootnoteReference"/>
          <w:color w:val="000000"/>
        </w:rPr>
        <w:footnoteReference w:id="114"/>
      </w:r>
    </w:p>
    <w:p w14:paraId="3923B2CD" w14:textId="77777777" w:rsidR="00544A2E" w:rsidRPr="00F934F9" w:rsidRDefault="00544A2E" w:rsidP="00F934F9">
      <w:pPr>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Private international law</w:t>
      </w:r>
    </w:p>
    <w:p w14:paraId="298F26A9" w14:textId="77777777" w:rsidR="00544A2E" w:rsidRPr="00F934F9" w:rsidRDefault="00544A2E" w:rsidP="00F934F9">
      <w:pPr>
        <w:jc w:val="both"/>
        <w:rPr>
          <w:rFonts w:ascii="Times New Roman" w:hAnsi="Times New Roman" w:cs="Times New Roman"/>
          <w:sz w:val="24"/>
          <w:szCs w:val="24"/>
          <w:highlight w:val="yellow"/>
        </w:rPr>
      </w:pPr>
      <w:r w:rsidRPr="00F934F9">
        <w:rPr>
          <w:rFonts w:ascii="Times New Roman" w:hAnsi="Times New Roman" w:cs="Times New Roman"/>
          <w:sz w:val="24"/>
          <w:szCs w:val="24"/>
          <w:shd w:val="clear" w:color="auto" w:fill="FFFFFF"/>
        </w:rPr>
        <w:t>Whilst private international law matters are contained within a single schedule (Schedule 3), the Act is internationalist in outlook from its beginning, as the first section of the Act states that a guardian shall include a reference to a guardian appointed under the law of any country, or entitled under the law of any country to act for an adult during his incapacity, provided the guardianship is recognised by Scots law.</w:t>
      </w:r>
      <w:r w:rsidRPr="00F934F9">
        <w:rPr>
          <w:rStyle w:val="FootnoteReference"/>
          <w:rFonts w:ascii="Times New Roman" w:hAnsi="Times New Roman" w:cs="Times New Roman"/>
          <w:sz w:val="24"/>
          <w:szCs w:val="24"/>
          <w:shd w:val="clear" w:color="auto" w:fill="FFFFFF"/>
        </w:rPr>
        <w:footnoteReference w:id="115"/>
      </w:r>
      <w:r w:rsidRPr="00F934F9">
        <w:rPr>
          <w:rFonts w:ascii="Times New Roman" w:hAnsi="Times New Roman" w:cs="Times New Roman"/>
          <w:sz w:val="24"/>
          <w:szCs w:val="24"/>
          <w:shd w:val="clear" w:color="auto" w:fill="FFFFFF"/>
        </w:rPr>
        <w:t xml:space="preserve"> Furthermore, a continuing attorney or a welfare attorney shall be taken as including a reference to a person granted powers relating to the granter’s affairs or welfare, under a contract, grant or appointment governed by the law of any country.</w:t>
      </w:r>
      <w:r w:rsidRPr="00F934F9">
        <w:rPr>
          <w:rStyle w:val="FootnoteReference"/>
          <w:rFonts w:ascii="Times New Roman" w:hAnsi="Times New Roman" w:cs="Times New Roman"/>
          <w:sz w:val="24"/>
          <w:szCs w:val="24"/>
          <w:shd w:val="clear" w:color="auto" w:fill="FFFFFF"/>
        </w:rPr>
        <w:footnoteReference w:id="116"/>
      </w:r>
      <w:r w:rsidRPr="00F934F9">
        <w:rPr>
          <w:rFonts w:ascii="Times New Roman" w:hAnsi="Times New Roman" w:cs="Times New Roman"/>
          <w:sz w:val="24"/>
          <w:szCs w:val="24"/>
          <w:highlight w:val="yellow"/>
        </w:rPr>
        <w:t xml:space="preserve"> </w:t>
      </w:r>
    </w:p>
    <w:p w14:paraId="73CAE01B" w14:textId="77777777" w:rsidR="00544A2E" w:rsidRPr="00F934F9" w:rsidRDefault="00544A2E" w:rsidP="00F934F9">
      <w:pPr>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Case-law</w:t>
      </w:r>
    </w:p>
    <w:p w14:paraId="49046D49" w14:textId="77777777" w:rsidR="00544A2E" w:rsidRPr="00F934F9" w:rsidRDefault="00544A2E" w:rsidP="00F934F9">
      <w:pPr>
        <w:pStyle w:val="ListParagraph"/>
        <w:numPr>
          <w:ilvl w:val="0"/>
          <w:numId w:val="15"/>
        </w:numPr>
        <w:jc w:val="both"/>
        <w:rPr>
          <w:rFonts w:ascii="Times New Roman" w:hAnsi="Times New Roman" w:cs="Times New Roman"/>
          <w:b/>
          <w:bCs/>
          <w:sz w:val="24"/>
          <w:szCs w:val="24"/>
        </w:rPr>
      </w:pPr>
      <w:r w:rsidRPr="00F934F9">
        <w:rPr>
          <w:rFonts w:ascii="Times New Roman" w:hAnsi="Times New Roman" w:cs="Times New Roman"/>
          <w:b/>
          <w:bCs/>
          <w:i/>
          <w:iCs/>
          <w:sz w:val="24"/>
          <w:szCs w:val="24"/>
        </w:rPr>
        <w:lastRenderedPageBreak/>
        <w:t>F v S</w:t>
      </w:r>
      <w:r w:rsidRPr="00F934F9">
        <w:rPr>
          <w:rStyle w:val="FootnoteReference"/>
          <w:rFonts w:ascii="Times New Roman" w:hAnsi="Times New Roman" w:cs="Times New Roman"/>
          <w:b/>
          <w:bCs/>
          <w:sz w:val="24"/>
          <w:szCs w:val="24"/>
        </w:rPr>
        <w:footnoteReference w:id="117"/>
      </w:r>
      <w:r w:rsidRPr="00F934F9">
        <w:rPr>
          <w:rFonts w:ascii="Times New Roman" w:hAnsi="Times New Roman" w:cs="Times New Roman"/>
          <w:b/>
          <w:bCs/>
          <w:sz w:val="24"/>
          <w:szCs w:val="24"/>
        </w:rPr>
        <w:t xml:space="preserve"> (Recognition and enforcement)</w:t>
      </w:r>
    </w:p>
    <w:p w14:paraId="49E15E90"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sz w:val="24"/>
          <w:szCs w:val="24"/>
        </w:rPr>
        <w:t>X, the incapacitated adult in question, was declared a person in need of protection by a French court. Following the French decision, X was removed to Scotland by her stepson and subsequently signed Power of Attorneys in Scotland with another person and another stepson. There was a legal contest between family members (children and husband) over X’s welfare and therefore, place of residence. The daughter of X lodged an application under the Adults with Incapacity (Scotland) Act 2000, seeking various orders by the court.</w:t>
      </w:r>
    </w:p>
    <w:p w14:paraId="65F59A5E"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sz w:val="24"/>
          <w:szCs w:val="24"/>
          <w:u w:val="single"/>
        </w:rPr>
        <w:t>Outcome</w:t>
      </w:r>
      <w:r w:rsidRPr="00F934F9">
        <w:rPr>
          <w:rFonts w:ascii="Times New Roman" w:hAnsi="Times New Roman" w:cs="Times New Roman"/>
          <w:sz w:val="24"/>
          <w:szCs w:val="24"/>
        </w:rPr>
        <w:t>:</w:t>
      </w:r>
    </w:p>
    <w:p w14:paraId="1A30031C"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sz w:val="24"/>
          <w:szCs w:val="24"/>
        </w:rPr>
        <w:t xml:space="preserve">The Scottish court </w:t>
      </w:r>
      <w:r w:rsidRPr="00F934F9">
        <w:rPr>
          <w:rFonts w:ascii="Times New Roman" w:hAnsi="Times New Roman" w:cs="Times New Roman"/>
          <w:i/>
          <w:iCs/>
          <w:sz w:val="24"/>
          <w:szCs w:val="24"/>
        </w:rPr>
        <w:t>inter alia</w:t>
      </w:r>
      <w:r w:rsidRPr="00F934F9">
        <w:rPr>
          <w:rFonts w:ascii="Times New Roman" w:hAnsi="Times New Roman" w:cs="Times New Roman"/>
          <w:sz w:val="24"/>
          <w:szCs w:val="24"/>
        </w:rPr>
        <w:t xml:space="preserve"> recognized and gave effect to the French decision which found that X was habitually resident in France. The court relied on Art 25 of the 2000 Convention to decline a request by the respondent to enter evidentiary hearings which would at least in some way overlap with the French orders/decisions. </w:t>
      </w:r>
    </w:p>
    <w:p w14:paraId="3EF3FF6C"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sz w:val="24"/>
          <w:szCs w:val="24"/>
        </w:rPr>
        <w:t>The order of 19 October 2010 was a measure taken under the law of France for the personal welfare or the protection of an adult with incapacity, the jurisdiction of the French court was based upon X's habitual residence within its jurisdiction, the order was enforceable and was being enforced in the country of origin and accordingly was a measure which should be recognised by Scots law, all in terms of Sch.3 para.7(1) and (2) and para.8(1) to the 2000 Act and the order should be registered in the Register of International Measures.</w:t>
      </w:r>
    </w:p>
    <w:p w14:paraId="319A9931" w14:textId="77777777" w:rsidR="00544A2E" w:rsidRPr="00F934F9" w:rsidRDefault="00544A2E" w:rsidP="00F934F9">
      <w:pPr>
        <w:jc w:val="both"/>
        <w:rPr>
          <w:rFonts w:ascii="Times New Roman" w:hAnsi="Times New Roman" w:cs="Times New Roman"/>
          <w:sz w:val="24"/>
          <w:szCs w:val="24"/>
          <w:u w:val="single"/>
        </w:rPr>
      </w:pPr>
      <w:r w:rsidRPr="00F934F9">
        <w:rPr>
          <w:rFonts w:ascii="Times New Roman" w:hAnsi="Times New Roman" w:cs="Times New Roman"/>
          <w:sz w:val="24"/>
          <w:szCs w:val="24"/>
          <w:u w:val="single"/>
        </w:rPr>
        <w:t>Comment:</w:t>
      </w:r>
    </w:p>
    <w:p w14:paraId="12F3C72B" w14:textId="77777777" w:rsidR="00544A2E" w:rsidRPr="00F934F9" w:rsidRDefault="00544A2E" w:rsidP="00F934F9">
      <w:pPr>
        <w:jc w:val="both"/>
        <w:rPr>
          <w:rFonts w:ascii="Times New Roman" w:hAnsi="Times New Roman" w:cs="Times New Roman"/>
          <w:sz w:val="24"/>
          <w:szCs w:val="24"/>
        </w:rPr>
      </w:pPr>
      <w:r w:rsidRPr="00F934F9">
        <w:rPr>
          <w:rFonts w:ascii="Times New Roman" w:hAnsi="Times New Roman" w:cs="Times New Roman"/>
          <w:sz w:val="24"/>
          <w:szCs w:val="24"/>
        </w:rPr>
        <w:t>This decision is a positive indication that the Scots judiciary is generally aware of the Convention. The judgment explored the Convention and Art 25 in relative depth to its English case law counterparts (see below). The court passing down the decision is the Selkirk Sheriff Court and the judge is Sheriff TA K Drummond QC.</w:t>
      </w:r>
    </w:p>
    <w:p w14:paraId="22555CB7" w14:textId="77777777" w:rsidR="00544A2E" w:rsidRPr="00F934F9" w:rsidRDefault="00544A2E" w:rsidP="00F934F9">
      <w:pPr>
        <w:jc w:val="both"/>
        <w:rPr>
          <w:rFonts w:ascii="Times New Roman" w:hAnsi="Times New Roman" w:cs="Times New Roman"/>
          <w:b/>
          <w:bCs/>
          <w:sz w:val="24"/>
          <w:szCs w:val="24"/>
        </w:rPr>
      </w:pPr>
    </w:p>
    <w:p w14:paraId="1D2B7CE0" w14:textId="76151862" w:rsidR="00544A2E" w:rsidRPr="00F934F9" w:rsidRDefault="00544A2E" w:rsidP="00F934F9">
      <w:pPr>
        <w:jc w:val="both"/>
        <w:rPr>
          <w:rFonts w:ascii="Times New Roman" w:hAnsi="Times New Roman" w:cs="Times New Roman"/>
          <w:b/>
          <w:bCs/>
          <w:sz w:val="24"/>
          <w:szCs w:val="24"/>
        </w:rPr>
      </w:pPr>
      <w:r w:rsidRPr="00F934F9">
        <w:rPr>
          <w:rFonts w:ascii="Times New Roman" w:hAnsi="Times New Roman" w:cs="Times New Roman"/>
          <w:b/>
          <w:bCs/>
          <w:sz w:val="24"/>
          <w:szCs w:val="24"/>
        </w:rPr>
        <w:t>ENGLAND</w:t>
      </w:r>
    </w:p>
    <w:p w14:paraId="7D1AAA83" w14:textId="77777777" w:rsidR="00544A2E" w:rsidRPr="00F934F9" w:rsidRDefault="00544A2E" w:rsidP="00F934F9">
      <w:pPr>
        <w:widowControl w:val="0"/>
        <w:autoSpaceDE w:val="0"/>
        <w:autoSpaceDN w:val="0"/>
        <w:adjustRightInd w:val="0"/>
        <w:spacing w:before="200" w:after="200" w:line="240"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Introduction</w:t>
      </w:r>
    </w:p>
    <w:p w14:paraId="28626E39" w14:textId="730E0D21"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In England and Wales, the Convention is given effect, but only to the extent thereby specified by certain provisions of the Mental Capacity Act 2005 Act (‘the 2005 Act’). It is therefore primarily to the 2005 Act rather than the Convention itself that judges have regard to when faced with cross-border cases concerning adults with incapacity.</w:t>
      </w:r>
      <w:r w:rsidRPr="00F934F9">
        <w:rPr>
          <w:rStyle w:val="FootnoteReference"/>
          <w:rFonts w:ascii="Times New Roman" w:hAnsi="Times New Roman" w:cs="Times New Roman"/>
          <w:sz w:val="24"/>
          <w:szCs w:val="24"/>
          <w:shd w:val="clear" w:color="auto" w:fill="FFFFFF"/>
        </w:rPr>
        <w:footnoteReference w:id="118"/>
      </w:r>
      <w:r w:rsidRPr="00F934F9">
        <w:rPr>
          <w:rFonts w:ascii="Times New Roman" w:hAnsi="Times New Roman" w:cs="Times New Roman"/>
          <w:sz w:val="24"/>
          <w:szCs w:val="24"/>
          <w:shd w:val="clear" w:color="auto" w:fill="FFFFFF"/>
        </w:rPr>
        <w:t xml:space="preserve"> The below case-law is therefore relevant partially. Although the Lord Chancellor may exercise the functions of a Central Authority under the Convention so far as England is concerned, he is not designated as a Central Authority.</w:t>
      </w:r>
      <w:r w:rsidRPr="00F934F9">
        <w:rPr>
          <w:rStyle w:val="FootnoteReference"/>
          <w:rFonts w:ascii="Times New Roman" w:hAnsi="Times New Roman" w:cs="Times New Roman"/>
          <w:sz w:val="24"/>
          <w:szCs w:val="24"/>
          <w:shd w:val="clear" w:color="auto" w:fill="FFFFFF"/>
        </w:rPr>
        <w:footnoteReference w:id="119"/>
      </w:r>
    </w:p>
    <w:p w14:paraId="632B5A2B"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trike/>
          <w:sz w:val="24"/>
          <w:szCs w:val="24"/>
          <w:shd w:val="clear" w:color="auto" w:fill="FFFFFF"/>
        </w:rPr>
      </w:pPr>
      <w:r w:rsidRPr="00F934F9">
        <w:rPr>
          <w:rFonts w:ascii="Times New Roman" w:hAnsi="Times New Roman" w:cs="Times New Roman"/>
          <w:sz w:val="24"/>
          <w:szCs w:val="24"/>
          <w:shd w:val="clear" w:color="auto" w:fill="FFFFFF"/>
        </w:rPr>
        <w:t xml:space="preserve">Schedule 3 to the 2005 Act, titled ‘International Protection of Adults’, “(a) gives effect in England and Wales to the Convention on the International Protection of Adults signed at the Hague on 13th January 2000 (Cm. 5881) (in so far as this Act does not otherwise do so), and </w:t>
      </w:r>
      <w:r w:rsidRPr="00F934F9">
        <w:rPr>
          <w:rFonts w:ascii="Times New Roman" w:hAnsi="Times New Roman" w:cs="Times New Roman"/>
          <w:sz w:val="24"/>
          <w:szCs w:val="24"/>
          <w:shd w:val="clear" w:color="auto" w:fill="FFFFFF"/>
        </w:rPr>
        <w:lastRenderedPageBreak/>
        <w:t>(b) makes related provisions as to the private international law of England and Wales.”</w:t>
      </w:r>
      <w:r w:rsidRPr="00F934F9">
        <w:rPr>
          <w:rStyle w:val="FootnoteReference"/>
          <w:rFonts w:ascii="Times New Roman" w:hAnsi="Times New Roman" w:cs="Times New Roman"/>
          <w:sz w:val="24"/>
          <w:szCs w:val="24"/>
          <w:shd w:val="clear" w:color="auto" w:fill="FFFFFF"/>
        </w:rPr>
        <w:footnoteReference w:id="120"/>
      </w:r>
      <w:r w:rsidRPr="00F934F9">
        <w:rPr>
          <w:rFonts w:ascii="Times New Roman" w:hAnsi="Times New Roman" w:cs="Times New Roman"/>
          <w:sz w:val="24"/>
          <w:szCs w:val="24"/>
          <w:shd w:val="clear" w:color="auto" w:fill="FFFFFF"/>
        </w:rPr>
        <w:t xml:space="preserve"> </w:t>
      </w:r>
    </w:p>
    <w:p w14:paraId="112F1F2E" w14:textId="77777777" w:rsidR="00544A2E" w:rsidRPr="00F934F9" w:rsidRDefault="00544A2E" w:rsidP="00F934F9">
      <w:pPr>
        <w:widowControl w:val="0"/>
        <w:autoSpaceDE w:val="0"/>
        <w:autoSpaceDN w:val="0"/>
        <w:adjustRightInd w:val="0"/>
        <w:spacing w:before="200" w:after="200" w:line="240" w:lineRule="auto"/>
        <w:jc w:val="both"/>
        <w:rPr>
          <w:rStyle w:val="IntenseEmphasis"/>
          <w:rFonts w:ascii="Times New Roman" w:hAnsi="Times New Roman" w:cs="Times New Roman"/>
          <w:b/>
          <w:bCs/>
          <w:sz w:val="24"/>
          <w:szCs w:val="24"/>
        </w:rPr>
      </w:pPr>
      <w:r w:rsidRPr="00F934F9">
        <w:rPr>
          <w:rStyle w:val="IntenseEmphasis"/>
          <w:rFonts w:ascii="Times New Roman" w:hAnsi="Times New Roman" w:cs="Times New Roman"/>
          <w:b/>
          <w:bCs/>
          <w:sz w:val="24"/>
          <w:szCs w:val="24"/>
        </w:rPr>
        <w:t>CASE-LAW</w:t>
      </w:r>
    </w:p>
    <w:p w14:paraId="57CBEF57"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i/>
          <w:iCs/>
          <w:sz w:val="24"/>
          <w:szCs w:val="24"/>
          <w:shd w:val="clear" w:color="auto" w:fill="FFFFFF"/>
        </w:rPr>
        <w:t>Re SV (Also known as: Health Service Executive of Ireland v Florence Nightingale Hospitals Ltd)</w:t>
      </w:r>
      <w:r w:rsidRPr="00F934F9">
        <w:rPr>
          <w:rStyle w:val="FootnoteReference"/>
          <w:rFonts w:ascii="Times New Roman" w:hAnsi="Times New Roman" w:cs="Times New Roman"/>
          <w:b/>
          <w:bCs/>
          <w:i/>
          <w:iCs/>
          <w:sz w:val="24"/>
          <w:szCs w:val="24"/>
          <w:shd w:val="clear" w:color="auto" w:fill="FFFFFF"/>
        </w:rPr>
        <w:footnoteReference w:id="121"/>
      </w:r>
      <w:r w:rsidRPr="00F934F9">
        <w:rPr>
          <w:rFonts w:ascii="Times New Roman" w:hAnsi="Times New Roman" w:cs="Times New Roman"/>
          <w:b/>
          <w:bCs/>
          <w:sz w:val="24"/>
          <w:szCs w:val="24"/>
          <w:shd w:val="clear" w:color="auto" w:fill="FFFFFF"/>
        </w:rPr>
        <w:t xml:space="preserve"> </w:t>
      </w:r>
    </w:p>
    <w:p w14:paraId="45A9CF52"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 xml:space="preserve">Legal point: Recognition and enforcement </w:t>
      </w:r>
    </w:p>
    <w:p w14:paraId="1E835A2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Health Service Executive of Ireland applied for an order recognising and declaring enforceable protective measures made in respect of a protected person (SV) by the High Court of the Republic of Ireland. SV was a 20-year-old Irish citizen with anorexia nervosa. She was seriously ill and the Irish High Court had ordered protective measures which involved placing her in a specialist eating disorder unit in London, such a unit being unavailable in Ireland.</w:t>
      </w:r>
    </w:p>
    <w:p w14:paraId="30264A1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Hague Convention on the International Protection of Adults 2000 art.22 required a protective measure in respect of a protected adult issued in a contracting state to be recognised in another contracting state. Although it had not been ratified by the Republic of Ireland or England and Wales, the UK Parliament had implemented it for England and Wales in the Mental Capacity Act 2005 s.63 and Sch.3. That meant that it would apply in England and Wales as a receiving country in respect of qualifying incoming protective measures, regardless of whether the other state was a contracting state under the Convention.</w:t>
      </w:r>
    </w:p>
    <w:p w14:paraId="47F4DF2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i/>
          <w:iCs/>
          <w:sz w:val="24"/>
          <w:szCs w:val="24"/>
          <w:shd w:val="clear" w:color="auto" w:fill="FFFFFF"/>
        </w:rPr>
      </w:pPr>
      <w:r w:rsidRPr="00F934F9">
        <w:rPr>
          <w:rFonts w:ascii="Times New Roman" w:hAnsi="Times New Roman" w:cs="Times New Roman"/>
          <w:i/>
          <w:iCs/>
          <w:sz w:val="24"/>
          <w:szCs w:val="24"/>
          <w:shd w:val="clear" w:color="auto" w:fill="FFFFFF"/>
        </w:rPr>
        <w:t>Checklist of questions</w:t>
      </w:r>
    </w:p>
    <w:p w14:paraId="18216E4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of Protection provided a checklist of questions which it needed to answer when determining applications for recognition and enforcement of protective measures made in respect of protected persons under the Mental Capacity Act 2005 s.63 and Sch.3. The court provided a checklist setting out 22 questions which needed to be asked in the correct order. The objective of the checklist was to ensure the avoidance of any technical pitfalls by the judge, and to serve as a judgment-writing tool.</w:t>
      </w:r>
      <w:r w:rsidRPr="00F934F9">
        <w:rPr>
          <w:rStyle w:val="FootnoteReference"/>
          <w:rFonts w:ascii="Times New Roman" w:hAnsi="Times New Roman" w:cs="Times New Roman"/>
          <w:sz w:val="24"/>
          <w:szCs w:val="24"/>
          <w:shd w:val="clear" w:color="auto" w:fill="FFFFFF"/>
        </w:rPr>
        <w:footnoteReference w:id="122"/>
      </w:r>
    </w:p>
    <w:p w14:paraId="5590597B"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i/>
          <w:iCs/>
          <w:sz w:val="24"/>
          <w:szCs w:val="24"/>
          <w:shd w:val="clear" w:color="auto" w:fill="FFFFFF"/>
        </w:rPr>
      </w:pPr>
      <w:r w:rsidRPr="00F934F9">
        <w:rPr>
          <w:rFonts w:ascii="Times New Roman" w:hAnsi="Times New Roman" w:cs="Times New Roman"/>
          <w:i/>
          <w:iCs/>
          <w:sz w:val="24"/>
          <w:szCs w:val="24"/>
          <w:shd w:val="clear" w:color="auto" w:fill="FFFFFF"/>
        </w:rPr>
        <w:t>Applicability of domestic law</w:t>
      </w:r>
    </w:p>
    <w:p w14:paraId="1DC5ACA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Court also identified areas in which domestic law had to be applied when determining such applications. It stated that when a receiving state determined a reciprocal order application under the Convention, it recognised the </w:t>
      </w:r>
      <w:r w:rsidRPr="00F934F9">
        <w:rPr>
          <w:rFonts w:ascii="Times New Roman" w:hAnsi="Times New Roman" w:cs="Times New Roman"/>
          <w:i/>
          <w:iCs/>
          <w:sz w:val="24"/>
          <w:szCs w:val="24"/>
          <w:shd w:val="clear" w:color="auto" w:fill="FFFFFF"/>
        </w:rPr>
        <w:t>sui generis</w:t>
      </w:r>
      <w:r w:rsidRPr="00F934F9">
        <w:rPr>
          <w:rFonts w:ascii="Times New Roman" w:hAnsi="Times New Roman" w:cs="Times New Roman"/>
          <w:sz w:val="24"/>
          <w:szCs w:val="24"/>
          <w:shd w:val="clear" w:color="auto" w:fill="FFFFFF"/>
        </w:rPr>
        <w:t xml:space="preserve"> nature of the scheme of the Convention and, on most substantive issues, it refrained from deploying domestic legal principles. That principle applied equally to Sch.3 applications (paras 9, 26). However, the Court of Protection had to apply domestic law to five specific issues:</w:t>
      </w:r>
    </w:p>
    <w:p w14:paraId="437D953A" w14:textId="77777777" w:rsidR="00544A2E" w:rsidRPr="00F934F9" w:rsidRDefault="00544A2E" w:rsidP="00F934F9">
      <w:pPr>
        <w:pStyle w:val="ListParagraph"/>
        <w:widowControl w:val="0"/>
        <w:numPr>
          <w:ilvl w:val="0"/>
          <w:numId w:val="11"/>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Domestic law had to be applied when considering whether the protected person should be joined to the Sch.3 application, though where the application was proceeding without opposition, joinder would rarely be necessary. Necessity was only likely to be shown where the protected person was not only actively contesting the application but there were other valid reasons to review the process of the foreign court. The party status of the protected person before the foreign court would be relevant to the joinder decision.</w:t>
      </w:r>
      <w:r w:rsidRPr="00F934F9">
        <w:rPr>
          <w:rStyle w:val="FootnoteReference"/>
          <w:rFonts w:ascii="Times New Roman" w:hAnsi="Times New Roman" w:cs="Times New Roman"/>
          <w:sz w:val="24"/>
          <w:szCs w:val="24"/>
          <w:shd w:val="clear" w:color="auto" w:fill="FFFFFF"/>
        </w:rPr>
        <w:footnoteReference w:id="123"/>
      </w:r>
      <w:r w:rsidRPr="00F934F9">
        <w:rPr>
          <w:rFonts w:ascii="Times New Roman" w:hAnsi="Times New Roman" w:cs="Times New Roman"/>
          <w:sz w:val="24"/>
          <w:szCs w:val="24"/>
          <w:shd w:val="clear" w:color="auto" w:fill="FFFFFF"/>
        </w:rPr>
        <w:t xml:space="preserve"> </w:t>
      </w:r>
    </w:p>
    <w:p w14:paraId="43D2B700" w14:textId="77777777" w:rsidR="00544A2E" w:rsidRPr="00F934F9" w:rsidRDefault="00544A2E" w:rsidP="00F934F9">
      <w:pPr>
        <w:pStyle w:val="ListParagraph"/>
        <w:widowControl w:val="0"/>
        <w:numPr>
          <w:ilvl w:val="0"/>
          <w:numId w:val="11"/>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If the foreign proceedings were not being heard on an urgent basis and if the protected </w:t>
      </w:r>
      <w:r w:rsidRPr="00F934F9">
        <w:rPr>
          <w:rFonts w:ascii="Times New Roman" w:hAnsi="Times New Roman" w:cs="Times New Roman"/>
          <w:sz w:val="24"/>
          <w:szCs w:val="24"/>
          <w:shd w:val="clear" w:color="auto" w:fill="FFFFFF"/>
        </w:rPr>
        <w:lastRenderedPageBreak/>
        <w:t>person was denied the opportunity of being heard in them, Sch.3 para.19(3)(c) allowed recognition to be withheld on the ground of natural justice. That would rarely arise, but if it did the assessment of the standards of natural justice would be made in accordance with domestic law.</w:t>
      </w:r>
      <w:r w:rsidRPr="00F934F9">
        <w:rPr>
          <w:rStyle w:val="FootnoteReference"/>
          <w:rFonts w:ascii="Times New Roman" w:hAnsi="Times New Roman" w:cs="Times New Roman"/>
          <w:sz w:val="24"/>
          <w:szCs w:val="24"/>
          <w:shd w:val="clear" w:color="auto" w:fill="FFFFFF"/>
        </w:rPr>
        <w:footnoteReference w:id="124"/>
      </w:r>
    </w:p>
    <w:p w14:paraId="05C3482E" w14:textId="77777777" w:rsidR="00544A2E" w:rsidRPr="00F934F9" w:rsidRDefault="00544A2E" w:rsidP="00F934F9">
      <w:pPr>
        <w:pStyle w:val="ListParagraph"/>
        <w:widowControl w:val="0"/>
        <w:numPr>
          <w:ilvl w:val="0"/>
          <w:numId w:val="11"/>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A protective measure might be sought in respect of a person who had capacity under s.2 and s.3 of the 2005 Act but who nevertheless satisfied the test in s.4(1)(a), being a person who could not protect their interests as a result of an impairment or insufficiency of their personal faculties. That would rarely arise, but if it did, very careful consideration would need to be given under domestic law to whether recognition of the foreign measure would be manifestly contrary to public policy under Sch.3 para.19(4).</w:t>
      </w:r>
      <w:r w:rsidRPr="00F934F9">
        <w:rPr>
          <w:rStyle w:val="FootnoteReference"/>
          <w:rFonts w:ascii="Times New Roman" w:hAnsi="Times New Roman" w:cs="Times New Roman"/>
          <w:sz w:val="24"/>
          <w:szCs w:val="24"/>
          <w:shd w:val="clear" w:color="auto" w:fill="FFFFFF"/>
        </w:rPr>
        <w:footnoteReference w:id="125"/>
      </w:r>
      <w:r w:rsidRPr="00F934F9">
        <w:rPr>
          <w:rFonts w:ascii="Times New Roman" w:hAnsi="Times New Roman" w:cs="Times New Roman"/>
          <w:sz w:val="24"/>
          <w:szCs w:val="24"/>
          <w:shd w:val="clear" w:color="auto" w:fill="FFFFFF"/>
        </w:rPr>
        <w:t xml:space="preserve"> </w:t>
      </w:r>
    </w:p>
    <w:p w14:paraId="2FB4C3A2" w14:textId="77777777" w:rsidR="00544A2E" w:rsidRPr="00F934F9" w:rsidRDefault="00544A2E" w:rsidP="00F934F9">
      <w:pPr>
        <w:pStyle w:val="ListParagraph"/>
        <w:widowControl w:val="0"/>
        <w:numPr>
          <w:ilvl w:val="0"/>
          <w:numId w:val="11"/>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question of whether a measure was inconsistent with a mandatory provision of the law of England and Wales would rarely arise, but if it did the issue would have to be determined by applying domestic law.</w:t>
      </w:r>
      <w:r w:rsidRPr="00F934F9">
        <w:rPr>
          <w:rStyle w:val="FootnoteReference"/>
          <w:rFonts w:ascii="Times New Roman" w:hAnsi="Times New Roman" w:cs="Times New Roman"/>
          <w:sz w:val="24"/>
          <w:szCs w:val="24"/>
          <w:shd w:val="clear" w:color="auto" w:fill="FFFFFF"/>
        </w:rPr>
        <w:footnoteReference w:id="126"/>
      </w:r>
      <w:r w:rsidRPr="00F934F9">
        <w:rPr>
          <w:rFonts w:ascii="Times New Roman" w:hAnsi="Times New Roman" w:cs="Times New Roman"/>
          <w:sz w:val="24"/>
          <w:szCs w:val="24"/>
          <w:shd w:val="clear" w:color="auto" w:fill="FFFFFF"/>
        </w:rPr>
        <w:t xml:space="preserve"> </w:t>
      </w:r>
    </w:p>
    <w:p w14:paraId="44C1FD29" w14:textId="77777777" w:rsidR="00544A2E" w:rsidRPr="00F934F9" w:rsidRDefault="00544A2E" w:rsidP="00F934F9">
      <w:pPr>
        <w:pStyle w:val="ListParagraph"/>
        <w:widowControl w:val="0"/>
        <w:numPr>
          <w:ilvl w:val="0"/>
          <w:numId w:val="11"/>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of Protection had to adhere to and apply the principles and safeguards developed in domestic law in relation to whether a measure entailed a deprivation of liberty under ECHR art.5.</w:t>
      </w:r>
      <w:r w:rsidRPr="00F934F9">
        <w:rPr>
          <w:rStyle w:val="FootnoteReference"/>
          <w:rFonts w:ascii="Times New Roman" w:hAnsi="Times New Roman" w:cs="Times New Roman"/>
          <w:sz w:val="24"/>
          <w:szCs w:val="24"/>
          <w:shd w:val="clear" w:color="auto" w:fill="FFFFFF"/>
        </w:rPr>
        <w:footnoteReference w:id="127"/>
      </w:r>
      <w:r w:rsidRPr="00F934F9">
        <w:rPr>
          <w:rFonts w:ascii="Times New Roman" w:hAnsi="Times New Roman" w:cs="Times New Roman"/>
          <w:sz w:val="24"/>
          <w:szCs w:val="24"/>
          <w:shd w:val="clear" w:color="auto" w:fill="FFFFFF"/>
        </w:rPr>
        <w:t xml:space="preserve"> </w:t>
      </w:r>
    </w:p>
    <w:p w14:paraId="6119E988"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i/>
          <w:iCs/>
          <w:sz w:val="24"/>
          <w:szCs w:val="24"/>
          <w:shd w:val="clear" w:color="auto" w:fill="FFFFFF"/>
        </w:rPr>
      </w:pPr>
      <w:r w:rsidRPr="00F934F9">
        <w:rPr>
          <w:rFonts w:ascii="Times New Roman" w:hAnsi="Times New Roman" w:cs="Times New Roman"/>
          <w:i/>
          <w:iCs/>
          <w:sz w:val="24"/>
          <w:szCs w:val="24"/>
          <w:shd w:val="clear" w:color="auto" w:fill="FFFFFF"/>
        </w:rPr>
        <w:t>Additional procedural points</w:t>
      </w:r>
    </w:p>
    <w:p w14:paraId="3A20E5D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also set out additional procedural points:</w:t>
      </w:r>
    </w:p>
    <w:p w14:paraId="1B1F38DD" w14:textId="77777777" w:rsidR="00544A2E" w:rsidRPr="00F934F9" w:rsidRDefault="00544A2E" w:rsidP="00F934F9">
      <w:pPr>
        <w:pStyle w:val="ListParagraph"/>
        <w:widowControl w:val="0"/>
        <w:numPr>
          <w:ilvl w:val="0"/>
          <w:numId w:val="12"/>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If a foreign court had given a fully reasoned judgment explaining the nature of the measure it had issued and had summarised all the evidence it had relied on it would normally be unnecessary to place any other written evidence before the Court of Protection when seeking recognition and enforcement. Doing so would imply that the court should conduct its own review of the merits of the measure, which was impermissible.</w:t>
      </w:r>
    </w:p>
    <w:p w14:paraId="17D52724" w14:textId="77777777" w:rsidR="00544A2E" w:rsidRPr="00F934F9" w:rsidRDefault="00544A2E" w:rsidP="00F934F9">
      <w:pPr>
        <w:pStyle w:val="ListParagraph"/>
        <w:widowControl w:val="0"/>
        <w:numPr>
          <w:ilvl w:val="0"/>
          <w:numId w:val="12"/>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If the foreign court could be persuaded to address all the matters in the checklist in its primary judgment, that was likely to make the Court of Protection's task easier.</w:t>
      </w:r>
    </w:p>
    <w:p w14:paraId="674B5409" w14:textId="77777777" w:rsidR="00544A2E" w:rsidRPr="00F934F9" w:rsidRDefault="00544A2E" w:rsidP="00F934F9">
      <w:pPr>
        <w:pStyle w:val="ListParagraph"/>
        <w:widowControl w:val="0"/>
        <w:numPr>
          <w:ilvl w:val="0"/>
          <w:numId w:val="12"/>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Because the reciprocal order sought would almost invariably authorise the deprivation of the protected person's liberty, such orders should only be made by a Court of Protection Tier-3 judge following an attended hearing in court.</w:t>
      </w:r>
    </w:p>
    <w:p w14:paraId="4FE3D3CE" w14:textId="77777777" w:rsidR="00544A2E" w:rsidRPr="00F934F9" w:rsidRDefault="00544A2E" w:rsidP="00F934F9">
      <w:pPr>
        <w:pStyle w:val="ListParagraph"/>
        <w:widowControl w:val="0"/>
        <w:numPr>
          <w:ilvl w:val="0"/>
          <w:numId w:val="12"/>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It would be perilous for applications under Sch.3 to be routinely directed to be heard in open court but subject to a "transparency" order under COP PD 4C para.2.1 containing reporting restrictions. That would involve the court applying its own domestic standards to a stand-alone piece of domestic legislation which incorporated an international convention. In this case it would be singularly inappropriate because the primary proceedings in Ireland had been heard in private. In any event, there were doubts about whether the present arrangements were correct: that issue needed to be resolved urgently either by the Rule Committee or legislation. It was strongly in the public interest that decisions on applications under Sch.3 were not heard in private. It was suggested that the hearings of future Sch.3 applications should be listed in private, in accordance with COPR r.4.1(1), but that a direction should be issued permitting journalists and legal bloggers to attend. At the hearing the court should, subject to submissions made by the press or any party, relax the prohibition in the Administration </w:t>
      </w:r>
      <w:r w:rsidRPr="00F934F9">
        <w:rPr>
          <w:rFonts w:ascii="Times New Roman" w:hAnsi="Times New Roman" w:cs="Times New Roman"/>
          <w:sz w:val="24"/>
          <w:szCs w:val="24"/>
          <w:shd w:val="clear" w:color="auto" w:fill="FFFFFF"/>
        </w:rPr>
        <w:lastRenderedPageBreak/>
        <w:t>of Justice Act 1960 s.12(1) to permit anonymous publication of the proceedings, the judgment and the order.</w:t>
      </w:r>
      <w:r w:rsidRPr="00F934F9">
        <w:rPr>
          <w:rStyle w:val="FootnoteReference"/>
          <w:rFonts w:ascii="Times New Roman" w:hAnsi="Times New Roman" w:cs="Times New Roman"/>
          <w:sz w:val="24"/>
          <w:szCs w:val="24"/>
          <w:shd w:val="clear" w:color="auto" w:fill="FFFFFF"/>
        </w:rPr>
        <w:footnoteReference w:id="128"/>
      </w:r>
      <w:r w:rsidRPr="00F934F9">
        <w:rPr>
          <w:rFonts w:ascii="Times New Roman" w:hAnsi="Times New Roman" w:cs="Times New Roman"/>
          <w:sz w:val="24"/>
          <w:szCs w:val="24"/>
          <w:shd w:val="clear" w:color="auto" w:fill="FFFFFF"/>
        </w:rPr>
        <w:t xml:space="preserve"> </w:t>
      </w:r>
    </w:p>
    <w:p w14:paraId="72416D4F"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u w:val="single"/>
          <w:shd w:val="clear" w:color="auto" w:fill="FFFFFF"/>
        </w:rPr>
      </w:pPr>
      <w:r w:rsidRPr="00F934F9">
        <w:rPr>
          <w:rFonts w:ascii="Times New Roman" w:hAnsi="Times New Roman" w:cs="Times New Roman"/>
          <w:sz w:val="24"/>
          <w:szCs w:val="24"/>
          <w:u w:val="single"/>
          <w:shd w:val="clear" w:color="auto" w:fill="FFFFFF"/>
        </w:rPr>
        <w:t>Outcome</w:t>
      </w:r>
    </w:p>
    <w:p w14:paraId="530B69FB"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order of the Irish High Court would be recognised and declared enforceable. All the 22 questions had been answered correctly and the Sch.3 conditions were satisfied.</w:t>
      </w:r>
      <w:r w:rsidRPr="00F934F9">
        <w:rPr>
          <w:rStyle w:val="FootnoteReference"/>
          <w:rFonts w:ascii="Times New Roman" w:hAnsi="Times New Roman" w:cs="Times New Roman"/>
          <w:sz w:val="24"/>
          <w:szCs w:val="24"/>
          <w:shd w:val="clear" w:color="auto" w:fill="FFFFFF"/>
        </w:rPr>
        <w:footnoteReference w:id="129"/>
      </w:r>
    </w:p>
    <w:p w14:paraId="77EDACCE"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i/>
          <w:iCs/>
          <w:sz w:val="24"/>
          <w:szCs w:val="24"/>
          <w:shd w:val="clear" w:color="auto" w:fill="FFFFFF"/>
        </w:rPr>
      </w:pPr>
      <w:r w:rsidRPr="00F934F9">
        <w:rPr>
          <w:rFonts w:ascii="Times New Roman" w:hAnsi="Times New Roman" w:cs="Times New Roman"/>
          <w:b/>
          <w:bCs/>
          <w:i/>
          <w:iCs/>
          <w:sz w:val="24"/>
          <w:szCs w:val="24"/>
          <w:shd w:val="clear" w:color="auto" w:fill="FFFFFF"/>
        </w:rPr>
        <w:t>M v AB</w:t>
      </w:r>
      <w:r w:rsidRPr="00F934F9">
        <w:rPr>
          <w:rStyle w:val="FootnoteReference"/>
          <w:rFonts w:ascii="Times New Roman" w:hAnsi="Times New Roman" w:cs="Times New Roman"/>
          <w:b/>
          <w:bCs/>
          <w:sz w:val="24"/>
          <w:szCs w:val="24"/>
          <w:shd w:val="clear" w:color="auto" w:fill="FFFFFF"/>
        </w:rPr>
        <w:footnoteReference w:id="130"/>
      </w:r>
      <w:r w:rsidRPr="00F934F9">
        <w:rPr>
          <w:rFonts w:ascii="Times New Roman" w:hAnsi="Times New Roman" w:cs="Times New Roman"/>
          <w:b/>
          <w:bCs/>
          <w:i/>
          <w:iCs/>
          <w:sz w:val="24"/>
          <w:szCs w:val="24"/>
          <w:shd w:val="clear" w:color="auto" w:fill="FFFFFF"/>
        </w:rPr>
        <w:t xml:space="preserve"> </w:t>
      </w:r>
    </w:p>
    <w:p w14:paraId="740B46E1"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2000 Convention was identified as relevant but was not analysed in any depth.</w:t>
      </w:r>
    </w:p>
    <w:p w14:paraId="6FAB233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 xml:space="preserve">Legal points: </w:t>
      </w:r>
    </w:p>
    <w:p w14:paraId="1373E4F5" w14:textId="77777777" w:rsidR="00544A2E" w:rsidRPr="00F934F9" w:rsidRDefault="00544A2E" w:rsidP="00F934F9">
      <w:pPr>
        <w:pStyle w:val="ListParagraph"/>
        <w:widowControl w:val="0"/>
        <w:numPr>
          <w:ilvl w:val="0"/>
          <w:numId w:val="14"/>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 xml:space="preserve">Habitual residence </w:t>
      </w:r>
    </w:p>
    <w:p w14:paraId="60233FFA"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case of </w:t>
      </w:r>
      <w:r w:rsidRPr="00F934F9">
        <w:rPr>
          <w:rFonts w:ascii="Times New Roman" w:hAnsi="Times New Roman" w:cs="Times New Roman"/>
          <w:i/>
          <w:iCs/>
          <w:sz w:val="24"/>
          <w:szCs w:val="24"/>
          <w:shd w:val="clear" w:color="auto" w:fill="FFFFFF"/>
        </w:rPr>
        <w:t>M v AB</w:t>
      </w:r>
      <w:r w:rsidRPr="00F934F9">
        <w:rPr>
          <w:rStyle w:val="FootnoteReference"/>
          <w:rFonts w:ascii="Times New Roman" w:hAnsi="Times New Roman" w:cs="Times New Roman"/>
          <w:sz w:val="24"/>
          <w:szCs w:val="24"/>
          <w:shd w:val="clear" w:color="auto" w:fill="FFFFFF"/>
        </w:rPr>
        <w:footnoteReference w:id="131"/>
      </w:r>
      <w:r w:rsidRPr="00F934F9">
        <w:rPr>
          <w:rFonts w:ascii="Times New Roman" w:hAnsi="Times New Roman" w:cs="Times New Roman"/>
          <w:i/>
          <w:iCs/>
          <w:sz w:val="24"/>
          <w:szCs w:val="24"/>
          <w:shd w:val="clear" w:color="auto" w:fill="FFFFFF"/>
        </w:rPr>
        <w:t xml:space="preserve"> </w:t>
      </w:r>
      <w:r w:rsidRPr="00F934F9">
        <w:rPr>
          <w:rFonts w:ascii="Times New Roman" w:hAnsi="Times New Roman" w:cs="Times New Roman"/>
          <w:sz w:val="24"/>
          <w:szCs w:val="24"/>
          <w:shd w:val="clear" w:color="auto" w:fill="FFFFFF"/>
        </w:rPr>
        <w:t>concerned a 22-year-old young woman (AB) who had suffered brain injuries at birth and had numerous serious health conditions; she was wheelchair-bound and non-verbal, she had visual impairment and had to be fed through a PEG feed. She did not have capacity. In 2016 and 2017 a New York court granted successive letters of guardianship in respect of AB to her mother (the first applicant) and her sister (the second applicant). The mother was a British citizen but had lived in the US for many years where both her daughters (AB and the second applicant) were born. In 2019, following a social worker's concerns that the mother was not providing stable housing or proper care for AB, the local county in New York brought proceedings to discharge the mother as AB's guardian. When the court attempted to effect service on the mother, it was unable to locate her. She had moved with AB to the UK. Initially, they stayed in council-provided accommodation, then with relatives. AB was admitted to hospital, where safeguarding concerns about the mother's feeding practices were raised. AB was considered medically fit but remained an inpatient for almost three months until a care home place became available. At first the mother stayed there as well but she was removed when Covid-19 led to restrictions on visitors. A 12-month standard authorisation in respect of deprivation of liberty in AB's living arrangements at the care home was granted in April 2020. The mother had been provided with accommodation following her application for assistance as a homeless person. The applicants sought the immediate return of AB to the mother's care.</w:t>
      </w:r>
    </w:p>
    <w:p w14:paraId="435A43C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local authority and the Official Solicitor contended that AB remained habitually resident in the US. Nevertheless, on the question of habitual residence the court held that even though the mother technically had authority to remove the daughter to the UK, the court held that doing so was not a proper exercise of legitimate powers and was therefore not effective to change AB’s habitual residence. This was because the mother moved AB to the UK to evade imminent court proceedings in the US which she believed represented a threat to her own authority to make decisions in relation to her. Other facts regarding AB’s life in the UK also pointed towards her HR not having changed. Her circumstances since her arrival in the UK had not settled her such that her habitual residence had changed by passage of time. Any support that she had received from her wider family had been extremely transient, she was living in a care home because she had no other appropriate accommodation, and she was not integrated into the community. She remained habitually resident in the US. </w:t>
      </w:r>
    </w:p>
    <w:p w14:paraId="78E6B042"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lastRenderedPageBreak/>
        <w:t>Therefore, pursuant to the Mental Capacity Act 2005 Sch.3 Pt 2 para.7(1)(c) and para.7(1)(d), the UK court could only exercise its powers to make declarations and orders under s.15 and s.16 in respect of AB if the matter was urgent or if a protective measure that was temporary and limited in its effect to England and Wales was proposed. There was no evidence of any immediate threat to AB's life or safety, and no immediate need for further or other protection. There was no urgency in the sense identified in previous case-law.</w:t>
      </w:r>
      <w:r w:rsidRPr="00F934F9">
        <w:rPr>
          <w:rStyle w:val="FootnoteReference"/>
          <w:rFonts w:ascii="Times New Roman" w:hAnsi="Times New Roman" w:cs="Times New Roman"/>
          <w:sz w:val="24"/>
          <w:szCs w:val="24"/>
          <w:shd w:val="clear" w:color="auto" w:fill="FFFFFF"/>
        </w:rPr>
        <w:footnoteReference w:id="132"/>
      </w:r>
      <w:r w:rsidRPr="00F934F9">
        <w:rPr>
          <w:rFonts w:ascii="Times New Roman" w:hAnsi="Times New Roman" w:cs="Times New Roman"/>
          <w:sz w:val="24"/>
          <w:szCs w:val="24"/>
          <w:shd w:val="clear" w:color="auto" w:fill="FFFFFF"/>
        </w:rPr>
        <w:t xml:space="preserve"> The jurisdiction to determine wider welfare issues had to be yielded to the courts of New York. The instant court should only make such temporary and limited provision as was required to safeguard AB whilst that process was undertaken.</w:t>
      </w:r>
      <w:r w:rsidRPr="00F934F9">
        <w:rPr>
          <w:rStyle w:val="FootnoteReference"/>
          <w:rFonts w:ascii="Times New Roman" w:hAnsi="Times New Roman" w:cs="Times New Roman"/>
          <w:sz w:val="24"/>
          <w:szCs w:val="24"/>
          <w:shd w:val="clear" w:color="auto" w:fill="FFFFFF"/>
        </w:rPr>
        <w:footnoteReference w:id="133"/>
      </w:r>
      <w:r w:rsidRPr="00F934F9">
        <w:rPr>
          <w:rFonts w:ascii="Times New Roman" w:hAnsi="Times New Roman" w:cs="Times New Roman"/>
          <w:sz w:val="24"/>
          <w:szCs w:val="24"/>
          <w:shd w:val="clear" w:color="auto" w:fill="FFFFFF"/>
        </w:rPr>
        <w:t xml:space="preserve"> Accordingly, the court declined jurisdiction (because there was no indication of urgency) and deferred to the New York courts for decisions regarding AB’s welfare. </w:t>
      </w:r>
    </w:p>
    <w:p w14:paraId="4504D00F" w14:textId="77777777" w:rsidR="00544A2E" w:rsidRPr="00F934F9" w:rsidRDefault="00544A2E" w:rsidP="00F934F9">
      <w:pPr>
        <w:pStyle w:val="ListParagraph"/>
        <w:widowControl w:val="0"/>
        <w:numPr>
          <w:ilvl w:val="0"/>
          <w:numId w:val="14"/>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 xml:space="preserve">Recognition and enforcement </w:t>
      </w:r>
    </w:p>
    <w:p w14:paraId="64AEA17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applicants applied for the court to recognise letters of guardianship granted by a New York court conferring authority on the mother to make decisions in respect of the health and welfare of AB and challenged the standard authorisation in respect of deprivation of liberty in AB's current living arrangements. The Official Solicitor submitted that the court should disapply the mandatory requirement</w:t>
      </w:r>
      <w:r w:rsidRPr="00F934F9">
        <w:rPr>
          <w:rStyle w:val="FootnoteReference"/>
          <w:rFonts w:ascii="Times New Roman" w:hAnsi="Times New Roman" w:cs="Times New Roman"/>
          <w:sz w:val="24"/>
          <w:szCs w:val="24"/>
          <w:shd w:val="clear" w:color="auto" w:fill="FFFFFF"/>
        </w:rPr>
        <w:footnoteReference w:id="134"/>
      </w:r>
      <w:r w:rsidRPr="00F934F9">
        <w:rPr>
          <w:rFonts w:ascii="Times New Roman" w:hAnsi="Times New Roman" w:cs="Times New Roman"/>
          <w:sz w:val="24"/>
          <w:szCs w:val="24"/>
          <w:shd w:val="clear" w:color="auto" w:fill="FFFFFF"/>
        </w:rPr>
        <w:t xml:space="preserve"> that it recognise the New York guardianship on the basis of judicial comity as a case of the same subject matter was open before the New York courts.</w:t>
      </w:r>
    </w:p>
    <w:p w14:paraId="1A765B02"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sz w:val="24"/>
          <w:szCs w:val="24"/>
          <w:shd w:val="clear" w:color="auto" w:fill="FFFFFF"/>
        </w:rPr>
        <w:t>:</w:t>
      </w:r>
    </w:p>
    <w:p w14:paraId="498E155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disapplied the mandatory requirement that on the basis of judicial comity it should recognise the mother’s letters of guardianship ordered by a New York court in respect of her disabled 22-year-old daughter, where the New York court had already been asked by social services to revoke the woman's authority and had been prevented from doing so by her and her daughter moving to the UK to avoid those proceedings. It was clearly right and just to disapply the mandatory recognition on the grounds of the policy of judicial comity and the application for recognition was dismissed.</w:t>
      </w:r>
      <w:r w:rsidRPr="00F934F9">
        <w:rPr>
          <w:rStyle w:val="FootnoteReference"/>
          <w:rFonts w:ascii="Times New Roman" w:hAnsi="Times New Roman" w:cs="Times New Roman"/>
          <w:sz w:val="24"/>
          <w:szCs w:val="24"/>
          <w:shd w:val="clear" w:color="auto" w:fill="FFFFFF"/>
        </w:rPr>
        <w:footnoteReference w:id="135"/>
      </w:r>
      <w:r w:rsidRPr="00F934F9">
        <w:rPr>
          <w:rFonts w:ascii="Times New Roman" w:hAnsi="Times New Roman" w:cs="Times New Roman"/>
          <w:sz w:val="24"/>
          <w:szCs w:val="24"/>
          <w:shd w:val="clear" w:color="auto" w:fill="FFFFFF"/>
        </w:rPr>
        <w:t xml:space="preserve"> </w:t>
      </w:r>
      <w:bookmarkStart w:id="6" w:name="_Hlk146485610"/>
    </w:p>
    <w:bookmarkEnd w:id="6"/>
    <w:p w14:paraId="6AD5C4F5"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i/>
          <w:iCs/>
          <w:sz w:val="24"/>
          <w:szCs w:val="24"/>
          <w:shd w:val="clear" w:color="auto" w:fill="FFFFFF"/>
        </w:rPr>
        <w:t>Health Service Executive of Ireland v Ellern Mede Moorgate</w:t>
      </w:r>
      <w:r w:rsidRPr="00F934F9">
        <w:rPr>
          <w:rStyle w:val="FootnoteReference"/>
          <w:rFonts w:ascii="Times New Roman" w:hAnsi="Times New Roman" w:cs="Times New Roman"/>
          <w:b/>
          <w:bCs/>
          <w:sz w:val="24"/>
          <w:szCs w:val="24"/>
          <w:shd w:val="clear" w:color="auto" w:fill="FFFFFF"/>
        </w:rPr>
        <w:footnoteReference w:id="136"/>
      </w:r>
    </w:p>
    <w:p w14:paraId="25F1CBBD"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Legal point: Recognition and enforcement</w:t>
      </w:r>
    </w:p>
    <w:p w14:paraId="4821D851"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2000 Convention was identified as relevant but was not analysed in any depth.</w:t>
      </w:r>
    </w:p>
    <w:p w14:paraId="5574804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case involved a 19-year-old Irish woman (SM) who was habitually resident in Ireland, and suffered from anorexia nervosa and had a previous history of moderate and major depressive episodes. She had been assessed as lacking capacity to consent to or refuse medical treatment and had been made a ward of court. She was an in-patient at a hospital in London, but required a more specialist placement to stabilise her mental state before going on to treat her underlying conditions. In February 2020, the Health Service Executive of Ireland (HSE) filed a motion with the High Court in Ireland seeking an order permitting her urgent transfer to a specialist placement at a hospital in Rotherham. The application was granted on 4 February 2020. SM </w:t>
      </w:r>
      <w:r w:rsidRPr="00F934F9">
        <w:rPr>
          <w:rFonts w:ascii="Times New Roman" w:hAnsi="Times New Roman" w:cs="Times New Roman"/>
          <w:sz w:val="24"/>
          <w:szCs w:val="24"/>
          <w:shd w:val="clear" w:color="auto" w:fill="FFFFFF"/>
        </w:rPr>
        <w:lastRenderedPageBreak/>
        <w:t xml:space="preserve">had initially expressed a preference for an alternative placement in England but was acquiescing to the transfer. By the instant application, the HSE sought the recognition and enforcement of protective measures contained in the Irish High Court order so as to secure (i) authority for the placement and treatment of SM at the hospital; (ii) protection for SM's rights under the ECHR whilst admitted to and treated at the hospital; (iii) recognition of the continued jurisdiction of the Irish High Court over SM whilst she was physically present in England. The application was uncontested. </w:t>
      </w:r>
    </w:p>
    <w:p w14:paraId="716A105D"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sz w:val="24"/>
          <w:szCs w:val="24"/>
          <w:shd w:val="clear" w:color="auto" w:fill="FFFFFF"/>
        </w:rPr>
        <w:t>:</w:t>
      </w:r>
    </w:p>
    <w:p w14:paraId="0D02A132"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Court of Protection recognised and declared enforceable the protective measures contained in an order made by the Irish High Court in relation to the urgent transfer of a 19-year-old Irish woman with anorexia to a specialist placement at a hospital in Rotherham. Even though the individual lacked capacity, the court took into consideration her view on the matter, even though the court ultimately departed from it. </w:t>
      </w:r>
    </w:p>
    <w:p w14:paraId="38EEB3BC"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necessary criteria were met for recognition and enforcement of the order. SM was an adult. The order recorded that she lacked the capacity to litigate for the same reason she was found to lack the capacity to refuse care or treatment. The protective measures identified in the order therefore stood as protective measures for the purpose of the Mental Capacity Act 2005 Sch.3, namely by reason of her condition and diagnosis, SM required a period of assessment and treatment in a specialist facility which was not available in Ireland. Furthermore, the protective measures were taken on the basis that SM was habitually resident in Ireland. Crucially, she had had a proper opportunity to be heard before the Irish High Court for the purposes of Sch.3 para.19(3)(b). She was represented in the Irish proceedings by her committee. Even though she lacked capacity, the court gave specific consideration to her expressed wishes despite ultimately departing from them. As such, there could be no doubt that SM had had the opportunity to be heard, and, indeed, was heard, in the Irish proceedings. Further, and in any event, the latest expression of SM's views was that she acquiesced to the transfer to the hospital. Furthermore, there was nothing to indicate that the structure of the protective measures would be manifestly contrary to public policy for the purposes of Sch.3 para.19(4)(a), nor would it be inconsistent with a mandatory provision of the law of England and Wales for the purposes of Sch.3 para.19(4)(b). Accordingly, the court was able both to recognise and declare enforceable the protective measures in the order of 4 February 2020, specifically to enable SM to be transferred to the hospital to receive the urgent treatment she required in a regime in which the curtailments on her liberty were proportional to the objective (i.e. to promote her health and protect her life).</w:t>
      </w:r>
      <w:r w:rsidRPr="00F934F9">
        <w:rPr>
          <w:rStyle w:val="FootnoteReference"/>
          <w:rFonts w:ascii="Times New Roman" w:hAnsi="Times New Roman" w:cs="Times New Roman"/>
          <w:sz w:val="24"/>
          <w:szCs w:val="24"/>
          <w:shd w:val="clear" w:color="auto" w:fill="FFFFFF"/>
        </w:rPr>
        <w:footnoteReference w:id="137"/>
      </w:r>
    </w:p>
    <w:p w14:paraId="38721275" w14:textId="77777777" w:rsidR="00544A2E" w:rsidRPr="00F934F9" w:rsidRDefault="00544A2E" w:rsidP="00F934F9">
      <w:pPr>
        <w:pStyle w:val="NormalWeb"/>
        <w:numPr>
          <w:ilvl w:val="0"/>
          <w:numId w:val="13"/>
        </w:numPr>
        <w:jc w:val="both"/>
        <w:rPr>
          <w:b/>
          <w:bCs/>
          <w:color w:val="000000"/>
        </w:rPr>
      </w:pPr>
      <w:bookmarkStart w:id="7" w:name="_Hlk146514428"/>
      <w:r w:rsidRPr="00F934F9">
        <w:rPr>
          <w:b/>
          <w:bCs/>
          <w:i/>
          <w:iCs/>
          <w:color w:val="000000"/>
        </w:rPr>
        <w:t>Re MN (Recognition and Enforcement of Foreign Protective Measures</w:t>
      </w:r>
      <w:bookmarkEnd w:id="7"/>
      <w:r w:rsidRPr="00F934F9">
        <w:rPr>
          <w:b/>
          <w:bCs/>
          <w:i/>
          <w:iCs/>
          <w:color w:val="000000"/>
        </w:rPr>
        <w:t>)</w:t>
      </w:r>
      <w:r w:rsidRPr="00F934F9">
        <w:rPr>
          <w:rStyle w:val="FootnoteReference"/>
          <w:b/>
          <w:bCs/>
          <w:color w:val="000000"/>
        </w:rPr>
        <w:footnoteReference w:id="138"/>
      </w:r>
      <w:r w:rsidRPr="00F934F9">
        <w:rPr>
          <w:b/>
          <w:bCs/>
          <w:color w:val="000000"/>
        </w:rPr>
        <w:t xml:space="preserve"> </w:t>
      </w:r>
    </w:p>
    <w:p w14:paraId="0B3AE035" w14:textId="77777777" w:rsidR="00544A2E" w:rsidRPr="00F934F9" w:rsidRDefault="00544A2E" w:rsidP="00F934F9">
      <w:pPr>
        <w:pStyle w:val="NormalWeb"/>
        <w:jc w:val="both"/>
        <w:rPr>
          <w:b/>
          <w:bCs/>
          <w:color w:val="000000"/>
        </w:rPr>
      </w:pPr>
      <w:r w:rsidRPr="00F934F9">
        <w:rPr>
          <w:b/>
          <w:bCs/>
          <w:color w:val="000000"/>
        </w:rPr>
        <w:t>Legal point: wrongful removal of an incapacitated adult</w:t>
      </w:r>
    </w:p>
    <w:p w14:paraId="6CB8129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applicant advocate (S) applied for the recognition and enforcement of Californian orders directing the return to California of an elderly woman (M) who had been removed to the UK by her niece (P) after losing the mental capacity to make such decisions for herself.</w:t>
      </w:r>
    </w:p>
    <w:p w14:paraId="6CAE13A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M was 89 and had been habitually resident in the United States. Some years previously, she had made a Californian Advance Health Care Directive, appointing P as her agent and </w:t>
      </w:r>
      <w:r w:rsidRPr="00F934F9">
        <w:rPr>
          <w:rFonts w:ascii="Times New Roman" w:hAnsi="Times New Roman" w:cs="Times New Roman"/>
          <w:sz w:val="24"/>
          <w:szCs w:val="24"/>
          <w:shd w:val="clear" w:color="auto" w:fill="FFFFFF"/>
        </w:rPr>
        <w:lastRenderedPageBreak/>
        <w:t>authorising her to make personal care decisions for her, including where she was to live. She expressed a wish to live in her home for as long as reasonably possible and to maintain relationships with friends and neighbours. Subsequently, she lost the capacity to make relevant decisions. Initially, she continued to live in her home with the assistance of a care team but 12 months before the instant hearing, P had arranged for her to travel to the UK, and she had lived in P's home ever since. Proceedings were issued in California by a public guardian and S was appointed as M's advocate. The judge decided that the directive reflected M's wishes and he removed P as her agent, appointed a permanent conservator of her person and directed her return to California. P appealed and the order was stayed pending the appeal. A psychiatrist took the view that M was capable of travelling to California but had reservations about whether that would serve her longer-term best interests. Although the Californian order was stayed, it was agreed that it would be helpful for the English court to set out the approach it would adopt if asked to enforce the order.</w:t>
      </w:r>
    </w:p>
    <w:p w14:paraId="6D35D88B"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S argued that M's habitual residence remained in California and that the court's jurisdiction was therefore confined to recognition and enforcement. P submitted that a best interests enquiry always had to be undertaken to ensure that enforcement of an order was not contrary to the Mental Capacity Act 2005 s.1(5). </w:t>
      </w:r>
    </w:p>
    <w:p w14:paraId="45C140B6"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sz w:val="24"/>
          <w:szCs w:val="24"/>
          <w:shd w:val="clear" w:color="auto" w:fill="FFFFFF"/>
        </w:rPr>
        <w:t>:</w:t>
      </w:r>
    </w:p>
    <w:p w14:paraId="21DC5578"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There was no requirement to undertake a full best interests enquiry before taking a decision to recognise or enforce under the Mental Capacity Act 2005 Sch.3 Pt 4. Such an approach did not contravene s.1(5) of the Act, because a decision to recognise or enforce was not a decision "for or on behalf of a person" but a decision in respect of an order.</w:t>
      </w:r>
    </w:p>
    <w:p w14:paraId="1CC79DC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u w:val="single"/>
          <w:shd w:val="clear" w:color="auto" w:fill="FFFFFF"/>
        </w:rPr>
      </w:pPr>
      <w:r w:rsidRPr="00F934F9">
        <w:rPr>
          <w:rFonts w:ascii="Times New Roman" w:hAnsi="Times New Roman" w:cs="Times New Roman"/>
          <w:sz w:val="24"/>
          <w:szCs w:val="24"/>
          <w:u w:val="single"/>
          <w:shd w:val="clear" w:color="auto" w:fill="FFFFFF"/>
        </w:rPr>
        <w:t>Parallels with the 1980 Convention</w:t>
      </w:r>
    </w:p>
    <w:p w14:paraId="30FCDC8C"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color w:val="000000"/>
          <w:sz w:val="24"/>
          <w:szCs w:val="24"/>
        </w:rPr>
        <w:t xml:space="preserve">In this case, theoretical parallels were drawn between the 2000 Convention and the 1996 &amp; 1980 Conventions, regarding habitual residence and “wrongful” removal. In the case of 2000 Convention, the concept of “wrongful removal” is not recognized with the same impact as the 1980 Convention, however there are some hints towards that direction given by the court. </w:t>
      </w:r>
      <w:r w:rsidRPr="00F934F9">
        <w:rPr>
          <w:rFonts w:ascii="Times New Roman" w:hAnsi="Times New Roman" w:cs="Times New Roman"/>
          <w:sz w:val="24"/>
          <w:szCs w:val="24"/>
          <w:shd w:val="clear" w:color="auto" w:fill="FFFFFF"/>
        </w:rPr>
        <w:t>The judge commented on a “wrongful removal (…) of an incapacitated adult” as follows:</w:t>
      </w:r>
    </w:p>
    <w:p w14:paraId="6FA5A6FF"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“It seems to me that the wrongful removal (in this case without authority under the directive whether because Part 3 is not engaged or the decision was not made in good faith) of an incapacitated adult should have the same consequence and should leave the courts of the country from which she was taken free to take protective measures.”</w:t>
      </w:r>
    </w:p>
    <w:p w14:paraId="4104710F"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Munby J further noted an exception – the doctrine of necessity, which absolves wrongfulness in removals of incapacitated adults:</w:t>
      </w:r>
      <w:r w:rsidRPr="00F934F9">
        <w:rPr>
          <w:rStyle w:val="FootnoteReference"/>
          <w:rFonts w:ascii="Times New Roman" w:hAnsi="Times New Roman" w:cs="Times New Roman"/>
          <w:sz w:val="24"/>
          <w:szCs w:val="24"/>
          <w:shd w:val="clear" w:color="auto" w:fill="FFFFFF"/>
        </w:rPr>
        <w:footnoteReference w:id="139"/>
      </w:r>
    </w:p>
    <w:p w14:paraId="62721FF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“Put shortly, what the doctrine of necessity requires is a decision taken by a relative or carer which is reasonable, arrived at in good faith and taken in the best interests of the assisted person.”</w:t>
      </w:r>
      <w:r w:rsidRPr="00F934F9">
        <w:rPr>
          <w:rStyle w:val="FootnoteReference"/>
          <w:rFonts w:ascii="Times New Roman" w:hAnsi="Times New Roman" w:cs="Times New Roman"/>
          <w:sz w:val="24"/>
          <w:szCs w:val="24"/>
          <w:shd w:val="clear" w:color="auto" w:fill="FFFFFF"/>
        </w:rPr>
        <w:footnoteReference w:id="140"/>
      </w:r>
      <w:r w:rsidRPr="00F934F9">
        <w:rPr>
          <w:rFonts w:ascii="Times New Roman" w:hAnsi="Times New Roman" w:cs="Times New Roman"/>
          <w:sz w:val="24"/>
          <w:szCs w:val="24"/>
          <w:shd w:val="clear" w:color="auto" w:fill="FFFFFF"/>
        </w:rPr>
        <w:t xml:space="preserve"> “Of course, the doctrine of necessity is not a licence to be irresponsible. It will not protect someone who is an officious busybody. And it will not apply where there is bad faith </w:t>
      </w:r>
      <w:r w:rsidRPr="00F934F9">
        <w:rPr>
          <w:rFonts w:ascii="Times New Roman" w:hAnsi="Times New Roman" w:cs="Times New Roman"/>
          <w:sz w:val="24"/>
          <w:szCs w:val="24"/>
          <w:shd w:val="clear" w:color="auto" w:fill="FFFFFF"/>
        </w:rPr>
        <w:lastRenderedPageBreak/>
        <w:t>or where what is done is unreasonable or not in the best interests of the assisted person.”</w:t>
      </w:r>
      <w:r w:rsidRPr="00F934F9">
        <w:rPr>
          <w:rStyle w:val="FootnoteReference"/>
          <w:rFonts w:ascii="Times New Roman" w:hAnsi="Times New Roman" w:cs="Times New Roman"/>
          <w:sz w:val="24"/>
          <w:szCs w:val="24"/>
          <w:shd w:val="clear" w:color="auto" w:fill="FFFFFF"/>
        </w:rPr>
        <w:footnoteReference w:id="141"/>
      </w:r>
      <w:r w:rsidRPr="00F934F9">
        <w:rPr>
          <w:rFonts w:ascii="Times New Roman" w:hAnsi="Times New Roman" w:cs="Times New Roman"/>
          <w:sz w:val="24"/>
          <w:szCs w:val="24"/>
          <w:shd w:val="clear" w:color="auto" w:fill="FFFFFF"/>
        </w:rPr>
        <w:t xml:space="preserve"> </w:t>
      </w:r>
    </w:p>
    <w:p w14:paraId="4F42416B"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i/>
          <w:iCs/>
          <w:sz w:val="24"/>
          <w:szCs w:val="24"/>
          <w:shd w:val="clear" w:color="auto" w:fill="FFFFFF"/>
        </w:rPr>
      </w:pPr>
      <w:r w:rsidRPr="00F934F9">
        <w:rPr>
          <w:rFonts w:ascii="Times New Roman" w:hAnsi="Times New Roman" w:cs="Times New Roman"/>
          <w:b/>
          <w:bCs/>
          <w:i/>
          <w:iCs/>
          <w:sz w:val="24"/>
          <w:szCs w:val="24"/>
          <w:shd w:val="clear" w:color="auto" w:fill="FFFFFF"/>
        </w:rPr>
        <w:t>Re PA; Re PB; Re PC</w:t>
      </w:r>
      <w:r w:rsidRPr="00F934F9">
        <w:rPr>
          <w:rStyle w:val="FootnoteReference"/>
          <w:rFonts w:ascii="Times New Roman" w:hAnsi="Times New Roman" w:cs="Times New Roman"/>
          <w:b/>
          <w:bCs/>
          <w:i/>
          <w:iCs/>
          <w:sz w:val="24"/>
          <w:szCs w:val="24"/>
          <w:shd w:val="clear" w:color="auto" w:fill="FFFFFF"/>
        </w:rPr>
        <w:footnoteReference w:id="142"/>
      </w:r>
    </w:p>
    <w:p w14:paraId="3BD4802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 xml:space="preserve">Legal points: </w:t>
      </w:r>
    </w:p>
    <w:p w14:paraId="62457A03" w14:textId="77777777" w:rsidR="00544A2E" w:rsidRPr="00F934F9" w:rsidRDefault="00544A2E" w:rsidP="00F934F9">
      <w:pPr>
        <w:pStyle w:val="ListParagraph"/>
        <w:widowControl w:val="0"/>
        <w:numPr>
          <w:ilvl w:val="0"/>
          <w:numId w:val="16"/>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Habitual residence</w:t>
      </w:r>
    </w:p>
    <w:p w14:paraId="1E66AC1E" w14:textId="77777777" w:rsidR="00544A2E" w:rsidRPr="00F934F9" w:rsidRDefault="00544A2E" w:rsidP="00F934F9">
      <w:pPr>
        <w:pStyle w:val="ListParagraph"/>
        <w:widowControl w:val="0"/>
        <w:numPr>
          <w:ilvl w:val="0"/>
          <w:numId w:val="16"/>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Recognition and enforcement</w:t>
      </w:r>
    </w:p>
    <w:p w14:paraId="63E5CB5F"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clarified the extent of application or influence of the 2000 Convention in England</w:t>
      </w:r>
      <w:r w:rsidRPr="00F934F9">
        <w:rPr>
          <w:rFonts w:ascii="Times New Roman" w:hAnsi="Times New Roman" w:cs="Times New Roman"/>
          <w:b/>
          <w:bCs/>
          <w:i/>
          <w:iCs/>
          <w:sz w:val="24"/>
          <w:szCs w:val="24"/>
          <w:shd w:val="clear" w:color="auto" w:fill="FFFFFF"/>
        </w:rPr>
        <w:t xml:space="preserve"> </w:t>
      </w:r>
      <w:r w:rsidRPr="00F934F9">
        <w:rPr>
          <w:rFonts w:ascii="Times New Roman" w:hAnsi="Times New Roman" w:cs="Times New Roman"/>
          <w:sz w:val="24"/>
          <w:szCs w:val="24"/>
          <w:shd w:val="clear" w:color="auto" w:fill="FFFFFF"/>
        </w:rPr>
        <w:t>and Wales and Scotland:</w:t>
      </w:r>
    </w:p>
    <w:p w14:paraId="01B7D880"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Convention has been ratified by the United Kingdom in relation to Scotland alone. As Sir James Munby P observed in Re O (Court of Protection: Jurisdiction) [2013] EWHC 3932 (COP) at paragraph 7, in England and Wales the Convention is given effect, but only to the extent thereby specified, by certain provisions of the Mental Capacity Act 2005. It is therefore primarily to that Act, rather than the Convention itself, that the Court must have regard."</w:t>
      </w:r>
      <w:r w:rsidRPr="00F934F9">
        <w:rPr>
          <w:rStyle w:val="FootnoteReference"/>
          <w:rFonts w:ascii="Times New Roman" w:hAnsi="Times New Roman" w:cs="Times New Roman"/>
          <w:sz w:val="24"/>
          <w:szCs w:val="24"/>
          <w:shd w:val="clear" w:color="auto" w:fill="FFFFFF"/>
        </w:rPr>
        <w:footnoteReference w:id="143"/>
      </w:r>
    </w:p>
    <w:p w14:paraId="04F969F0"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Facts</w:t>
      </w:r>
      <w:r w:rsidRPr="00F934F9">
        <w:rPr>
          <w:rFonts w:ascii="Times New Roman" w:hAnsi="Times New Roman" w:cs="Times New Roman"/>
          <w:sz w:val="24"/>
          <w:szCs w:val="24"/>
          <w:shd w:val="clear" w:color="auto" w:fill="FFFFFF"/>
        </w:rPr>
        <w:t>:</w:t>
      </w:r>
    </w:p>
    <w:p w14:paraId="6F61E1F2"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In conjoined cases, the applicant health service applied under the Mental Capacity Act 2005 s.63 and Sch.3 to recognise and enforce orders of the Irish High Court for the detention of three young adults with serious mental disorders.</w:t>
      </w:r>
    </w:p>
    <w:p w14:paraId="1925F5DF"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All were Irish nationals who had been cared for in psychiatric institutions in Ireland. Each had been transferred under Irish Court orders to the second respondent hospital in England, either just before or just after reaching 18, on the basis that they lacked capacity to make informed decisions about their medical treatment, that nowhere in Ireland offered the treatment they needed, and that the orders were "protective measures" within Sch.3 Pt 1 para.5. The orders were regularly reviewed and extended. By the time of the instant hearing, the detainees had been in England for between one and three-and-a-half years. The proceedings raised issues about deprivation of liberty safeguards and the scope and interpretation of Sch.3. The main issues were whether (i) for the purposes of Sch.3 Pt 4 para.19(1), the adults had still been habitually resident in Ireland when the orders were last extended; (ii) the procedural safeguards in Sch.3 Pt 4 para.19(3) had been met.</w:t>
      </w:r>
    </w:p>
    <w:p w14:paraId="60562508"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i/>
          <w:iCs/>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i/>
          <w:iCs/>
          <w:sz w:val="24"/>
          <w:szCs w:val="24"/>
          <w:shd w:val="clear" w:color="auto" w:fill="FFFFFF"/>
        </w:rPr>
        <w:t>:</w:t>
      </w:r>
    </w:p>
    <w:p w14:paraId="63D78683"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applications were granted.</w:t>
      </w:r>
    </w:p>
    <w:p w14:paraId="5E502AED"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b/>
          <w:bCs/>
          <w:sz w:val="24"/>
          <w:szCs w:val="24"/>
          <w:shd w:val="clear" w:color="auto" w:fill="FFFFFF"/>
        </w:rPr>
        <w:t>Habitual residence</w:t>
      </w:r>
      <w:r w:rsidRPr="00F934F9">
        <w:rPr>
          <w:rFonts w:ascii="Times New Roman" w:hAnsi="Times New Roman" w:cs="Times New Roman"/>
          <w:sz w:val="24"/>
          <w:szCs w:val="24"/>
          <w:shd w:val="clear" w:color="auto" w:fill="FFFFFF"/>
        </w:rPr>
        <w:t>: Under Sch.3 para.21, findings of fact relied on by the court making the protective measures were conclusive. The Irish court had determined that the respective adults were habitually resident in Ireland. Those findings could not be challenged.</w:t>
      </w:r>
      <w:r w:rsidRPr="00F934F9">
        <w:rPr>
          <w:rStyle w:val="FootnoteReference"/>
          <w:rFonts w:ascii="Times New Roman" w:hAnsi="Times New Roman" w:cs="Times New Roman"/>
          <w:sz w:val="24"/>
          <w:szCs w:val="24"/>
          <w:shd w:val="clear" w:color="auto" w:fill="FFFFFF"/>
        </w:rPr>
        <w:footnoteReference w:id="144"/>
      </w:r>
      <w:r w:rsidRPr="00F934F9">
        <w:rPr>
          <w:rFonts w:ascii="Times New Roman" w:hAnsi="Times New Roman" w:cs="Times New Roman"/>
          <w:sz w:val="24"/>
          <w:szCs w:val="24"/>
          <w:shd w:val="clear" w:color="auto" w:fill="FFFFFF"/>
        </w:rPr>
        <w:t xml:space="preserve"> </w:t>
      </w:r>
    </w:p>
    <w:p w14:paraId="448BB00C"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i/>
          <w:iCs/>
          <w:sz w:val="24"/>
          <w:szCs w:val="24"/>
          <w:shd w:val="clear" w:color="auto" w:fill="FFFFFF"/>
        </w:rPr>
      </w:pPr>
      <w:r w:rsidRPr="00F934F9">
        <w:rPr>
          <w:rFonts w:ascii="Times New Roman" w:hAnsi="Times New Roman" w:cs="Times New Roman"/>
          <w:b/>
          <w:bCs/>
          <w:sz w:val="24"/>
          <w:szCs w:val="24"/>
          <w:shd w:val="clear" w:color="auto" w:fill="FFFFFF"/>
        </w:rPr>
        <w:t>Recognition and enforcement</w:t>
      </w:r>
      <w:r w:rsidRPr="00F934F9">
        <w:rPr>
          <w:rFonts w:ascii="Times New Roman" w:hAnsi="Times New Roman" w:cs="Times New Roman"/>
          <w:sz w:val="24"/>
          <w:szCs w:val="24"/>
          <w:shd w:val="clear" w:color="auto" w:fill="FFFFFF"/>
        </w:rPr>
        <w:t>: The court interpreted and considered the scope of the Mental Capacity Act 2005 Sch.3, particularly Sch.3 Pt 4 para.19(3) and Sch.3 Pt 4 para.19(4) concerning its powers to decline to recognise a protective measure in a foreign order.</w:t>
      </w:r>
      <w:r w:rsidRPr="00F934F9">
        <w:rPr>
          <w:rFonts w:ascii="Times New Roman" w:hAnsi="Times New Roman" w:cs="Times New Roman"/>
          <w:b/>
          <w:bCs/>
          <w:i/>
          <w:iCs/>
          <w:sz w:val="24"/>
          <w:szCs w:val="24"/>
          <w:shd w:val="clear" w:color="auto" w:fill="FFFFFF"/>
        </w:rPr>
        <w:t xml:space="preserve"> </w:t>
      </w:r>
      <w:r w:rsidRPr="00F934F9">
        <w:rPr>
          <w:rFonts w:ascii="Times New Roman" w:hAnsi="Times New Roman" w:cs="Times New Roman"/>
          <w:sz w:val="24"/>
          <w:szCs w:val="24"/>
          <w:shd w:val="clear" w:color="auto" w:fill="FFFFFF"/>
        </w:rPr>
        <w:t>It held that</w:t>
      </w:r>
      <w:r w:rsidRPr="00F934F9">
        <w:rPr>
          <w:rFonts w:ascii="Times New Roman" w:hAnsi="Times New Roman" w:cs="Times New Roman"/>
          <w:b/>
          <w:bCs/>
          <w:i/>
          <w:iCs/>
          <w:sz w:val="24"/>
          <w:szCs w:val="24"/>
          <w:shd w:val="clear" w:color="auto" w:fill="FFFFFF"/>
        </w:rPr>
        <w:t xml:space="preserve"> c</w:t>
      </w:r>
      <w:r w:rsidRPr="00F934F9">
        <w:rPr>
          <w:rFonts w:ascii="Times New Roman" w:hAnsi="Times New Roman" w:cs="Times New Roman"/>
          <w:sz w:val="24"/>
          <w:szCs w:val="24"/>
          <w:shd w:val="clear" w:color="auto" w:fill="FFFFFF"/>
        </w:rPr>
        <w:t xml:space="preserve">ourts had a discretion to disapply a protective measure made in a foreign order. Schedule </w:t>
      </w:r>
      <w:r w:rsidRPr="00F934F9">
        <w:rPr>
          <w:rFonts w:ascii="Times New Roman" w:hAnsi="Times New Roman" w:cs="Times New Roman"/>
          <w:sz w:val="24"/>
          <w:szCs w:val="24"/>
          <w:shd w:val="clear" w:color="auto" w:fill="FFFFFF"/>
        </w:rPr>
        <w:lastRenderedPageBreak/>
        <w:t>3 para.19(3) stated that it could do so if it "thinks" that all three criteria in that provision apply. The word "thinks" meant "concludes on a balance of probabilities", rather than any lower standard. None of the criteria were met in the instant cases.</w:t>
      </w:r>
      <w:r w:rsidRPr="00F934F9">
        <w:rPr>
          <w:rStyle w:val="FootnoteReference"/>
          <w:rFonts w:ascii="Times New Roman" w:hAnsi="Times New Roman" w:cs="Times New Roman"/>
          <w:sz w:val="24"/>
          <w:szCs w:val="24"/>
          <w:shd w:val="clear" w:color="auto" w:fill="FFFFFF"/>
        </w:rPr>
        <w:footnoteReference w:id="145"/>
      </w:r>
      <w:r w:rsidRPr="00F934F9">
        <w:rPr>
          <w:rFonts w:ascii="Times New Roman" w:hAnsi="Times New Roman" w:cs="Times New Roman"/>
          <w:sz w:val="24"/>
          <w:szCs w:val="24"/>
          <w:shd w:val="clear" w:color="auto" w:fill="FFFFFF"/>
        </w:rPr>
        <w:t xml:space="preserve"> Courts also had a discretionary power under Sch.3 para.19(4) to decline to recognise a protective measure in a foreign order. Those grounds were separate rather than cumulative. The first two, namely that recognition would be manifestly contrary to public policy, or inconsistent with a mandatory provision of English law, were two sides of the same coin: recognition of the second would, by definition, be manifestly contrary to the first.</w:t>
      </w:r>
      <w:r w:rsidRPr="00F934F9">
        <w:rPr>
          <w:rStyle w:val="FootnoteReference"/>
          <w:rFonts w:ascii="Times New Roman" w:hAnsi="Times New Roman" w:cs="Times New Roman"/>
          <w:sz w:val="24"/>
          <w:szCs w:val="24"/>
          <w:shd w:val="clear" w:color="auto" w:fill="FFFFFF"/>
        </w:rPr>
        <w:footnoteReference w:id="146"/>
      </w:r>
      <w:r w:rsidRPr="00F934F9">
        <w:rPr>
          <w:rFonts w:ascii="Times New Roman" w:hAnsi="Times New Roman" w:cs="Times New Roman"/>
          <w:sz w:val="24"/>
          <w:szCs w:val="24"/>
          <w:shd w:val="clear" w:color="auto" w:fill="FFFFFF"/>
        </w:rPr>
        <w:t xml:space="preserve"> The Official Solicitor, acting as advocate to the court, asserted that measures purporting to deprive the adults of their liberty had to meet the criteria established by the ECHR and EU law authorities, they being mandatory provisions of English law. He maintained that the instant court had no way of ensuring that detention reviews, being an integral part of the regime required by ECHR art.5(4), art.6 and art.8, were being undertaken in the foreign jurisdiction because there was no provision in the Court of Protection Rules 2007 for Sch.3 cases. However, by including Sch.3 in the Act, Parliament had authorised a system of recognition and enforcement of foreign orders notwithstanding that foreign courts and laws might operate a different approach, not only to an individual's treatment, but also to questions of jurisprudence and capacity. Therefore, the fact that some provisions within the Act appeared to conflict with the foreign state's laws and procedures should not, by itself, lead to a refusal to recognise or enforce the foreign order. The domestic court had to perform a limited review, as opposed to a wide-ranging one, of the merits of a foreign protective measure and strive to achieve a combined and harmonious application of the provisions of the two international instruments. It had to be satisfied that the criteria in </w:t>
      </w:r>
      <w:r w:rsidRPr="00F934F9">
        <w:rPr>
          <w:rFonts w:ascii="Times New Roman" w:hAnsi="Times New Roman" w:cs="Times New Roman"/>
          <w:i/>
          <w:iCs/>
          <w:sz w:val="24"/>
          <w:szCs w:val="24"/>
          <w:shd w:val="clear" w:color="auto" w:fill="FFFFFF"/>
        </w:rPr>
        <w:t>Winterwerp v Netherlands</w:t>
      </w:r>
      <w:r w:rsidRPr="00F934F9">
        <w:rPr>
          <w:rStyle w:val="FootnoteReference"/>
          <w:rFonts w:ascii="Times New Roman" w:hAnsi="Times New Roman" w:cs="Times New Roman"/>
          <w:i/>
          <w:iCs/>
          <w:sz w:val="24"/>
          <w:szCs w:val="24"/>
          <w:shd w:val="clear" w:color="auto" w:fill="FFFFFF"/>
        </w:rPr>
        <w:footnoteReference w:id="147"/>
      </w:r>
      <w:r w:rsidRPr="00F934F9">
        <w:rPr>
          <w:rFonts w:ascii="Times New Roman" w:hAnsi="Times New Roman" w:cs="Times New Roman"/>
          <w:sz w:val="24"/>
          <w:szCs w:val="24"/>
          <w:shd w:val="clear" w:color="auto" w:fill="FFFFFF"/>
        </w:rPr>
        <w:t xml:space="preserve"> were met, and that the individual's right to challenge the detention was effective. Most orders presented for recognition were likely to be of short duration, but there might be repeated requests to scrutinise a succession of orders, which would require close co-operation between the medical and social care authorities, and also between the judges of the two jurisdictions. As the definition of "adult" in Sch.3 Pt 1 para.4 extended to incapacitated persons, it followed that the court would be obliged to recognise and enforce foreign orders in terms that could not be included in an order made under the Act, subject to its discretion to refuse where recognition would be manifestly contrary to public policy.</w:t>
      </w:r>
      <w:r w:rsidRPr="00F934F9">
        <w:rPr>
          <w:rStyle w:val="FootnoteReference"/>
          <w:rFonts w:ascii="Times New Roman" w:hAnsi="Times New Roman" w:cs="Times New Roman"/>
          <w:sz w:val="24"/>
          <w:szCs w:val="24"/>
          <w:shd w:val="clear" w:color="auto" w:fill="FFFFFF"/>
        </w:rPr>
        <w:footnoteReference w:id="148"/>
      </w:r>
      <w:r w:rsidRPr="00F934F9">
        <w:rPr>
          <w:rFonts w:ascii="Times New Roman" w:hAnsi="Times New Roman" w:cs="Times New Roman"/>
          <w:sz w:val="24"/>
          <w:szCs w:val="24"/>
          <w:shd w:val="clear" w:color="auto" w:fill="FFFFFF"/>
        </w:rPr>
        <w:t xml:space="preserve"> </w:t>
      </w:r>
    </w:p>
    <w:p w14:paraId="3DED900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w:t>
      </w:r>
      <w:r w:rsidRPr="00F934F9">
        <w:rPr>
          <w:rFonts w:ascii="Times New Roman" w:hAnsi="Times New Roman" w:cs="Times New Roman"/>
          <w:i/>
          <w:iCs/>
          <w:sz w:val="24"/>
          <w:szCs w:val="24"/>
          <w:shd w:val="clear" w:color="auto" w:fill="FFFFFF"/>
        </w:rPr>
        <w:t>Winterwerp</w:t>
      </w:r>
      <w:r w:rsidRPr="00F934F9">
        <w:rPr>
          <w:rFonts w:ascii="Times New Roman" w:hAnsi="Times New Roman" w:cs="Times New Roman"/>
          <w:sz w:val="24"/>
          <w:szCs w:val="24"/>
          <w:shd w:val="clear" w:color="auto" w:fill="FFFFFF"/>
        </w:rPr>
        <w:t xml:space="preserve"> criteria were met, and extensive safeguards had been included in the Irish orders to ensure that regular reviews occurred. There were no grounds for refusing to recognise and enforce the protective measures.</w:t>
      </w:r>
      <w:r w:rsidRPr="00F934F9">
        <w:rPr>
          <w:rStyle w:val="FootnoteReference"/>
          <w:rFonts w:ascii="Times New Roman" w:hAnsi="Times New Roman" w:cs="Times New Roman"/>
          <w:sz w:val="24"/>
          <w:szCs w:val="24"/>
          <w:shd w:val="clear" w:color="auto" w:fill="FFFFFF"/>
        </w:rPr>
        <w:footnoteReference w:id="149"/>
      </w:r>
    </w:p>
    <w:p w14:paraId="5DBC3ECD"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i/>
          <w:iCs/>
          <w:sz w:val="24"/>
          <w:szCs w:val="24"/>
          <w:shd w:val="clear" w:color="auto" w:fill="FFFFFF"/>
        </w:rPr>
      </w:pPr>
      <w:r w:rsidRPr="00F934F9">
        <w:rPr>
          <w:rFonts w:ascii="Times New Roman" w:hAnsi="Times New Roman" w:cs="Times New Roman"/>
          <w:b/>
          <w:bCs/>
          <w:i/>
          <w:iCs/>
          <w:sz w:val="24"/>
          <w:szCs w:val="24"/>
          <w:shd w:val="clear" w:color="auto" w:fill="FFFFFF"/>
        </w:rPr>
        <w:t>Re GED (Various Applications Concerning Foreign Representative Powers)</w:t>
      </w:r>
      <w:r w:rsidRPr="00F934F9">
        <w:rPr>
          <w:rStyle w:val="FootnoteReference"/>
          <w:rFonts w:ascii="Times New Roman" w:hAnsi="Times New Roman" w:cs="Times New Roman"/>
          <w:b/>
          <w:bCs/>
          <w:i/>
          <w:iCs/>
          <w:sz w:val="24"/>
          <w:szCs w:val="24"/>
          <w:shd w:val="clear" w:color="auto" w:fill="FFFFFF"/>
        </w:rPr>
        <w:footnoteReference w:id="150"/>
      </w:r>
      <w:r w:rsidRPr="00F934F9">
        <w:rPr>
          <w:rFonts w:ascii="Times New Roman" w:hAnsi="Times New Roman" w:cs="Times New Roman"/>
          <w:b/>
          <w:bCs/>
          <w:i/>
          <w:iCs/>
          <w:sz w:val="24"/>
          <w:szCs w:val="24"/>
          <w:shd w:val="clear" w:color="auto" w:fill="FFFFFF"/>
        </w:rPr>
        <w:t xml:space="preserve"> </w:t>
      </w:r>
    </w:p>
    <w:p w14:paraId="19C236E3"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Legal point: Approach to foreign powers of attorney</w:t>
      </w:r>
    </w:p>
    <w:p w14:paraId="4AC051F8"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In this case, the Court of Protection provided clarification on issues concerning its approach to foreign powers of attorney and giving effect to them in England and Wales.</w:t>
      </w:r>
    </w:p>
    <w:p w14:paraId="4F157714"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2000 Convention was considered in the following paras: [11, 14: Legal Framework], [17: definition of "adults" included in the Convention's scope], [29: interpretation of "protective measures"]; and [39: commentary on discerning the applicable law].</w:t>
      </w:r>
    </w:p>
    <w:p w14:paraId="058607E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lastRenderedPageBreak/>
        <w:t>The issue arose in the context of five unrelated applications for the court to give effect in England and Wales to representative powers originating in a foreign jurisdiction. In particular, three broad issues were identified:</w:t>
      </w:r>
    </w:p>
    <w:p w14:paraId="01E99691"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Was a foreign power of attorney capable of constituting a "protective measure"?</w:t>
      </w:r>
    </w:p>
    <w:p w14:paraId="7941D8E4"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Was there a capacity threshold to the court's jurisdiction?</w:t>
      </w:r>
    </w:p>
    <w:p w14:paraId="6E2AA714"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Where there was a valid and operable foreign power of attorney in place, was the jurisdiction of the Court of Protection under the Mental Capacity Act 2005 s.16 limited?</w:t>
      </w:r>
    </w:p>
    <w:p w14:paraId="75588B98"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sz w:val="24"/>
          <w:szCs w:val="24"/>
          <w:shd w:val="clear" w:color="auto" w:fill="FFFFFF"/>
        </w:rPr>
        <w:t>:</w:t>
      </w:r>
    </w:p>
    <w:p w14:paraId="60F0449F"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set out available options as follows:</w:t>
      </w:r>
    </w:p>
    <w:p w14:paraId="7C85721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Where an adult held property in England and Wales which was likely to require ongoing management, there were various options open to the holder of a foreign power of representation (R) to ensure that he or she had the necessary powers of management on their behalf:</w:t>
      </w:r>
    </w:p>
    <w:p w14:paraId="2676862B" w14:textId="77777777" w:rsidR="00544A2E" w:rsidRPr="00F934F9" w:rsidRDefault="00544A2E" w:rsidP="00F934F9">
      <w:pPr>
        <w:pStyle w:val="ListParagraph"/>
        <w:widowControl w:val="0"/>
        <w:numPr>
          <w:ilvl w:val="0"/>
          <w:numId w:val="17"/>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R could simply rely on the power, using it directly to demonstrate their authority </w:t>
      </w:r>
    </w:p>
    <w:p w14:paraId="2C05E0E3"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In practice that approach was generally not found to be effective because financial institutions in England and Wales usually sought some domestic confirmation of authority.</w:t>
      </w:r>
      <w:r w:rsidRPr="00F934F9">
        <w:rPr>
          <w:rStyle w:val="FootnoteReference"/>
          <w:rFonts w:ascii="Times New Roman" w:hAnsi="Times New Roman" w:cs="Times New Roman"/>
          <w:sz w:val="24"/>
          <w:szCs w:val="24"/>
          <w:shd w:val="clear" w:color="auto" w:fill="FFFFFF"/>
        </w:rPr>
        <w:footnoteReference w:id="151"/>
      </w:r>
      <w:r w:rsidRPr="00F934F9">
        <w:rPr>
          <w:rFonts w:ascii="Times New Roman" w:hAnsi="Times New Roman" w:cs="Times New Roman"/>
          <w:sz w:val="24"/>
          <w:szCs w:val="24"/>
          <w:shd w:val="clear" w:color="auto" w:fill="FFFFFF"/>
        </w:rPr>
        <w:t xml:space="preserve"> (see para.24.1 of judgment).</w:t>
      </w:r>
    </w:p>
    <w:p w14:paraId="78911FF4" w14:textId="77777777" w:rsidR="00544A2E" w:rsidRPr="00F934F9" w:rsidRDefault="00544A2E" w:rsidP="00F934F9">
      <w:pPr>
        <w:pStyle w:val="ListParagraph"/>
        <w:widowControl w:val="0"/>
        <w:numPr>
          <w:ilvl w:val="0"/>
          <w:numId w:val="17"/>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R could obtain an order from the country where the donor was habitually resident permitting him to manage the donor's property (essentially the equivalent of a deputyship order); and then seek recognition of that order under Sch.3 Pt 4 of the 2005 Act / the Court of Protection Rules 2017 r.23.4 </w:t>
      </w:r>
    </w:p>
    <w:p w14:paraId="7283DC62"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In order to grant recognition, the Court of Protection would require evidence satisfying the requirements of Practice Direction 23A: International Protection of Adults para.12(1). None of the five cases before the court involved such an application. Given that powers of attorney were typically granted with a view to avoiding any need for court proceedings, it was not difficult to see why that approach, which required proceedings in two courts, was not commonly favoured.</w:t>
      </w:r>
      <w:r w:rsidRPr="00F934F9">
        <w:rPr>
          <w:rStyle w:val="FootnoteReference"/>
          <w:rFonts w:ascii="Times New Roman" w:hAnsi="Times New Roman" w:cs="Times New Roman"/>
          <w:sz w:val="24"/>
          <w:szCs w:val="24"/>
          <w:shd w:val="clear" w:color="auto" w:fill="FFFFFF"/>
        </w:rPr>
        <w:footnoteReference w:id="152"/>
      </w:r>
    </w:p>
    <w:p w14:paraId="47AA8879" w14:textId="77777777" w:rsidR="00544A2E" w:rsidRPr="00F934F9" w:rsidRDefault="00544A2E" w:rsidP="00F934F9">
      <w:pPr>
        <w:pStyle w:val="ListParagraph"/>
        <w:widowControl w:val="0"/>
        <w:numPr>
          <w:ilvl w:val="0"/>
          <w:numId w:val="17"/>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R could seek a declaration under s.15(1)(c) of the 2005 Act and r.23.6 of the 2017 Rules that he or she would be acting lawfully when exercising authority under the power in England and Wales </w:t>
      </w:r>
    </w:p>
    <w:p w14:paraId="744260F2"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In order to grant such a declaration, the Court of Protection would need to determine, in accordance with Sch.3 para.13 of the 2005 Act: (a) which law governed the existence, extent, modification or extinction of the power; (b) whether the creation of the power met the requirements of that law; (c) what (if any) restrictions were placed by the foreign law on R's powers or their exercise. That determination would require evidence of the relevant foreign law to be filed. If a declaration were to be made as sought, it should make clear and express the requirement that the exercise of the power in England and Wales had to comply with the law of England and Wales. As to whether there was a capacity threshold to the court's jurisdiction, for the court's jurisdiction to make that type of declaration to arise, the donor of the power had to be an "adult" within the meaning of Sch.3 para.4. That seemed to have been the approach </w:t>
      </w:r>
      <w:r w:rsidRPr="00F934F9">
        <w:rPr>
          <w:rFonts w:ascii="Times New Roman" w:hAnsi="Times New Roman" w:cs="Times New Roman"/>
          <w:sz w:val="24"/>
          <w:szCs w:val="24"/>
          <w:shd w:val="clear" w:color="auto" w:fill="FFFFFF"/>
        </w:rPr>
        <w:lastRenderedPageBreak/>
        <w:t xml:space="preserve">taken in </w:t>
      </w:r>
      <w:r w:rsidRPr="00F934F9">
        <w:rPr>
          <w:rFonts w:ascii="Times New Roman" w:hAnsi="Times New Roman" w:cs="Times New Roman"/>
          <w:i/>
          <w:iCs/>
          <w:sz w:val="24"/>
          <w:szCs w:val="24"/>
          <w:shd w:val="clear" w:color="auto" w:fill="FFFFFF"/>
        </w:rPr>
        <w:t>Re PA</w:t>
      </w:r>
      <w:r w:rsidRPr="00F934F9">
        <w:rPr>
          <w:rFonts w:ascii="Times New Roman" w:hAnsi="Times New Roman" w:cs="Times New Roman"/>
          <w:sz w:val="24"/>
          <w:szCs w:val="24"/>
          <w:shd w:val="clear" w:color="auto" w:fill="FFFFFF"/>
        </w:rPr>
        <w:t xml:space="preserve"> [2015] EWCOP 38 and was consistent with the "scope of jurisdiction" provisions in Sch.3 para.7(1).</w:t>
      </w:r>
      <w:r w:rsidRPr="00F934F9">
        <w:rPr>
          <w:rStyle w:val="FootnoteReference"/>
          <w:rFonts w:ascii="Times New Roman" w:hAnsi="Times New Roman" w:cs="Times New Roman"/>
          <w:sz w:val="24"/>
          <w:szCs w:val="24"/>
          <w:shd w:val="clear" w:color="auto" w:fill="FFFFFF"/>
        </w:rPr>
        <w:footnoteReference w:id="153"/>
      </w:r>
      <w:r w:rsidRPr="00F934F9">
        <w:rPr>
          <w:rFonts w:ascii="Times New Roman" w:hAnsi="Times New Roman" w:cs="Times New Roman"/>
          <w:sz w:val="24"/>
          <w:szCs w:val="24"/>
          <w:shd w:val="clear" w:color="auto" w:fill="FFFFFF"/>
        </w:rPr>
        <w:t xml:space="preserve"> </w:t>
      </w:r>
    </w:p>
    <w:p w14:paraId="318E1FB2" w14:textId="77777777" w:rsidR="00544A2E" w:rsidRPr="00F934F9" w:rsidRDefault="00544A2E" w:rsidP="00F934F9">
      <w:pPr>
        <w:pStyle w:val="ListParagraph"/>
        <w:widowControl w:val="0"/>
        <w:numPr>
          <w:ilvl w:val="0"/>
          <w:numId w:val="17"/>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R could seek an order of the court under s.16 of the 2005 Act </w:t>
      </w:r>
    </w:p>
    <w:p w14:paraId="3462CC34"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Under s.16(6), the court could "make the order, give the directions or make the appointment on such terms as it considers are in P's best interests, even though no application is before the court for an order, directions or an appointment on those terms". The exercise of the full, original jurisdiction could assist (a) by making an order which appointed R as the adult's deputy for property and affairs; or (b) where the adult's property in England and Wales was limited and R was simply seeking to remit such property to the state where the adult was habitually resident, by making a "one-off" order authorising R to make the transfer. In either case, the court would need evidence that the adult lacked relevant capacity within the meaning of s.2, and to be satisfied that the appointment/ authority to transfer was in the best interests of the adult. The existence of a valid foreign power of attorney was a material consideration when considering what was in the best interests of the adult in question, but it was not a bar to the exercise of the full, original jurisdiction of the court.</w:t>
      </w:r>
      <w:r w:rsidRPr="00F934F9">
        <w:rPr>
          <w:rStyle w:val="FootnoteReference"/>
          <w:rFonts w:ascii="Times New Roman" w:hAnsi="Times New Roman" w:cs="Times New Roman"/>
          <w:sz w:val="24"/>
          <w:szCs w:val="24"/>
          <w:shd w:val="clear" w:color="auto" w:fill="FFFFFF"/>
        </w:rPr>
        <w:footnoteReference w:id="154"/>
      </w:r>
    </w:p>
    <w:p w14:paraId="4D40A6E1" w14:textId="77777777" w:rsidR="00544A2E" w:rsidRPr="00F934F9" w:rsidRDefault="00544A2E" w:rsidP="00F934F9">
      <w:pPr>
        <w:pStyle w:val="ListParagraph"/>
        <w:widowControl w:val="0"/>
        <w:numPr>
          <w:ilvl w:val="0"/>
          <w:numId w:val="17"/>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R could apply for orders of recognition of the power of representation as a "protective measure"</w:t>
      </w:r>
    </w:p>
    <w:p w14:paraId="444EE43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That appeared to be the option intended by the applicants in the five cases before the court. Accordingly, it was necessary to consider further what constituted a "protective measure" for the purposes of the recognition provisions of Sch.3 para.19.</w:t>
      </w:r>
      <w:r w:rsidRPr="00F934F9">
        <w:rPr>
          <w:rStyle w:val="FootnoteReference"/>
          <w:rFonts w:ascii="Times New Roman" w:hAnsi="Times New Roman" w:cs="Times New Roman"/>
          <w:sz w:val="24"/>
          <w:szCs w:val="24"/>
          <w:shd w:val="clear" w:color="auto" w:fill="FFFFFF"/>
        </w:rPr>
        <w:footnoteReference w:id="155"/>
      </w:r>
    </w:p>
    <w:p w14:paraId="21963A6C"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What constituted a "protective measure"? The court had considered the question of what constituted a "protective measure" in </w:t>
      </w:r>
      <w:r w:rsidRPr="00F934F9">
        <w:rPr>
          <w:rFonts w:ascii="Times New Roman" w:hAnsi="Times New Roman" w:cs="Times New Roman"/>
          <w:i/>
          <w:iCs/>
          <w:sz w:val="24"/>
          <w:szCs w:val="24"/>
          <w:shd w:val="clear" w:color="auto" w:fill="FFFFFF"/>
        </w:rPr>
        <w:t>Re JMK</w:t>
      </w:r>
      <w:r w:rsidRPr="00F934F9">
        <w:rPr>
          <w:rFonts w:ascii="Times New Roman" w:hAnsi="Times New Roman" w:cs="Times New Roman"/>
          <w:sz w:val="24"/>
          <w:szCs w:val="24"/>
          <w:shd w:val="clear" w:color="auto" w:fill="FFFFFF"/>
        </w:rPr>
        <w:t xml:space="preserve"> [2018] EWCOP 5. However, with the benefit of submissions in the instant case, it was now clear that understanding "protective measure" as limited to arrangements that had been made or approved by a foreign court was unduly restrictive. If, when an appropriate application was made, the court was minded to take the view that a power of attorney could be transformed into a protective measure through a process of registration linked to loss of capacity, application of the recognition and enforcement provisions of Sch.3 Pt 4</w:t>
      </w:r>
      <w:r w:rsidRPr="00F934F9">
        <w:rPr>
          <w:rStyle w:val="FootnoteReference"/>
          <w:rFonts w:ascii="Times New Roman" w:hAnsi="Times New Roman" w:cs="Times New Roman"/>
          <w:sz w:val="24"/>
          <w:szCs w:val="24"/>
          <w:shd w:val="clear" w:color="auto" w:fill="FFFFFF"/>
        </w:rPr>
        <w:footnoteReference w:id="156"/>
      </w:r>
      <w:r w:rsidRPr="00F934F9">
        <w:rPr>
          <w:rFonts w:ascii="Times New Roman" w:hAnsi="Times New Roman" w:cs="Times New Roman"/>
          <w:sz w:val="24"/>
          <w:szCs w:val="24"/>
          <w:shd w:val="clear" w:color="auto" w:fill="FFFFFF"/>
        </w:rPr>
        <w:t xml:space="preserve"> still required that the circumstances of the disapplication under Sch.3 para.19(3), (4) and (5) did not apply.</w:t>
      </w:r>
      <w:r w:rsidRPr="00F934F9">
        <w:rPr>
          <w:rStyle w:val="FootnoteReference"/>
          <w:rFonts w:ascii="Times New Roman" w:hAnsi="Times New Roman" w:cs="Times New Roman"/>
          <w:sz w:val="24"/>
          <w:szCs w:val="24"/>
          <w:shd w:val="clear" w:color="auto" w:fill="FFFFFF"/>
        </w:rPr>
        <w:footnoteReference w:id="157"/>
      </w:r>
      <w:r w:rsidRPr="00F934F9">
        <w:rPr>
          <w:rFonts w:ascii="Times New Roman" w:hAnsi="Times New Roman" w:cs="Times New Roman"/>
          <w:sz w:val="24"/>
          <w:szCs w:val="24"/>
          <w:shd w:val="clear" w:color="auto" w:fill="FFFFFF"/>
        </w:rPr>
        <w:t xml:space="preserve"> </w:t>
      </w:r>
    </w:p>
    <w:p w14:paraId="1B4C014D"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i/>
          <w:iCs/>
          <w:sz w:val="24"/>
          <w:szCs w:val="24"/>
          <w:shd w:val="clear" w:color="auto" w:fill="FFFFFF"/>
        </w:rPr>
      </w:pPr>
      <w:r w:rsidRPr="00F934F9">
        <w:rPr>
          <w:rFonts w:ascii="Times New Roman" w:hAnsi="Times New Roman" w:cs="Times New Roman"/>
          <w:b/>
          <w:bCs/>
          <w:i/>
          <w:iCs/>
          <w:sz w:val="24"/>
          <w:szCs w:val="24"/>
          <w:shd w:val="clear" w:color="auto" w:fill="FFFFFF"/>
        </w:rPr>
        <w:lastRenderedPageBreak/>
        <w:t>Re PD</w:t>
      </w:r>
      <w:r w:rsidRPr="00F934F9">
        <w:rPr>
          <w:rStyle w:val="FootnoteReference"/>
          <w:rFonts w:ascii="Times New Roman" w:hAnsi="Times New Roman" w:cs="Times New Roman"/>
          <w:b/>
          <w:bCs/>
          <w:i/>
          <w:iCs/>
          <w:sz w:val="24"/>
          <w:szCs w:val="24"/>
          <w:shd w:val="clear" w:color="auto" w:fill="FFFFFF"/>
        </w:rPr>
        <w:footnoteReference w:id="158"/>
      </w:r>
      <w:r w:rsidRPr="00F934F9">
        <w:rPr>
          <w:rFonts w:ascii="Times New Roman" w:hAnsi="Times New Roman" w:cs="Times New Roman"/>
          <w:b/>
          <w:bCs/>
          <w:i/>
          <w:iCs/>
          <w:sz w:val="24"/>
          <w:szCs w:val="24"/>
          <w:shd w:val="clear" w:color="auto" w:fill="FFFFFF"/>
        </w:rPr>
        <w:t xml:space="preserve"> (Also known as: Health Service Executive of Ireland v CNWL)</w:t>
      </w:r>
    </w:p>
    <w:p w14:paraId="4DDAA610"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2000 Convention was mentioned in the following paras: [8: legal framework], [23: Submissions (arguments analogising the 2000 and 1996 Conventions)], [37: recognition and enforcement of measures].</w:t>
      </w:r>
    </w:p>
    <w:p w14:paraId="58218B6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Legal point: Recognition and enforcement</w:t>
      </w:r>
    </w:p>
    <w:p w14:paraId="19EDD53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was required to determine whether an adult who was the subject of an application under the Mental Capacity Act 2005 Sch.3 to recognise and enforce an order of a foreign court depriving him of his liberty had to be joined as a party to the application.</w:t>
      </w:r>
    </w:p>
    <w:p w14:paraId="5419A746"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claimant Health Service Executive of Ireland had sought an order for the recognition and enforcement of an order made by the High Court of Ireland in respect of a 21-year-old woman with a diagnosis of severe anorexia nervosa. At the conclusion of the hearing, at which the woman was neither a party nor represented, the judge made an order in line with the application and consequently the woman was moved from a hospital in Ireland to a specialist unit in England. The issue was whether, in the light of significant developments in the law around the time of the hearing, namely the decision in </w:t>
      </w:r>
      <w:r w:rsidRPr="00F934F9">
        <w:rPr>
          <w:rFonts w:ascii="Times New Roman" w:hAnsi="Times New Roman" w:cs="Times New Roman"/>
          <w:i/>
          <w:iCs/>
          <w:sz w:val="24"/>
          <w:szCs w:val="24"/>
          <w:shd w:val="clear" w:color="auto" w:fill="FFFFFF"/>
        </w:rPr>
        <w:t>Re X (Deprivation of Liberty)</w:t>
      </w:r>
      <w:r w:rsidRPr="00F934F9">
        <w:rPr>
          <w:rFonts w:ascii="Times New Roman" w:hAnsi="Times New Roman" w:cs="Times New Roman"/>
          <w:sz w:val="24"/>
          <w:szCs w:val="24"/>
          <w:shd w:val="clear" w:color="auto" w:fill="FFFFFF"/>
        </w:rPr>
        <w:t xml:space="preserve"> [2015] EWCA Civ 599, and the coming into force of the amended Court of Protection Rules 2007, in particular the new r.3A, it had been necessary to join the woman as a party to the application.</w:t>
      </w:r>
    </w:p>
    <w:p w14:paraId="773311C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Each case would turn on its own facts: in some cases the court would conclude that the adult needed to be joined as a party immediately, whereas in others the court would adopt one or other of the alternative methods provided in r.3A(2). In other situations, the court would be satisfied on the information before it that the requirements of Sch.3 were satisfied without taking any of the measures provided by r.3A(2). In very urgent cases, the court might conclude that an interim order should be made without any representation by or on behalf of the adult, but direct that the question of representation should be reviewed at a later hearing. Accordingly, in some cases joinder of the adult as a party would be considered necessary, but in the majority of cases it was likely that it would not. The flexibility provided by the new r.3A was well-suited to applications under Sch.3. It was possible to envisage cases in which the appointment of an accredited legal representative would be appropriate, since such an appointment would facilitate a quick but focused analysis of the particular requirements of Sch.3. It was therefore to be hoped that the scheme for accreditation was swiftly established. Pending the introduction of such a scheme, the court would have to consider in each case what other steps provided by r.3A should be taken.</w:t>
      </w:r>
      <w:r w:rsidRPr="00F934F9">
        <w:rPr>
          <w:rStyle w:val="FootnoteReference"/>
          <w:rFonts w:ascii="Times New Roman" w:hAnsi="Times New Roman" w:cs="Times New Roman"/>
          <w:sz w:val="24"/>
          <w:szCs w:val="24"/>
          <w:shd w:val="clear" w:color="auto" w:fill="FFFFFF"/>
        </w:rPr>
        <w:footnoteReference w:id="159"/>
      </w:r>
      <w:r w:rsidRPr="00F934F9">
        <w:rPr>
          <w:rFonts w:ascii="Times New Roman" w:hAnsi="Times New Roman" w:cs="Times New Roman"/>
          <w:sz w:val="24"/>
          <w:szCs w:val="24"/>
          <w:shd w:val="clear" w:color="auto" w:fill="FFFFFF"/>
        </w:rPr>
        <w:t xml:space="preserve"> This was an area where the principles of comity and co-operation between courts of different countries were of particular importance in the interests of the individual concerned. The court which had been asked to recognise a foreign order should work with the grain of that order, rather than raise procedural hurdles which might delay or impede the implementation of the order in a way that might harm the interests of the individual. If the court to which the application for recognition was made had concerns as to whether the adult had been properly heard before the court of origin, it should as a first step raise those concerns promptly with the court of origin, rather than simply refuse recognition. The purpose of Sch.3 was to facilitate the recognition and enforcement of protective measures for the benefit of vulnerable adults. The court to which such an application was made had to ensure that the limited review required by Sch.3 went no further than the terms of Sch.3 required and, in particular, did not trespass into the reconsideration of the merits of the order which were </w:t>
      </w:r>
      <w:r w:rsidRPr="00F934F9">
        <w:rPr>
          <w:rFonts w:ascii="Times New Roman" w:hAnsi="Times New Roman" w:cs="Times New Roman"/>
          <w:sz w:val="24"/>
          <w:szCs w:val="24"/>
          <w:shd w:val="clear" w:color="auto" w:fill="FFFFFF"/>
        </w:rPr>
        <w:lastRenderedPageBreak/>
        <w:t>entirely a matter for the court of origin.</w:t>
      </w:r>
      <w:r w:rsidRPr="00F934F9">
        <w:rPr>
          <w:rStyle w:val="FootnoteReference"/>
          <w:rFonts w:ascii="Times New Roman" w:hAnsi="Times New Roman" w:cs="Times New Roman"/>
          <w:sz w:val="24"/>
          <w:szCs w:val="24"/>
          <w:shd w:val="clear" w:color="auto" w:fill="FFFFFF"/>
        </w:rPr>
        <w:footnoteReference w:id="160"/>
      </w:r>
    </w:p>
    <w:p w14:paraId="7D3DE7F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sz w:val="24"/>
          <w:szCs w:val="24"/>
          <w:shd w:val="clear" w:color="auto" w:fill="FFFFFF"/>
        </w:rPr>
        <w:t>:</w:t>
      </w:r>
    </w:p>
    <w:p w14:paraId="4AF8E57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It was not necessary in every case where an adult was the subject of an application under the Mental Capacity Act 2005 Sch.3 to recognise and enforce an order of a foreign court depriving him of his liberty for that adult to be joined as a party to the application. Although in some cases joinder would be necessary, it was probable that it would not be necessary in the majority of cases. In particular, where an adult had been a party and represented in the proceedings before the foreign court, it was not indispensable for that adult also to be a party before the Court of Protection, given the limited scope of the enquiry required when considering an application under Sch.3.</w:t>
      </w:r>
    </w:p>
    <w:p w14:paraId="4988E8D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In the instant case, it was appropriate to ask the Irish court for clarification as to how the woman had been given, and was currently being given, an opportunity to be heard on the issue of the deprivation of liberty. The matter was adjourned pending such clarification.</w:t>
      </w:r>
      <w:r w:rsidRPr="00F934F9">
        <w:rPr>
          <w:rStyle w:val="FootnoteReference"/>
          <w:rFonts w:ascii="Times New Roman" w:hAnsi="Times New Roman" w:cs="Times New Roman"/>
          <w:sz w:val="24"/>
          <w:szCs w:val="24"/>
          <w:shd w:val="clear" w:color="auto" w:fill="FFFFFF"/>
        </w:rPr>
        <w:footnoteReference w:id="161"/>
      </w:r>
    </w:p>
    <w:p w14:paraId="245A5B2D"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p>
    <w:p w14:paraId="39688E9C"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i/>
          <w:iCs/>
          <w:sz w:val="24"/>
          <w:szCs w:val="24"/>
          <w:shd w:val="clear" w:color="auto" w:fill="FFFFFF"/>
        </w:rPr>
        <w:t>An English Local Authority v SW</w:t>
      </w:r>
      <w:r w:rsidRPr="00F934F9">
        <w:rPr>
          <w:rStyle w:val="FootnoteReference"/>
          <w:rFonts w:ascii="Times New Roman" w:hAnsi="Times New Roman" w:cs="Times New Roman"/>
          <w:b/>
          <w:bCs/>
          <w:sz w:val="24"/>
          <w:szCs w:val="24"/>
          <w:shd w:val="clear" w:color="auto" w:fill="FFFFFF"/>
        </w:rPr>
        <w:footnoteReference w:id="162"/>
      </w:r>
    </w:p>
    <w:p w14:paraId="7B33D886"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 xml:space="preserve">Legal point: Habitual residence </w:t>
      </w:r>
    </w:p>
    <w:p w14:paraId="0F06956D"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of Protection was required to determine where a woman lacking capacity (S) was habitually resident, in order to decide whether the English courts had jurisdiction to deal with an application brought by an English local authority under the Mental Capacity Act 2005.</w:t>
      </w:r>
    </w:p>
    <w:p w14:paraId="0A9F3D1C"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S was aged 36. In 2006, she had sustained brain injuries and had become incapable of caring for herself without support. She had always previously lived in Scotland, but in 2009 she moved to a rehabilitation facility in England. The move took place under a compulsory treatment order, but S wanted to go and her mother agreed that the facility was suitable. In 2010, S moved into specialist supported accommodation, also in England. It consisted of a number of separate units where she had her own flat. S lived there for three-and-a-half years, but at some point she expressed a wish to move from the flat. She said she did not like the area and wanted to live somewhere else, though not in Scotland. The English local authority commenced the instant proceedings because S's mother and stepfather wanted to move her back to Scotland, and there were concerns that she would not be cared for adequately. A psychologist concluded that S lacked capacity to decide where to live. A Scottish local authority was also a party to the application because S's care was funded by Scottish local authorities and she continued to have an allocated social worker from Scotland.</w:t>
      </w:r>
    </w:p>
    <w:p w14:paraId="19F80BBA"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local authorities submitted that S was habitually resident in Scotland. They argued that the test for habitual residence which applied to adults under the 2005 Act should be the same as that which applied to children in family cases under Regulation 2201/2003. They maintained that because S was not settled in England and did not like the area or home in which she was living, she was not integrated.</w:t>
      </w:r>
    </w:p>
    <w:p w14:paraId="5BE6AD0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sz w:val="24"/>
          <w:szCs w:val="24"/>
          <w:shd w:val="clear" w:color="auto" w:fill="FFFFFF"/>
        </w:rPr>
        <w:t>:</w:t>
      </w:r>
    </w:p>
    <w:p w14:paraId="3B88797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(1) The definition of habitual residence under the 2005 Act should be the same as that applied </w:t>
      </w:r>
      <w:r w:rsidRPr="00F934F9">
        <w:rPr>
          <w:rFonts w:ascii="Times New Roman" w:hAnsi="Times New Roman" w:cs="Times New Roman"/>
          <w:sz w:val="24"/>
          <w:szCs w:val="24"/>
          <w:shd w:val="clear" w:color="auto" w:fill="FFFFFF"/>
        </w:rPr>
        <w:lastRenderedPageBreak/>
        <w:t xml:space="preserve">in other family law instruments, including the Regulation. That conclusion was reached in light of: (a) the close links between the Hague Convention on the International Protection of Adults 2000 and the Hague Convention on Parental Responsibility and Child Protection 1996; (b) the relationship between the 2000 Convention and the 2005 Act; and (c) the policy considerations set out in </w:t>
      </w:r>
      <w:r w:rsidRPr="00F934F9">
        <w:rPr>
          <w:rFonts w:ascii="Times New Roman" w:hAnsi="Times New Roman" w:cs="Times New Roman"/>
          <w:i/>
          <w:iCs/>
          <w:sz w:val="24"/>
          <w:szCs w:val="24"/>
          <w:shd w:val="clear" w:color="auto" w:fill="FFFFFF"/>
        </w:rPr>
        <w:t>A v A (Children) (Habitual Residence)</w:t>
      </w:r>
      <w:r w:rsidRPr="00F934F9">
        <w:rPr>
          <w:rFonts w:ascii="Times New Roman" w:hAnsi="Times New Roman" w:cs="Times New Roman"/>
          <w:sz w:val="24"/>
          <w:szCs w:val="24"/>
          <w:shd w:val="clear" w:color="auto" w:fill="FFFFFF"/>
        </w:rPr>
        <w:t xml:space="preserve"> [2013] UKSC 60. Whilst different factors would inevitably be relevant and would bear different weight, the overarching approach had to be consistent across all international family law instruments. However, it was important, given its critical place in so many international instruments, that the determination of habitual residence was kept as free as possible from analytical concepts or constructs. It was a question of fact. Although the Supreme Court referred, in </w:t>
      </w:r>
      <w:r w:rsidRPr="00F934F9">
        <w:rPr>
          <w:rFonts w:ascii="Times New Roman" w:hAnsi="Times New Roman" w:cs="Times New Roman"/>
          <w:i/>
          <w:iCs/>
          <w:sz w:val="24"/>
          <w:szCs w:val="24"/>
          <w:shd w:val="clear" w:color="auto" w:fill="FFFFFF"/>
        </w:rPr>
        <w:t>A v A (Children) (Habitual Residence)</w:t>
      </w:r>
      <w:r w:rsidRPr="00F934F9">
        <w:rPr>
          <w:rFonts w:ascii="Times New Roman" w:hAnsi="Times New Roman" w:cs="Times New Roman"/>
          <w:sz w:val="24"/>
          <w:szCs w:val="24"/>
          <w:shd w:val="clear" w:color="auto" w:fill="FFFFFF"/>
        </w:rPr>
        <w:t xml:space="preserve"> [2013] UKSC 60 and</w:t>
      </w:r>
      <w:r w:rsidRPr="00F934F9">
        <w:rPr>
          <w:rFonts w:ascii="Times New Roman" w:hAnsi="Times New Roman" w:cs="Times New Roman"/>
          <w:i/>
          <w:iCs/>
          <w:sz w:val="24"/>
          <w:szCs w:val="24"/>
          <w:shd w:val="clear" w:color="auto" w:fill="FFFFFF"/>
        </w:rPr>
        <w:t xml:space="preserve"> LC (Children) (International Abduction: Child's Objections to Return)</w:t>
      </w:r>
      <w:r w:rsidRPr="00F934F9">
        <w:rPr>
          <w:rFonts w:ascii="Times New Roman" w:hAnsi="Times New Roman" w:cs="Times New Roman"/>
          <w:sz w:val="24"/>
          <w:szCs w:val="24"/>
          <w:shd w:val="clear" w:color="auto" w:fill="FFFFFF"/>
        </w:rPr>
        <w:t xml:space="preserve"> [2014] UKSC 1, to the test being whether there was some, or sufficient, degree of integration in a social and family environment, that was not intended to narrow the court's focus to that issue alone. Integration was not a freestanding, determinative factor. The court had to conduct an overall assessment.</w:t>
      </w:r>
      <w:r w:rsidRPr="00F934F9">
        <w:rPr>
          <w:rStyle w:val="FootnoteReference"/>
          <w:rFonts w:ascii="Times New Roman" w:hAnsi="Times New Roman" w:cs="Times New Roman"/>
          <w:sz w:val="24"/>
          <w:szCs w:val="24"/>
          <w:shd w:val="clear" w:color="auto" w:fill="FFFFFF"/>
        </w:rPr>
        <w:footnoteReference w:id="163"/>
      </w:r>
      <w:r w:rsidRPr="00F934F9">
        <w:rPr>
          <w:rFonts w:ascii="Times New Roman" w:hAnsi="Times New Roman" w:cs="Times New Roman"/>
          <w:sz w:val="24"/>
          <w:szCs w:val="24"/>
          <w:shd w:val="clear" w:color="auto" w:fill="FFFFFF"/>
        </w:rPr>
        <w:t xml:space="preserve"> In the instant case, the local authorities had focused unduly on whether S was integrated, by reference to whether she was happy living where she was. "Degree of integration" should be an overarching summary or question rather than the sole or primary factor in determining habitual residence.</w:t>
      </w:r>
      <w:r w:rsidRPr="00F934F9">
        <w:rPr>
          <w:rStyle w:val="FootnoteReference"/>
          <w:rFonts w:ascii="Times New Roman" w:hAnsi="Times New Roman" w:cs="Times New Roman"/>
          <w:sz w:val="24"/>
          <w:szCs w:val="24"/>
          <w:shd w:val="clear" w:color="auto" w:fill="FFFFFF"/>
        </w:rPr>
        <w:footnoteReference w:id="164"/>
      </w:r>
      <w:r w:rsidRPr="00F934F9">
        <w:rPr>
          <w:rFonts w:ascii="Times New Roman" w:hAnsi="Times New Roman" w:cs="Times New Roman"/>
          <w:sz w:val="24"/>
          <w:szCs w:val="24"/>
          <w:shd w:val="clear" w:color="auto" w:fill="FFFFFF"/>
        </w:rPr>
        <w:t xml:space="preserve"> </w:t>
      </w:r>
    </w:p>
    <w:p w14:paraId="7DA8FCE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Considering the above, the court held that in determining the habitual residence of adults for the purposes of the Mental Capacity Act 2005, it was appropriate to apply the same test which applied to family cases involving children under Regulation 2201/2003. It was relevant to consider whether there was some, or sufficient, degree of integration in a social and family environment, but that was not a freestanding, determinative factor. The court had to conduct an overall assessment of the circumstances of a case.</w:t>
      </w:r>
    </w:p>
    <w:p w14:paraId="56FC3ED4"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In the present case, S had been in England since 2009, and in her own flat since 2010. There would need to be some compelling countervailing factors for the court to determine she was not habitually resident in England. Whilst it was accepted that her place of residence had largely been governed by local authority decisions, and that she had expressed a dislike of the area in which she lived, those factors did not come close to counterbalancing the effect of her long residence in England, which had acquired effective "stability".</w:t>
      </w:r>
      <w:r w:rsidRPr="00F934F9">
        <w:rPr>
          <w:rStyle w:val="FootnoteReference"/>
          <w:rFonts w:ascii="Times New Roman" w:hAnsi="Times New Roman" w:cs="Times New Roman"/>
          <w:sz w:val="24"/>
          <w:szCs w:val="24"/>
          <w:shd w:val="clear" w:color="auto" w:fill="FFFFFF"/>
        </w:rPr>
        <w:footnoteReference w:id="165"/>
      </w:r>
    </w:p>
    <w:p w14:paraId="26033B56"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Comment</w:t>
      </w:r>
      <w:r w:rsidRPr="00F934F9">
        <w:rPr>
          <w:rFonts w:ascii="Times New Roman" w:hAnsi="Times New Roman" w:cs="Times New Roman"/>
          <w:sz w:val="24"/>
          <w:szCs w:val="24"/>
          <w:shd w:val="clear" w:color="auto" w:fill="FFFFFF"/>
        </w:rPr>
        <w:t>:</w:t>
      </w:r>
    </w:p>
    <w:p w14:paraId="6508106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This is an important decision as, despite the fact that habitual residence should be kept as free as possible from analytical concepts or construct, it endorses an approach based on uniform understanding of ‘habitual residence’, i.e., the overarching approach had to be consistent across all international family law instruments. The UK courts had taken this view already in relation to the 1996 Convention. </w:t>
      </w:r>
    </w:p>
    <w:p w14:paraId="016B4307" w14:textId="77777777" w:rsidR="00544A2E" w:rsidRPr="00F934F9" w:rsidRDefault="00544A2E" w:rsidP="00F934F9">
      <w:pPr>
        <w:pStyle w:val="ListParagraph"/>
        <w:widowControl w:val="0"/>
        <w:numPr>
          <w:ilvl w:val="0"/>
          <w:numId w:val="18"/>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Discussion of habitual residence of the vulnerable person should be made in line with the case law on the equivalent concept in international child abduction cases. In this context specific reference was made to the 2000 Convention.</w:t>
      </w:r>
      <w:r w:rsidRPr="00F934F9">
        <w:rPr>
          <w:rStyle w:val="FootnoteReference"/>
          <w:rFonts w:ascii="Times New Roman" w:hAnsi="Times New Roman" w:cs="Times New Roman"/>
          <w:sz w:val="24"/>
          <w:szCs w:val="24"/>
          <w:shd w:val="clear" w:color="auto" w:fill="FFFFFF"/>
        </w:rPr>
        <w:footnoteReference w:id="166"/>
      </w:r>
      <w:r w:rsidRPr="00F934F9">
        <w:rPr>
          <w:rFonts w:ascii="Times New Roman" w:hAnsi="Times New Roman" w:cs="Times New Roman"/>
          <w:sz w:val="24"/>
          <w:szCs w:val="24"/>
          <w:shd w:val="clear" w:color="auto" w:fill="FFFFFF"/>
        </w:rPr>
        <w:t xml:space="preserve"> The judge referred extensively to the case law regarding the habitual residence of children in international </w:t>
      </w:r>
      <w:r w:rsidRPr="00F934F9">
        <w:rPr>
          <w:rFonts w:ascii="Times New Roman" w:hAnsi="Times New Roman" w:cs="Times New Roman"/>
          <w:sz w:val="24"/>
          <w:szCs w:val="24"/>
          <w:shd w:val="clear" w:color="auto" w:fill="FFFFFF"/>
        </w:rPr>
        <w:lastRenderedPageBreak/>
        <w:t xml:space="preserve">child abduction cases and applied the concept in a mirroring way to the case. </w:t>
      </w:r>
    </w:p>
    <w:p w14:paraId="0AF708B6"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judge (Moylan J) observed a ‘close link’ between the 2000 Convention and the 1996 Convention and concluded that “the definition of ‘habitual residence’ under the Mental Capacity Act 2005 should be the same as that applied in other family law instruments, including BIIa.”</w:t>
      </w:r>
      <w:r w:rsidRPr="00F934F9">
        <w:rPr>
          <w:rStyle w:val="FootnoteReference"/>
          <w:rFonts w:ascii="Times New Roman" w:hAnsi="Times New Roman" w:cs="Times New Roman"/>
          <w:sz w:val="24"/>
          <w:szCs w:val="24"/>
          <w:shd w:val="clear" w:color="auto" w:fill="FFFFFF"/>
        </w:rPr>
        <w:footnoteReference w:id="167"/>
      </w:r>
      <w:r w:rsidRPr="00F934F9">
        <w:rPr>
          <w:rFonts w:ascii="Times New Roman" w:hAnsi="Times New Roman" w:cs="Times New Roman"/>
          <w:sz w:val="24"/>
          <w:szCs w:val="24"/>
          <w:shd w:val="clear" w:color="auto" w:fill="FFFFFF"/>
        </w:rPr>
        <w:t xml:space="preserve"> This dictum has become authoritative and was relied upon in forthcoming case-law such as </w:t>
      </w:r>
      <w:r w:rsidRPr="00F934F9">
        <w:rPr>
          <w:rFonts w:ascii="Times New Roman" w:hAnsi="Times New Roman" w:cs="Times New Roman"/>
          <w:i/>
          <w:iCs/>
          <w:sz w:val="24"/>
          <w:szCs w:val="24"/>
          <w:shd w:val="clear" w:color="auto" w:fill="FFFFFF"/>
        </w:rPr>
        <w:t>Re QD (Jurisdiction: Habitual Residence</w:t>
      </w:r>
      <w:r w:rsidRPr="00F934F9">
        <w:rPr>
          <w:rFonts w:ascii="Times New Roman" w:hAnsi="Times New Roman" w:cs="Times New Roman"/>
          <w:sz w:val="24"/>
          <w:szCs w:val="24"/>
          <w:shd w:val="clear" w:color="auto" w:fill="FFFFFF"/>
        </w:rPr>
        <w:t>)</w:t>
      </w:r>
      <w:r w:rsidRPr="00F934F9">
        <w:rPr>
          <w:rStyle w:val="FootnoteReference"/>
          <w:rFonts w:ascii="Times New Roman" w:hAnsi="Times New Roman" w:cs="Times New Roman"/>
          <w:sz w:val="24"/>
          <w:szCs w:val="24"/>
          <w:shd w:val="clear" w:color="auto" w:fill="FFFFFF"/>
        </w:rPr>
        <w:footnoteReference w:id="168"/>
      </w:r>
      <w:r w:rsidRPr="00F934F9">
        <w:rPr>
          <w:rFonts w:ascii="Times New Roman" w:hAnsi="Times New Roman" w:cs="Times New Roman"/>
          <w:sz w:val="24"/>
          <w:szCs w:val="24"/>
          <w:shd w:val="clear" w:color="auto" w:fill="FFFFFF"/>
        </w:rPr>
        <w:t xml:space="preserve"> (Also known as: </w:t>
      </w:r>
      <w:r w:rsidRPr="00F934F9">
        <w:rPr>
          <w:rFonts w:ascii="Times New Roman" w:hAnsi="Times New Roman" w:cs="Times New Roman"/>
          <w:i/>
          <w:iCs/>
          <w:sz w:val="24"/>
          <w:szCs w:val="24"/>
          <w:shd w:val="clear" w:color="auto" w:fill="FFFFFF"/>
        </w:rPr>
        <w:t>TD v KD</w:t>
      </w:r>
      <w:r w:rsidRPr="00F934F9">
        <w:rPr>
          <w:rFonts w:ascii="Times New Roman" w:hAnsi="Times New Roman" w:cs="Times New Roman"/>
          <w:sz w:val="24"/>
          <w:szCs w:val="24"/>
          <w:shd w:val="clear" w:color="auto" w:fill="FFFFFF"/>
        </w:rPr>
        <w:t>) – see below.</w:t>
      </w:r>
    </w:p>
    <w:p w14:paraId="4215E531" w14:textId="77777777" w:rsidR="00544A2E" w:rsidRPr="00F934F9" w:rsidRDefault="00544A2E" w:rsidP="00F934F9">
      <w:pPr>
        <w:pStyle w:val="ListParagraph"/>
        <w:widowControl w:val="0"/>
        <w:numPr>
          <w:ilvl w:val="0"/>
          <w:numId w:val="18"/>
        </w:numPr>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An interesting point is that Moylan J here relied on the Lagarde Explanatory Report to the 2000 Convention to reach the above conclusion (unfortunately no para is mentioned). The Lagarde report does mention that the 2000 Convention “follow[ed] the model of the [1996 Convention]”, in para 17 and “implicitly accepted the solutions which had been arrived” (para 51) in the negotiations of the 1996 Convention regarding the HR of the child, but does not observe a stronger link between the two conventions with regards to interpretation. From the wording of the report in paragraph 5, it is implied that whether the concept of HR for children was extended as is to adults remains inconclusive (the negotiators did not reach a clear conclusion). Instead, Lagarde notes that the concept of HR is of less significance in the case of adults than children and envisages that vulnerable adults are far less likely to be the subject of debate when it comes to their protection (perhaps this perception is now outdated, as there is significant case law with cross-border cases concerning the protection of vulnerable adults).</w:t>
      </w:r>
    </w:p>
    <w:p w14:paraId="5D065B2F" w14:textId="77777777" w:rsidR="00544A2E" w:rsidRPr="00F934F9" w:rsidRDefault="00544A2E" w:rsidP="00F934F9">
      <w:pPr>
        <w:pStyle w:val="ListParagraph"/>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p>
    <w:p w14:paraId="57E4FC14"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i/>
          <w:iCs/>
          <w:sz w:val="24"/>
          <w:szCs w:val="24"/>
          <w:shd w:val="clear" w:color="auto" w:fill="FFFFFF"/>
        </w:rPr>
        <w:t>Re QD (Jurisdiction: Habitual Residence</w:t>
      </w:r>
      <w:r w:rsidRPr="00F934F9">
        <w:rPr>
          <w:rFonts w:ascii="Times New Roman" w:hAnsi="Times New Roman" w:cs="Times New Roman"/>
          <w:b/>
          <w:bCs/>
          <w:sz w:val="24"/>
          <w:szCs w:val="24"/>
          <w:shd w:val="clear" w:color="auto" w:fill="FFFFFF"/>
        </w:rPr>
        <w:t>)</w:t>
      </w:r>
      <w:r w:rsidRPr="00F934F9">
        <w:rPr>
          <w:rStyle w:val="FootnoteReference"/>
          <w:rFonts w:ascii="Times New Roman" w:hAnsi="Times New Roman" w:cs="Times New Roman"/>
          <w:b/>
          <w:bCs/>
          <w:sz w:val="24"/>
          <w:szCs w:val="24"/>
          <w:shd w:val="clear" w:color="auto" w:fill="FFFFFF"/>
        </w:rPr>
        <w:footnoteReference w:id="169"/>
      </w:r>
      <w:r w:rsidRPr="00F934F9">
        <w:rPr>
          <w:rFonts w:ascii="Times New Roman" w:hAnsi="Times New Roman" w:cs="Times New Roman"/>
          <w:b/>
          <w:bCs/>
          <w:sz w:val="24"/>
          <w:szCs w:val="24"/>
          <w:shd w:val="clear" w:color="auto" w:fill="FFFFFF"/>
        </w:rPr>
        <w:t xml:space="preserve"> (Also known as: </w:t>
      </w:r>
      <w:r w:rsidRPr="00F934F9">
        <w:rPr>
          <w:rFonts w:ascii="Times New Roman" w:hAnsi="Times New Roman" w:cs="Times New Roman"/>
          <w:b/>
          <w:bCs/>
          <w:i/>
          <w:iCs/>
          <w:sz w:val="24"/>
          <w:szCs w:val="24"/>
          <w:shd w:val="clear" w:color="auto" w:fill="FFFFFF"/>
        </w:rPr>
        <w:t>TD v KD</w:t>
      </w:r>
      <w:r w:rsidRPr="00F934F9">
        <w:rPr>
          <w:rFonts w:ascii="Times New Roman" w:hAnsi="Times New Roman" w:cs="Times New Roman"/>
          <w:b/>
          <w:bCs/>
          <w:sz w:val="24"/>
          <w:szCs w:val="24"/>
          <w:shd w:val="clear" w:color="auto" w:fill="FFFFFF"/>
        </w:rPr>
        <w:t>)</w:t>
      </w:r>
    </w:p>
    <w:p w14:paraId="06A77B96"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2000 Convention was considered in the following paras: [7: jurisdiction], [10 -11: habitual residence].</w:t>
      </w:r>
    </w:p>
    <w:p w14:paraId="623CE7A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Importantly, the dicta in the previous case of </w:t>
      </w:r>
      <w:r w:rsidRPr="00F934F9">
        <w:rPr>
          <w:rFonts w:ascii="Times New Roman" w:hAnsi="Times New Roman" w:cs="Times New Roman"/>
          <w:i/>
          <w:iCs/>
          <w:sz w:val="24"/>
          <w:szCs w:val="24"/>
          <w:shd w:val="clear" w:color="auto" w:fill="FFFFFF"/>
        </w:rPr>
        <w:t>An English Local Authority v SW</w:t>
      </w:r>
      <w:r w:rsidRPr="00F934F9">
        <w:rPr>
          <w:rStyle w:val="FootnoteReference"/>
          <w:rFonts w:ascii="Times New Roman" w:hAnsi="Times New Roman" w:cs="Times New Roman"/>
          <w:sz w:val="24"/>
          <w:szCs w:val="24"/>
          <w:shd w:val="clear" w:color="auto" w:fill="FFFFFF"/>
        </w:rPr>
        <w:footnoteReference w:id="170"/>
      </w:r>
      <w:r w:rsidRPr="00F934F9">
        <w:rPr>
          <w:rFonts w:ascii="Times New Roman" w:hAnsi="Times New Roman" w:cs="Times New Roman"/>
          <w:i/>
          <w:iCs/>
          <w:sz w:val="24"/>
          <w:szCs w:val="24"/>
          <w:shd w:val="clear" w:color="auto" w:fill="FFFFFF"/>
        </w:rPr>
        <w:t xml:space="preserve">, </w:t>
      </w:r>
      <w:r w:rsidRPr="00F934F9">
        <w:rPr>
          <w:rFonts w:ascii="Times New Roman" w:hAnsi="Times New Roman" w:cs="Times New Roman"/>
          <w:sz w:val="24"/>
          <w:szCs w:val="24"/>
          <w:shd w:val="clear" w:color="auto" w:fill="FFFFFF"/>
        </w:rPr>
        <w:t xml:space="preserve">which set out the need for a uniform approach to habitual residence across international family law instruments was adopted also in this case. </w:t>
      </w:r>
    </w:p>
    <w:p w14:paraId="5590F54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sz w:val="24"/>
          <w:szCs w:val="24"/>
          <w:shd w:val="clear" w:color="auto" w:fill="FFFFFF"/>
        </w:rPr>
      </w:pPr>
      <w:r w:rsidRPr="00F934F9">
        <w:rPr>
          <w:rFonts w:ascii="Times New Roman" w:hAnsi="Times New Roman" w:cs="Times New Roman"/>
          <w:b/>
          <w:bCs/>
          <w:sz w:val="24"/>
          <w:szCs w:val="24"/>
          <w:shd w:val="clear" w:color="auto" w:fill="FFFFFF"/>
        </w:rPr>
        <w:t>Legal point: Habitual residence</w:t>
      </w:r>
    </w:p>
    <w:p w14:paraId="351E49F5"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 xml:space="preserve">The court had to decide as a preliminary issue whether it had jurisdiction to determine an application for welfare orders concerning the second respondent (QD). The applicants were the two adult children of QD's first marriage. In or about 2010, QD and the first respondent (KD) formed a relationship, and in 2012 they moved together to live in Spain. They bought an apartment there and since 2014 had been legal residents there. It was apparently their intention to retire and live there. In early 2017, they were married. In April 2018, QD was diagnosed with dementia. A doctor recently appointed by the parties had reached the following conclusions: QD did not have capacity to make decisions about where to live, his care and support needs, and how to be kept from harm; he was not expected to recover capacity; he required ongoing residential care and his needs were likely to increase in the future. During the summer of 2019, the applicants heard from friends and neighbours of QD that he was not being </w:t>
      </w:r>
      <w:r w:rsidRPr="00F934F9">
        <w:rPr>
          <w:rFonts w:ascii="Times New Roman" w:hAnsi="Times New Roman" w:cs="Times New Roman"/>
          <w:sz w:val="24"/>
          <w:szCs w:val="24"/>
          <w:shd w:val="clear" w:color="auto" w:fill="FFFFFF"/>
        </w:rPr>
        <w:lastRenderedPageBreak/>
        <w:t>cared for appropriately by KD. They became concerned that he was being neglected and that KD was concerned only with his money. They also heard that she was being unfaithful to him. Given those allegations, they resolved to "rescue" QD and bring him to England and place him in residential care. They took that step in early September 2019. KD had brought proceedings in a Spanish court concerning QD.</w:t>
      </w:r>
    </w:p>
    <w:p w14:paraId="66081970"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applicants argued that although QD had been habitually resident in Spain until early September, he was now (in December 2019) habitually resident in England, such that the court could apply the provisions of the Mental Capacity Act 2005 in the usual way. They claimed that QD's removal from Spain was not wrongful but justified under the common-law doctrine of necessity.</w:t>
      </w:r>
      <w:r w:rsidRPr="00F934F9">
        <w:rPr>
          <w:rStyle w:val="FootnoteReference"/>
          <w:rFonts w:ascii="Times New Roman" w:hAnsi="Times New Roman" w:cs="Times New Roman"/>
          <w:sz w:val="24"/>
          <w:szCs w:val="24"/>
          <w:shd w:val="clear" w:color="auto" w:fill="FFFFFF"/>
        </w:rPr>
        <w:footnoteReference w:id="171"/>
      </w:r>
      <w:r w:rsidRPr="00F934F9">
        <w:rPr>
          <w:rFonts w:ascii="Times New Roman" w:hAnsi="Times New Roman" w:cs="Times New Roman"/>
          <w:sz w:val="24"/>
          <w:szCs w:val="24"/>
          <w:shd w:val="clear" w:color="auto" w:fill="FFFFFF"/>
        </w:rPr>
        <w:t xml:space="preserve"> They alternatively argued that jurisdiction was established on the grounds of "urgency" or that the court could invoke its inherent jurisdiction to make substantive orders in relation to QD.</w:t>
      </w:r>
    </w:p>
    <w:p w14:paraId="5FC4CAE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u w:val="single"/>
          <w:shd w:val="clear" w:color="auto" w:fill="FFFFFF"/>
        </w:rPr>
        <w:t>Outcome</w:t>
      </w:r>
      <w:r w:rsidRPr="00F934F9">
        <w:rPr>
          <w:rFonts w:ascii="Times New Roman" w:hAnsi="Times New Roman" w:cs="Times New Roman"/>
          <w:sz w:val="24"/>
          <w:szCs w:val="24"/>
          <w:shd w:val="clear" w:color="auto" w:fill="FFFFFF"/>
        </w:rPr>
        <w:t>:</w:t>
      </w:r>
    </w:p>
    <w:p w14:paraId="1BAA0639"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QD remained habitually resident in Spain. The court therefore had to decline primary jurisdiction in accordance with the provisions of Sch.3 to the 2005 Act and yield to the jurisdiction of the Spanish court. The main reasons for that conclusion were as follows: when he had capacity, QD chose to live in Spain, and that was to have been his permanent home; he had now lived in Spain for many years; he had more than one property there; he received health care in Spain; he was integrated into life and a community in Spain, where he appeared to have a social life; it had been conceded by the applicants that before 3 September 2019, QD was habitually resident in Spain; Spain was the country in which KD continued to live; moreover, she had sought to regularise the care arrangements for QD in Spain by initiating proceedings for legal guardianship in that country some weeks before he was relocated to England. Also relevant was the fact that QD's move to this country was achieved by stealth. The applicants could not avail themselves of the doctrine of necessity to convert what was a wrongful act into a justified act. While there was no reason to question their case that they had received information which gave them concerns about QD's welfare, there were options open to them other than QD's summary removal from Spain. For instance, it would have been a far more reasonable course for them to have notified the police or social services in Spain of their concerns; they could also have raised their concerns directly with KD. In short, their covert plan was not the only option available to them, nor was it, objectively viewed, a reasonable one. Further, it would not be appropriate to assume jurisdiction based on "urgency" under Sch.3 para.7(1)(c). The exercise of jurisdiction based on para.7(1)(c) would be justified only where substantive orders were necessary to avert an immediate threat to life or safety, or where there was an immediate need for further or other protection. While it was important that decisions were made in QD's interests as soon as possible, there was no "urgency"</w:t>
      </w:r>
      <w:r w:rsidRPr="00F934F9">
        <w:rPr>
          <w:rStyle w:val="FootnoteReference"/>
          <w:rFonts w:ascii="Times New Roman" w:hAnsi="Times New Roman" w:cs="Times New Roman"/>
          <w:sz w:val="24"/>
          <w:szCs w:val="24"/>
          <w:shd w:val="clear" w:color="auto" w:fill="FFFFFF"/>
        </w:rPr>
        <w:footnoteReference w:id="172"/>
      </w:r>
      <w:r w:rsidRPr="00F934F9">
        <w:rPr>
          <w:rFonts w:ascii="Times New Roman" w:hAnsi="Times New Roman" w:cs="Times New Roman"/>
          <w:sz w:val="24"/>
          <w:szCs w:val="24"/>
          <w:shd w:val="clear" w:color="auto" w:fill="FFFFFF"/>
        </w:rPr>
        <w:t xml:space="preserve"> about the need for substantive orders. It would also not be appropriate to deploy the court's inherent jurisdiction as a means of making substantive orders in relation to QD; there was a comprehensive and robust statutory scheme in the 2005 Act which covered (in s.63 and Sch.3) the very issue in play. To apply the inherent jurisdiction would be to subvert the predictable and clear framework of the statute in an unprincipled way. The court would exercise the limited jurisdiction available to it under Sch.3 para.7(1)(c) to make a "protective measures" order which provided for QD to remain at the care home where he was residing and to continue the authorisation of the deprivation of his liberty there only until such time as the national authorities in Spain had </w:t>
      </w:r>
      <w:r w:rsidRPr="00F934F9">
        <w:rPr>
          <w:rFonts w:ascii="Times New Roman" w:hAnsi="Times New Roman" w:cs="Times New Roman"/>
          <w:sz w:val="24"/>
          <w:szCs w:val="24"/>
          <w:shd w:val="clear" w:color="auto" w:fill="FFFFFF"/>
        </w:rPr>
        <w:lastRenderedPageBreak/>
        <w:t>determined what should happen next. It would be for the Spanish authorities to determine the next step, which might of course be to confer jurisdiction on the English courts to make the relevant decision(s).</w:t>
      </w:r>
      <w:r w:rsidRPr="00F934F9">
        <w:rPr>
          <w:rStyle w:val="FootnoteReference"/>
          <w:rFonts w:ascii="Times New Roman" w:hAnsi="Times New Roman" w:cs="Times New Roman"/>
          <w:sz w:val="24"/>
          <w:szCs w:val="24"/>
          <w:shd w:val="clear" w:color="auto" w:fill="FFFFFF"/>
        </w:rPr>
        <w:footnoteReference w:id="173"/>
      </w:r>
      <w:r w:rsidRPr="00F934F9">
        <w:rPr>
          <w:rFonts w:ascii="Times New Roman" w:hAnsi="Times New Roman" w:cs="Times New Roman"/>
          <w:sz w:val="24"/>
          <w:szCs w:val="24"/>
          <w:shd w:val="clear" w:color="auto" w:fill="FFFFFF"/>
        </w:rPr>
        <w:t xml:space="preserve"> </w:t>
      </w:r>
    </w:p>
    <w:p w14:paraId="64BD728D"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p>
    <w:p w14:paraId="52E06DC1" w14:textId="77777777" w:rsidR="00544A2E" w:rsidRPr="00F934F9" w:rsidRDefault="00544A2E" w:rsidP="00F934F9">
      <w:pPr>
        <w:pStyle w:val="ListParagraph"/>
        <w:widowControl w:val="0"/>
        <w:numPr>
          <w:ilvl w:val="0"/>
          <w:numId w:val="13"/>
        </w:numPr>
        <w:autoSpaceDE w:val="0"/>
        <w:autoSpaceDN w:val="0"/>
        <w:adjustRightInd w:val="0"/>
        <w:spacing w:before="200" w:after="200" w:line="240" w:lineRule="auto"/>
        <w:jc w:val="both"/>
        <w:rPr>
          <w:rFonts w:ascii="Times New Roman" w:hAnsi="Times New Roman" w:cs="Times New Roman"/>
          <w:b/>
          <w:bCs/>
          <w:i/>
          <w:iCs/>
          <w:sz w:val="24"/>
          <w:szCs w:val="24"/>
          <w:shd w:val="clear" w:color="auto" w:fill="FFFFFF"/>
        </w:rPr>
      </w:pPr>
      <w:r w:rsidRPr="00F934F9">
        <w:rPr>
          <w:rFonts w:ascii="Times New Roman" w:hAnsi="Times New Roman" w:cs="Times New Roman"/>
          <w:b/>
          <w:bCs/>
          <w:i/>
          <w:iCs/>
          <w:sz w:val="24"/>
          <w:szCs w:val="24"/>
          <w:shd w:val="clear" w:color="auto" w:fill="FFFFFF"/>
        </w:rPr>
        <w:t>Re O (Court of Protection: Jurisdiction)</w:t>
      </w:r>
      <w:r w:rsidRPr="00F934F9">
        <w:rPr>
          <w:rStyle w:val="FootnoteReference"/>
          <w:rFonts w:ascii="Times New Roman" w:hAnsi="Times New Roman" w:cs="Times New Roman"/>
          <w:b/>
          <w:bCs/>
          <w:sz w:val="24"/>
          <w:szCs w:val="24"/>
          <w:shd w:val="clear" w:color="auto" w:fill="FFFFFF"/>
        </w:rPr>
        <w:footnoteReference w:id="174"/>
      </w:r>
      <w:r w:rsidRPr="00F934F9">
        <w:rPr>
          <w:rFonts w:ascii="Times New Roman" w:hAnsi="Times New Roman" w:cs="Times New Roman"/>
          <w:b/>
          <w:bCs/>
          <w:i/>
          <w:iCs/>
          <w:sz w:val="24"/>
          <w:szCs w:val="24"/>
          <w:shd w:val="clear" w:color="auto" w:fill="FFFFFF"/>
        </w:rPr>
        <w:t xml:space="preserve"> (Also known as: PO, Re, JO v GO)</w:t>
      </w:r>
    </w:p>
    <w:p w14:paraId="06DF597D"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color w:val="000000"/>
          <w:sz w:val="24"/>
          <w:szCs w:val="24"/>
        </w:rPr>
      </w:pPr>
      <w:r w:rsidRPr="00F934F9">
        <w:rPr>
          <w:rFonts w:ascii="Times New Roman" w:hAnsi="Times New Roman" w:cs="Times New Roman"/>
          <w:b/>
          <w:bCs/>
          <w:color w:val="000000"/>
          <w:sz w:val="24"/>
          <w:szCs w:val="24"/>
        </w:rPr>
        <w:t>Legal points:</w:t>
      </w:r>
    </w:p>
    <w:p w14:paraId="4178B1C1" w14:textId="77777777" w:rsidR="00544A2E" w:rsidRPr="00F934F9" w:rsidRDefault="00544A2E" w:rsidP="00F934F9">
      <w:pPr>
        <w:pStyle w:val="ListParagraph"/>
        <w:widowControl w:val="0"/>
        <w:numPr>
          <w:ilvl w:val="0"/>
          <w:numId w:val="19"/>
        </w:numPr>
        <w:autoSpaceDE w:val="0"/>
        <w:autoSpaceDN w:val="0"/>
        <w:adjustRightInd w:val="0"/>
        <w:spacing w:before="200" w:after="200" w:line="240" w:lineRule="auto"/>
        <w:jc w:val="both"/>
        <w:rPr>
          <w:rFonts w:ascii="Times New Roman" w:hAnsi="Times New Roman" w:cs="Times New Roman"/>
          <w:b/>
          <w:bCs/>
          <w:color w:val="000000"/>
          <w:sz w:val="24"/>
          <w:szCs w:val="24"/>
        </w:rPr>
      </w:pPr>
      <w:r w:rsidRPr="00F934F9">
        <w:rPr>
          <w:rFonts w:ascii="Times New Roman" w:hAnsi="Times New Roman" w:cs="Times New Roman"/>
          <w:b/>
          <w:bCs/>
          <w:color w:val="000000"/>
          <w:sz w:val="24"/>
          <w:szCs w:val="24"/>
        </w:rPr>
        <w:t>Jurisdiction</w:t>
      </w:r>
    </w:p>
    <w:p w14:paraId="4E480C6F" w14:textId="77777777" w:rsidR="00544A2E" w:rsidRPr="00F934F9" w:rsidRDefault="00544A2E" w:rsidP="00F934F9">
      <w:pPr>
        <w:pStyle w:val="ListParagraph"/>
        <w:widowControl w:val="0"/>
        <w:numPr>
          <w:ilvl w:val="0"/>
          <w:numId w:val="19"/>
        </w:numPr>
        <w:autoSpaceDE w:val="0"/>
        <w:autoSpaceDN w:val="0"/>
        <w:adjustRightInd w:val="0"/>
        <w:spacing w:before="200" w:after="200" w:line="240" w:lineRule="auto"/>
        <w:jc w:val="both"/>
        <w:rPr>
          <w:rFonts w:ascii="Times New Roman" w:hAnsi="Times New Roman" w:cs="Times New Roman"/>
          <w:b/>
          <w:bCs/>
          <w:color w:val="000000"/>
          <w:sz w:val="24"/>
          <w:szCs w:val="24"/>
        </w:rPr>
      </w:pPr>
      <w:r w:rsidRPr="00F934F9">
        <w:rPr>
          <w:rFonts w:ascii="Times New Roman" w:hAnsi="Times New Roman" w:cs="Times New Roman"/>
          <w:b/>
          <w:bCs/>
          <w:color w:val="000000"/>
          <w:sz w:val="24"/>
          <w:szCs w:val="24"/>
        </w:rPr>
        <w:t>Habitual residence</w:t>
      </w:r>
    </w:p>
    <w:p w14:paraId="3D11D790" w14:textId="77777777" w:rsidR="00544A2E" w:rsidRPr="00F934F9" w:rsidRDefault="00544A2E" w:rsidP="00F934F9">
      <w:pPr>
        <w:pStyle w:val="ListParagraph"/>
        <w:widowControl w:val="0"/>
        <w:numPr>
          <w:ilvl w:val="0"/>
          <w:numId w:val="19"/>
        </w:numPr>
        <w:autoSpaceDE w:val="0"/>
        <w:autoSpaceDN w:val="0"/>
        <w:adjustRightInd w:val="0"/>
        <w:spacing w:before="200" w:after="200" w:line="240" w:lineRule="auto"/>
        <w:jc w:val="both"/>
        <w:rPr>
          <w:rFonts w:ascii="Times New Roman" w:hAnsi="Times New Roman" w:cs="Times New Roman"/>
          <w:b/>
          <w:bCs/>
          <w:color w:val="000000"/>
          <w:sz w:val="24"/>
          <w:szCs w:val="24"/>
        </w:rPr>
      </w:pPr>
      <w:r w:rsidRPr="00F934F9">
        <w:rPr>
          <w:rFonts w:ascii="Times New Roman" w:hAnsi="Times New Roman" w:cs="Times New Roman"/>
          <w:b/>
          <w:bCs/>
          <w:color w:val="000000"/>
          <w:sz w:val="24"/>
          <w:szCs w:val="24"/>
        </w:rPr>
        <w:t>Wrongful removal of an incapacitated adult</w:t>
      </w:r>
    </w:p>
    <w:p w14:paraId="708795F6"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color w:val="000000"/>
          <w:sz w:val="24"/>
          <w:szCs w:val="24"/>
        </w:rPr>
        <w:t>Although this was an intra-UK case (</w:t>
      </w:r>
      <w:r w:rsidRPr="00F934F9">
        <w:rPr>
          <w:rFonts w:ascii="Times New Roman" w:hAnsi="Times New Roman" w:cs="Times New Roman"/>
          <w:sz w:val="24"/>
          <w:szCs w:val="24"/>
          <w:shd w:val="clear" w:color="auto" w:fill="FFFFFF"/>
        </w:rPr>
        <w:t>the applicant applied for the return of her mother from Scotland to England)</w:t>
      </w:r>
      <w:r w:rsidRPr="00F934F9">
        <w:rPr>
          <w:rFonts w:ascii="Times New Roman" w:hAnsi="Times New Roman" w:cs="Times New Roman"/>
          <w:color w:val="000000"/>
          <w:sz w:val="24"/>
          <w:szCs w:val="24"/>
        </w:rPr>
        <w:t>, the court noted that t</w:t>
      </w:r>
      <w:r w:rsidRPr="00F934F9">
        <w:rPr>
          <w:rFonts w:ascii="Times New Roman" w:hAnsi="Times New Roman" w:cs="Times New Roman"/>
          <w:sz w:val="24"/>
          <w:szCs w:val="24"/>
          <w:shd w:val="clear" w:color="auto" w:fill="FFFFFF"/>
        </w:rPr>
        <w:t>he 2000 Convention was within the applicable legal framework despite Scotland and England having ratified the Convention as the “UK.” The court acknowledged that the 2000 Convention had been ratified by the United Kingdom in relation only to Scotland. In England and Wales, the Convention had been given limited effect by the Mental Capacity Act 2005.</w:t>
      </w:r>
    </w:p>
    <w:p w14:paraId="1C90F8BA"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color w:val="000000"/>
          <w:sz w:val="24"/>
          <w:szCs w:val="24"/>
        </w:rPr>
        <w:t>The abovementioned parallels with the other Hague Conventions are obvious in this case as well.</w:t>
      </w:r>
    </w:p>
    <w:p w14:paraId="00A2C2E1"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color w:val="000000"/>
          <w:sz w:val="24"/>
          <w:szCs w:val="24"/>
        </w:rPr>
      </w:pPr>
      <w:r w:rsidRPr="00F934F9">
        <w:rPr>
          <w:rFonts w:ascii="Times New Roman" w:hAnsi="Times New Roman" w:cs="Times New Roman"/>
          <w:sz w:val="24"/>
          <w:szCs w:val="24"/>
          <w:u w:val="single"/>
          <w:shd w:val="clear" w:color="auto" w:fill="FFFFFF"/>
        </w:rPr>
        <w:t>Facts</w:t>
      </w:r>
      <w:r w:rsidRPr="00F934F9">
        <w:rPr>
          <w:rFonts w:ascii="Times New Roman" w:hAnsi="Times New Roman" w:cs="Times New Roman"/>
          <w:sz w:val="24"/>
          <w:szCs w:val="24"/>
          <w:shd w:val="clear" w:color="auto" w:fill="FFFFFF"/>
        </w:rPr>
        <w:t>:</w:t>
      </w:r>
    </w:p>
    <w:p w14:paraId="7F1AD3E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P was 88 years old and lacked the capacity to decide where to live. She had four children, J and the first three respondents (G, R and M). G and R were P's financial attorneys under an enduring power of attorney. Up until April 2012, P had been habitually resident in Worcester, where she owned a house and had been cared for by her family with the support of social services. In April 2012, G moved P to Scotland, initially to his house but then to a care home run by the local authority. The local authority applied to the Sheriff Court for a welfare guardianship order. The Sheriff Court exercised jurisdiction on the basis that P was not habitually resident in Scotland but was present there and the application had to be dealt with urgently. It made an interim welfare guardianship order, extending it to three years in December 2012. J applied to the instant court, seeking the return of P to Worcester. The local authority cross-applied, under the Court of Protection Rules 2007 r.87, for a declaration that the Court of Protection had no jurisdiction to hear J's application because P was no longer habitually resident in England and Wales. It was supported by G, R and M. The cross-application was granted.</w:t>
      </w:r>
    </w:p>
    <w:p w14:paraId="43403E8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b/>
          <w:bCs/>
          <w:color w:val="000000"/>
          <w:sz w:val="24"/>
          <w:szCs w:val="24"/>
        </w:rPr>
      </w:pPr>
      <w:r w:rsidRPr="00F934F9">
        <w:rPr>
          <w:rFonts w:ascii="Times New Roman" w:hAnsi="Times New Roman" w:cs="Times New Roman"/>
          <w:b/>
          <w:bCs/>
          <w:color w:val="000000"/>
          <w:sz w:val="24"/>
          <w:szCs w:val="24"/>
        </w:rPr>
        <w:t>Jurisdiction and habitual residence</w:t>
      </w:r>
    </w:p>
    <w:p w14:paraId="12AB9EEE"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 xml:space="preserve">The Hague Convention on the International Protection of Adults 2000 had been ratified by the United Kingdom in relation only to Scotland. In England and Wales, the Convention had been given limited effect by the Mental Capacity Act 2005. P owned property in England and, in relation to that, the Court of Protection had jurisdiction under para.7(1)(b) of the Convention. Any further jurisdiction could only be based on para.7(1)(a), which depended on P's habitual residence in England and Wales. If the Court determined that it had jurisdiction, it then had a discretion as to whether to exercise it. </w:t>
      </w:r>
    </w:p>
    <w:p w14:paraId="5CFCDACA"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lastRenderedPageBreak/>
        <w:t>The concept of habitual residence was not defined either in the Convention or in the 2005 Act. It was a question of fact to be determined on the facts as they stood at the date of the hearing, not the date of the application. It was well established that a parent's removal of a child from one jurisdiction to another without the consent of the other parent was wrongful and was not effective to change habitual residence. A similar removal of an incapacitated adult would have the same consequence, leaving the courts of the country from which she had been taken free to take protective measures. Habitual residence could be lost and another habitual residence acquired on the same day.</w:t>
      </w:r>
      <w:r w:rsidRPr="00F934F9">
        <w:rPr>
          <w:rStyle w:val="FootnoteReference"/>
          <w:rFonts w:ascii="Times New Roman" w:hAnsi="Times New Roman" w:cs="Times New Roman"/>
          <w:color w:val="000000"/>
          <w:sz w:val="24"/>
          <w:szCs w:val="24"/>
        </w:rPr>
        <w:footnoteReference w:id="175"/>
      </w:r>
      <w:r w:rsidRPr="00F934F9">
        <w:rPr>
          <w:rFonts w:ascii="Times New Roman" w:hAnsi="Times New Roman" w:cs="Times New Roman"/>
          <w:color w:val="000000"/>
          <w:sz w:val="24"/>
          <w:szCs w:val="24"/>
        </w:rPr>
        <w:t xml:space="preserve"> In the case of an adult who lacked the capacity to decide where to live, habitual residence could, in principle, be lost and another habitual residence acquired without the need for any court order or other formal process such as the appointment of an attorney or deputy. Authority to remove was the key consideration. The doctrine of necessity</w:t>
      </w:r>
      <w:r w:rsidRPr="00F934F9">
        <w:rPr>
          <w:rStyle w:val="FootnoteReference"/>
          <w:rFonts w:ascii="Times New Roman" w:hAnsi="Times New Roman" w:cs="Times New Roman"/>
          <w:color w:val="000000"/>
          <w:sz w:val="24"/>
          <w:szCs w:val="24"/>
        </w:rPr>
        <w:footnoteReference w:id="176"/>
      </w:r>
      <w:r w:rsidRPr="00F934F9">
        <w:rPr>
          <w:rFonts w:ascii="Times New Roman" w:hAnsi="Times New Roman" w:cs="Times New Roman"/>
          <w:color w:val="000000"/>
          <w:sz w:val="24"/>
          <w:szCs w:val="24"/>
        </w:rPr>
        <w:t xml:space="preserve"> could confer such authority, the key questions being whether the decision to remove was reasonable and had been taken in good faith and in the best interests of the assisted person. There was nothing in the 2005 Act to displace that approach. Clearly, though, the doctrine was not a licence to be irresponsible, and there would be no change in habitual residence if the removal was wrongful, for example, if it was in breach of a court order or the circumstances were like those in </w:t>
      </w:r>
      <w:r w:rsidRPr="00F934F9">
        <w:rPr>
          <w:rFonts w:ascii="Times New Roman" w:hAnsi="Times New Roman" w:cs="Times New Roman"/>
          <w:i/>
          <w:iCs/>
          <w:sz w:val="24"/>
          <w:szCs w:val="24"/>
        </w:rPr>
        <w:t>Re MN (Recognition and Enforcement of Foreign Protective Measures)</w:t>
      </w:r>
      <w:r w:rsidRPr="00F934F9">
        <w:rPr>
          <w:rFonts w:ascii="Times New Roman" w:hAnsi="Times New Roman" w:cs="Times New Roman"/>
          <w:sz w:val="24"/>
          <w:szCs w:val="24"/>
        </w:rPr>
        <w:t xml:space="preserve"> [2010] EWHC1926 (Fam).</w:t>
      </w:r>
      <w:r w:rsidRPr="00F934F9">
        <w:rPr>
          <w:rStyle w:val="FootnoteReference"/>
          <w:rFonts w:ascii="Times New Roman" w:hAnsi="Times New Roman" w:cs="Times New Roman"/>
          <w:sz w:val="24"/>
          <w:szCs w:val="24"/>
        </w:rPr>
        <w:footnoteReference w:id="177"/>
      </w:r>
      <w:r w:rsidRPr="00F934F9">
        <w:rPr>
          <w:rFonts w:ascii="Times New Roman" w:hAnsi="Times New Roman" w:cs="Times New Roman"/>
          <w:color w:val="000000"/>
          <w:sz w:val="24"/>
          <w:szCs w:val="24"/>
        </w:rPr>
        <w:t xml:space="preserve"> P's removal to Scotland was not a kidnap or a wrongful removal. It had been reasonably and sensibly done by three of P's four children in what they saw as her best interests. The doctrine of necessity conferred on them the authority to act as they did, and the fact that J was of a different opinion did not rob them of that authority. Nor did they need the agreement of the local authority, either in Scotland or in Worcester. P had been in Scotland for some time and was settled in her care home. She was not habitually resident in England and Wales, and the Sheriff's view did not compel a contrary conclusion. Accordingly, the court had no jurisdiction under para.7(1)(a), though it undoubtedly had jurisdiction under para.7(1)(b).</w:t>
      </w:r>
      <w:r w:rsidRPr="00F934F9">
        <w:rPr>
          <w:rStyle w:val="FootnoteReference"/>
          <w:rFonts w:ascii="Times New Roman" w:hAnsi="Times New Roman" w:cs="Times New Roman"/>
          <w:color w:val="000000"/>
          <w:sz w:val="24"/>
          <w:szCs w:val="24"/>
        </w:rPr>
        <w:footnoteReference w:id="178"/>
      </w:r>
      <w:r w:rsidRPr="00F934F9">
        <w:rPr>
          <w:rFonts w:ascii="Times New Roman" w:hAnsi="Times New Roman" w:cs="Times New Roman"/>
          <w:color w:val="000000"/>
          <w:sz w:val="24"/>
          <w:szCs w:val="24"/>
        </w:rPr>
        <w:t xml:space="preserve"> </w:t>
      </w:r>
    </w:p>
    <w:p w14:paraId="6B62586A"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rPr>
        <w:t xml:space="preserve">The jurisdiction under para.7(1)(b) would not, however, be exercised. The court was free to apply the doctrine of </w:t>
      </w:r>
      <w:r w:rsidRPr="00F934F9">
        <w:rPr>
          <w:rFonts w:ascii="Times New Roman" w:hAnsi="Times New Roman" w:cs="Times New Roman"/>
          <w:i/>
          <w:iCs/>
          <w:color w:val="000000"/>
          <w:sz w:val="24"/>
          <w:szCs w:val="24"/>
        </w:rPr>
        <w:t>forum non conveniens</w:t>
      </w:r>
      <w:r w:rsidRPr="00F934F9">
        <w:rPr>
          <w:rFonts w:ascii="Times New Roman" w:hAnsi="Times New Roman" w:cs="Times New Roman"/>
          <w:color w:val="000000"/>
          <w:sz w:val="24"/>
          <w:szCs w:val="24"/>
        </w:rPr>
        <w:t xml:space="preserve">, and the principles in </w:t>
      </w:r>
      <w:r w:rsidRPr="00F934F9">
        <w:rPr>
          <w:rFonts w:ascii="Times New Roman" w:hAnsi="Times New Roman" w:cs="Times New Roman"/>
          <w:i/>
          <w:iCs/>
          <w:color w:val="000000"/>
          <w:sz w:val="24"/>
          <w:szCs w:val="24"/>
        </w:rPr>
        <w:t>Spiliada Maritime Corp v Cansulex Ltd</w:t>
      </w:r>
      <w:r w:rsidRPr="00F934F9">
        <w:rPr>
          <w:rFonts w:ascii="Times New Roman" w:hAnsi="Times New Roman" w:cs="Times New Roman"/>
          <w:color w:val="000000"/>
          <w:sz w:val="24"/>
          <w:szCs w:val="24"/>
        </w:rPr>
        <w:t xml:space="preserve"> [1987] A.C. 460. P's best interests were not determinative; in deciding an issue of </w:t>
      </w:r>
      <w:r w:rsidRPr="00F934F9">
        <w:rPr>
          <w:rFonts w:ascii="Times New Roman" w:hAnsi="Times New Roman" w:cs="Times New Roman"/>
          <w:i/>
          <w:iCs/>
          <w:color w:val="000000"/>
          <w:sz w:val="24"/>
          <w:szCs w:val="24"/>
        </w:rPr>
        <w:t>forum non conveniens</w:t>
      </w:r>
      <w:r w:rsidRPr="00F934F9">
        <w:rPr>
          <w:rFonts w:ascii="Times New Roman" w:hAnsi="Times New Roman" w:cs="Times New Roman"/>
          <w:color w:val="000000"/>
          <w:sz w:val="24"/>
          <w:szCs w:val="24"/>
        </w:rPr>
        <w:t>, the court was not deciding what should be done "for and on behalf of" P within the meaning of s.1(5) of the 2005 Act. The Sheriff Court was clearly the more appropriate forum; P was living in Scotland and that was where most of the relevant witnesses were. If the Sheriff Court decided that P should return to England, appropriate steps, including the involvement of the Court of Protection, could be taken at that stage.</w:t>
      </w:r>
      <w:r w:rsidRPr="00F934F9">
        <w:rPr>
          <w:rStyle w:val="FootnoteReference"/>
          <w:rFonts w:ascii="Times New Roman" w:hAnsi="Times New Roman" w:cs="Times New Roman"/>
          <w:color w:val="000000"/>
          <w:sz w:val="24"/>
          <w:szCs w:val="24"/>
        </w:rPr>
        <w:footnoteReference w:id="179"/>
      </w:r>
    </w:p>
    <w:p w14:paraId="36E6BCF7"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color w:val="000000"/>
          <w:sz w:val="24"/>
          <w:szCs w:val="24"/>
        </w:rPr>
      </w:pPr>
      <w:r w:rsidRPr="00F934F9">
        <w:rPr>
          <w:rFonts w:ascii="Times New Roman" w:hAnsi="Times New Roman" w:cs="Times New Roman"/>
          <w:color w:val="000000"/>
          <w:sz w:val="24"/>
          <w:szCs w:val="24"/>
          <w:u w:val="single"/>
        </w:rPr>
        <w:t>Outcome</w:t>
      </w:r>
      <w:r w:rsidRPr="00F934F9">
        <w:rPr>
          <w:rFonts w:ascii="Times New Roman" w:hAnsi="Times New Roman" w:cs="Times New Roman"/>
          <w:color w:val="000000"/>
          <w:sz w:val="24"/>
          <w:szCs w:val="24"/>
        </w:rPr>
        <w:t>:</w:t>
      </w:r>
    </w:p>
    <w:p w14:paraId="4CEC1D48"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court determined a number of issues concerning the concept of habitual residence in relation to persons who lacked the capacity to decide where they lived. It held, in particular, that habitual residence was a question of fact to be determined on the basis of the situation as at the date of the hearing, and the wrongful removal of an incapacitated person would not be effective to change her habitual residence.</w:t>
      </w:r>
    </w:p>
    <w:p w14:paraId="192C2CEC"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To determine HR, the court followed the established analogy to a child’s HR.</w:t>
      </w:r>
    </w:p>
    <w:p w14:paraId="4EC42470" w14:textId="77777777" w:rsidR="00544A2E" w:rsidRPr="00F934F9"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lastRenderedPageBreak/>
        <w:t xml:space="preserve">Regarding “wrongful” removal of the incapacitated adult, the doctrine founded in </w:t>
      </w:r>
      <w:r w:rsidRPr="00F934F9">
        <w:rPr>
          <w:rFonts w:ascii="Times New Roman" w:hAnsi="Times New Roman" w:cs="Times New Roman"/>
          <w:i/>
          <w:iCs/>
          <w:sz w:val="24"/>
          <w:szCs w:val="24"/>
          <w:shd w:val="clear" w:color="auto" w:fill="FFFFFF"/>
        </w:rPr>
        <w:t>Re MN</w:t>
      </w:r>
      <w:r w:rsidRPr="00F934F9">
        <w:rPr>
          <w:rFonts w:ascii="Times New Roman" w:hAnsi="Times New Roman" w:cs="Times New Roman"/>
          <w:sz w:val="24"/>
          <w:szCs w:val="24"/>
          <w:shd w:val="clear" w:color="auto" w:fill="FFFFFF"/>
        </w:rPr>
        <w:t xml:space="preserve"> [2010] EWHC 1926 (Fam) was restated. The carer’s authority to remove was a key consideration. Necessity to remove inevitably created authority. Necessity is the only exception under which “wrongful” removal is justified. If an incapacitated person is removed without authority or necessity, then their previous habitual residence remains.</w:t>
      </w:r>
      <w:r w:rsidRPr="00F934F9">
        <w:rPr>
          <w:rStyle w:val="FootnoteReference"/>
          <w:rFonts w:ascii="Times New Roman" w:hAnsi="Times New Roman" w:cs="Times New Roman"/>
          <w:sz w:val="24"/>
          <w:szCs w:val="24"/>
          <w:shd w:val="clear" w:color="auto" w:fill="FFFFFF"/>
        </w:rPr>
        <w:footnoteReference w:id="180"/>
      </w:r>
      <w:r w:rsidRPr="00F934F9">
        <w:rPr>
          <w:rFonts w:ascii="Times New Roman" w:hAnsi="Times New Roman" w:cs="Times New Roman"/>
          <w:sz w:val="24"/>
          <w:szCs w:val="24"/>
          <w:shd w:val="clear" w:color="auto" w:fill="FFFFFF"/>
        </w:rPr>
        <w:t xml:space="preserve"> </w:t>
      </w:r>
    </w:p>
    <w:p w14:paraId="55B6BA32" w14:textId="77777777" w:rsidR="00544A2E" w:rsidRDefault="00544A2E"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r w:rsidRPr="00F934F9">
        <w:rPr>
          <w:rFonts w:ascii="Times New Roman" w:hAnsi="Times New Roman" w:cs="Times New Roman"/>
          <w:sz w:val="24"/>
          <w:szCs w:val="24"/>
          <w:shd w:val="clear" w:color="auto" w:fill="FFFFFF"/>
        </w:rPr>
        <w:t>The application was granted, and the court ordered the mother’s return.</w:t>
      </w:r>
      <w:r w:rsidRPr="00F934F9">
        <w:rPr>
          <w:rStyle w:val="FootnoteReference"/>
          <w:rFonts w:ascii="Times New Roman" w:hAnsi="Times New Roman" w:cs="Times New Roman"/>
          <w:sz w:val="24"/>
          <w:szCs w:val="24"/>
          <w:shd w:val="clear" w:color="auto" w:fill="FFFFFF"/>
        </w:rPr>
        <w:footnoteReference w:id="181"/>
      </w:r>
      <w:r w:rsidRPr="00F934F9">
        <w:rPr>
          <w:rFonts w:ascii="Times New Roman" w:hAnsi="Times New Roman" w:cs="Times New Roman"/>
          <w:sz w:val="24"/>
          <w:szCs w:val="24"/>
          <w:shd w:val="clear" w:color="auto" w:fill="FFFFFF"/>
        </w:rPr>
        <w:t xml:space="preserve"> </w:t>
      </w:r>
    </w:p>
    <w:p w14:paraId="4F06CEB1" w14:textId="77777777" w:rsidR="002D728B" w:rsidRPr="00F934F9" w:rsidRDefault="002D728B" w:rsidP="00F934F9">
      <w:pPr>
        <w:widowControl w:val="0"/>
        <w:autoSpaceDE w:val="0"/>
        <w:autoSpaceDN w:val="0"/>
        <w:adjustRightInd w:val="0"/>
        <w:spacing w:before="200" w:after="200" w:line="240" w:lineRule="auto"/>
        <w:jc w:val="both"/>
        <w:rPr>
          <w:rFonts w:ascii="Times New Roman" w:hAnsi="Times New Roman" w:cs="Times New Roman"/>
          <w:sz w:val="24"/>
          <w:szCs w:val="24"/>
          <w:shd w:val="clear" w:color="auto" w:fill="FFFFFF"/>
        </w:rPr>
      </w:pPr>
    </w:p>
    <w:p w14:paraId="17E633C9" w14:textId="01CA22D3" w:rsidR="00B30743" w:rsidRPr="00AB7023" w:rsidRDefault="00B30743" w:rsidP="00AB7023">
      <w:pPr>
        <w:pStyle w:val="ListParagraph"/>
        <w:numPr>
          <w:ilvl w:val="0"/>
          <w:numId w:val="1"/>
        </w:numPr>
        <w:spacing w:line="276" w:lineRule="auto"/>
        <w:jc w:val="both"/>
        <w:rPr>
          <w:rStyle w:val="IntenseReference"/>
          <w:rFonts w:ascii="Times New Roman" w:hAnsi="Times New Roman" w:cs="Times New Roman"/>
          <w:sz w:val="24"/>
          <w:szCs w:val="24"/>
        </w:rPr>
      </w:pPr>
      <w:r w:rsidRPr="00AB7023">
        <w:rPr>
          <w:rStyle w:val="IntenseReference"/>
          <w:rFonts w:ascii="Times New Roman" w:hAnsi="Times New Roman" w:cs="Times New Roman"/>
          <w:sz w:val="24"/>
          <w:szCs w:val="24"/>
        </w:rPr>
        <w:t>The 1996 Hague Convention on Jurisdiction, Applicable Law, Recognition, Enforcement and Co-operation in respect of Parental Responsibility and Measures for the Protection of Children</w:t>
      </w:r>
    </w:p>
    <w:p w14:paraId="430BF6C8" w14:textId="77777777" w:rsidR="00FA76A2" w:rsidRDefault="00FA76A2" w:rsidP="00FA76A2">
      <w:pPr>
        <w:spacing w:line="276" w:lineRule="auto"/>
        <w:rPr>
          <w:rStyle w:val="IntenseEmphasis"/>
          <w:rFonts w:ascii="Times New Roman" w:hAnsi="Times New Roman" w:cs="Times New Roman"/>
          <w:b/>
          <w:bCs/>
          <w:sz w:val="24"/>
          <w:szCs w:val="24"/>
          <w:lang w:val="en-US"/>
        </w:rPr>
      </w:pPr>
    </w:p>
    <w:p w14:paraId="1B28DC9A" w14:textId="1E447367" w:rsidR="00FA76A2" w:rsidRPr="00FA76A2" w:rsidRDefault="00FA76A2" w:rsidP="00FA76A2">
      <w:pPr>
        <w:spacing w:line="276" w:lineRule="auto"/>
        <w:rPr>
          <w:rStyle w:val="IntenseEmphasis"/>
          <w:rFonts w:ascii="Times New Roman" w:hAnsi="Times New Roman" w:cs="Times New Roman"/>
          <w:b/>
          <w:bCs/>
          <w:sz w:val="24"/>
          <w:szCs w:val="24"/>
          <w:lang w:val="en-US"/>
        </w:rPr>
      </w:pPr>
      <w:r w:rsidRPr="00FA76A2">
        <w:rPr>
          <w:rStyle w:val="IntenseEmphasis"/>
          <w:rFonts w:ascii="Times New Roman" w:hAnsi="Times New Roman" w:cs="Times New Roman"/>
          <w:b/>
          <w:bCs/>
          <w:sz w:val="24"/>
          <w:szCs w:val="24"/>
          <w:lang w:val="en-US"/>
        </w:rPr>
        <w:t>Introduction</w:t>
      </w:r>
    </w:p>
    <w:p w14:paraId="20AEA9D1" w14:textId="77777777" w:rsidR="00FA76A2" w:rsidRPr="001F10D7" w:rsidRDefault="00FA76A2" w:rsidP="00FA76A2">
      <w:pPr>
        <w:pStyle w:val="ListParagraph"/>
        <w:numPr>
          <w:ilvl w:val="0"/>
          <w:numId w:val="24"/>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1996 Hague Convention was entered into force in the United Kingdom on the 1</w:t>
      </w:r>
      <w:r w:rsidRPr="001F10D7">
        <w:rPr>
          <w:rFonts w:ascii="Times New Roman" w:hAnsi="Times New Roman" w:cs="Times New Roman"/>
          <w:sz w:val="24"/>
          <w:szCs w:val="24"/>
          <w:vertAlign w:val="superscript"/>
          <w:lang w:val="en-US"/>
        </w:rPr>
        <w:t>st</w:t>
      </w:r>
      <w:r w:rsidRPr="001F10D7">
        <w:rPr>
          <w:rFonts w:ascii="Times New Roman" w:hAnsi="Times New Roman" w:cs="Times New Roman"/>
          <w:sz w:val="24"/>
          <w:szCs w:val="24"/>
          <w:lang w:val="en-US"/>
        </w:rPr>
        <w:t xml:space="preserve"> November 2012. </w:t>
      </w:r>
    </w:p>
    <w:p w14:paraId="67B57D22" w14:textId="77777777" w:rsidR="00FA76A2" w:rsidRPr="001F10D7" w:rsidRDefault="00FA76A2" w:rsidP="00FA76A2">
      <w:pPr>
        <w:pStyle w:val="ListParagraph"/>
        <w:numPr>
          <w:ilvl w:val="0"/>
          <w:numId w:val="24"/>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With effect from 1 January 2021, the Private International Law (Implementation of Agreements) Act 2020 inserted section 3C into the Civil Jurisdiction and Judgments Act 1982, granting the 1996 Hague Convention ‘the force of law in the United Kingdom.’</w:t>
      </w:r>
    </w:p>
    <w:p w14:paraId="388E62C2" w14:textId="77777777" w:rsidR="00FA76A2" w:rsidRPr="001F10D7" w:rsidRDefault="00FA76A2" w:rsidP="00FA76A2">
      <w:pPr>
        <w:pStyle w:val="ListParagraph"/>
        <w:numPr>
          <w:ilvl w:val="0"/>
          <w:numId w:val="24"/>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It must be noted that the phased approach of discontinuing the application of the Brussels II</w:t>
      </w:r>
      <w:r w:rsidRPr="001F10D7">
        <w:rPr>
          <w:rFonts w:ascii="Times New Roman" w:hAnsi="Times New Roman" w:cs="Times New Roman"/>
          <w:i/>
          <w:iCs/>
          <w:sz w:val="24"/>
          <w:szCs w:val="24"/>
          <w:lang w:val="en-US"/>
        </w:rPr>
        <w:t xml:space="preserve">bis </w:t>
      </w:r>
      <w:r w:rsidRPr="001F10D7">
        <w:rPr>
          <w:rFonts w:ascii="Times New Roman" w:hAnsi="Times New Roman" w:cs="Times New Roman"/>
          <w:sz w:val="24"/>
          <w:szCs w:val="24"/>
          <w:lang w:val="en-US"/>
        </w:rPr>
        <w:t xml:space="preserve">was helpful and it allowed time to courts (and people) to switch to the Hague Conventions in a controlled manner. </w:t>
      </w:r>
    </w:p>
    <w:p w14:paraId="496F8B69" w14:textId="77777777" w:rsidR="00FA76A2" w:rsidRPr="001F10D7" w:rsidRDefault="00FA76A2" w:rsidP="00FA76A2">
      <w:pPr>
        <w:spacing w:line="276" w:lineRule="auto"/>
        <w:rPr>
          <w:rFonts w:ascii="Times New Roman" w:hAnsi="Times New Roman" w:cs="Times New Roman"/>
          <w:sz w:val="24"/>
          <w:szCs w:val="24"/>
          <w:lang w:val="en-US"/>
        </w:rPr>
      </w:pPr>
    </w:p>
    <w:p w14:paraId="6AB1F009" w14:textId="77777777" w:rsidR="00FA76A2" w:rsidRPr="001F10D7" w:rsidRDefault="00FA76A2" w:rsidP="00FA76A2">
      <w:pPr>
        <w:spacing w:line="276" w:lineRule="auto"/>
        <w:rPr>
          <w:rStyle w:val="IntenseEmphasis"/>
          <w:rFonts w:ascii="Times New Roman" w:hAnsi="Times New Roman" w:cs="Times New Roman"/>
          <w:b/>
          <w:bCs/>
          <w:sz w:val="24"/>
          <w:szCs w:val="24"/>
          <w:lang w:val="en-US"/>
        </w:rPr>
      </w:pPr>
      <w:r w:rsidRPr="001F10D7">
        <w:rPr>
          <w:rStyle w:val="IntenseEmphasis"/>
          <w:rFonts w:ascii="Times New Roman" w:hAnsi="Times New Roman" w:cs="Times New Roman"/>
          <w:b/>
          <w:bCs/>
          <w:sz w:val="24"/>
          <w:szCs w:val="24"/>
          <w:lang w:val="en-US"/>
        </w:rPr>
        <w:t>Jurisdiction</w:t>
      </w:r>
    </w:p>
    <w:p w14:paraId="40C4C2EB"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As with the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Regulation, under the 1996 Convention the primary ground to find jurisdiction is habitual residence.</w:t>
      </w:r>
      <w:r w:rsidRPr="001F10D7">
        <w:rPr>
          <w:rStyle w:val="FootnoteReference"/>
          <w:rFonts w:ascii="Times New Roman" w:hAnsi="Times New Roman" w:cs="Times New Roman"/>
          <w:sz w:val="24"/>
          <w:szCs w:val="24"/>
          <w:lang w:val="en-US"/>
        </w:rPr>
        <w:footnoteReference w:id="182"/>
      </w:r>
      <w:r w:rsidRPr="001F10D7">
        <w:rPr>
          <w:rFonts w:ascii="Times New Roman" w:hAnsi="Times New Roman" w:cs="Times New Roman"/>
          <w:sz w:val="24"/>
          <w:szCs w:val="24"/>
          <w:lang w:val="en-US"/>
        </w:rPr>
        <w:t xml:space="preserve"> There is a large and established body of UK case law interpreting the concept of habitual residence under the 1996 Convention, 1980 Convention and Brussels IIa.</w:t>
      </w:r>
      <w:r w:rsidRPr="001F10D7">
        <w:rPr>
          <w:rStyle w:val="FootnoteReference"/>
          <w:rFonts w:ascii="Times New Roman" w:hAnsi="Times New Roman" w:cs="Times New Roman"/>
          <w:sz w:val="24"/>
          <w:szCs w:val="24"/>
          <w:lang w:val="en-US"/>
        </w:rPr>
        <w:footnoteReference w:id="183"/>
      </w:r>
      <w:r w:rsidRPr="001F10D7">
        <w:rPr>
          <w:rFonts w:ascii="Times New Roman" w:hAnsi="Times New Roman" w:cs="Times New Roman"/>
          <w:sz w:val="24"/>
          <w:szCs w:val="24"/>
          <w:lang w:val="en-US"/>
        </w:rPr>
        <w:t xml:space="preserve"> The UK Supreme Court, in the case </w:t>
      </w:r>
      <w:r w:rsidRPr="001F10D7">
        <w:rPr>
          <w:rFonts w:ascii="Times New Roman" w:hAnsi="Times New Roman" w:cs="Times New Roman"/>
          <w:i/>
          <w:iCs/>
          <w:sz w:val="24"/>
          <w:szCs w:val="24"/>
          <w:lang w:val="en-US"/>
        </w:rPr>
        <w:t>In the matter of A (Children)</w:t>
      </w:r>
      <w:r w:rsidRPr="001F10D7">
        <w:rPr>
          <w:rStyle w:val="FootnoteReference"/>
          <w:rFonts w:ascii="Times New Roman" w:hAnsi="Times New Roman" w:cs="Times New Roman"/>
          <w:sz w:val="24"/>
          <w:szCs w:val="24"/>
          <w:lang w:val="en-US"/>
        </w:rPr>
        <w:footnoteReference w:id="184"/>
      </w:r>
      <w:r w:rsidRPr="001F10D7">
        <w:rPr>
          <w:rFonts w:ascii="Times New Roman" w:hAnsi="Times New Roman" w:cs="Times New Roman"/>
          <w:sz w:val="24"/>
          <w:szCs w:val="24"/>
          <w:lang w:val="en-US"/>
        </w:rPr>
        <w:t xml:space="preserve"> held that for the purposes of the 1996 Convention the concept of habitual residence is to be interpreted in the same way as construed by the CJEU for the purposes of the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Regulation so as to achieve </w:t>
      </w:r>
      <w:r w:rsidRPr="001F10D7">
        <w:rPr>
          <w:rFonts w:ascii="Times New Roman" w:hAnsi="Times New Roman" w:cs="Times New Roman"/>
          <w:sz w:val="24"/>
          <w:szCs w:val="24"/>
          <w:u w:val="single"/>
          <w:lang w:val="en-US"/>
        </w:rPr>
        <w:t>a uniform understanding</w:t>
      </w:r>
      <w:r w:rsidRPr="001F10D7">
        <w:rPr>
          <w:rFonts w:ascii="Times New Roman" w:hAnsi="Times New Roman" w:cs="Times New Roman"/>
          <w:sz w:val="24"/>
          <w:szCs w:val="24"/>
          <w:lang w:val="en-US"/>
        </w:rPr>
        <w:t xml:space="preserve"> of this connecting factor.</w:t>
      </w:r>
    </w:p>
    <w:p w14:paraId="57768FA1" w14:textId="77777777" w:rsidR="00FA76A2" w:rsidRPr="001F10D7" w:rsidRDefault="00FA76A2" w:rsidP="00FA76A2">
      <w:pPr>
        <w:spacing w:line="276" w:lineRule="auto"/>
        <w:jc w:val="both"/>
        <w:rPr>
          <w:rFonts w:ascii="Times New Roman" w:hAnsi="Times New Roman" w:cs="Times New Roman"/>
          <w:sz w:val="24"/>
          <w:szCs w:val="24"/>
          <w:lang w:val="en-US"/>
        </w:rPr>
      </w:pPr>
    </w:p>
    <w:p w14:paraId="7A7100A8" w14:textId="77777777" w:rsidR="00FA76A2" w:rsidRPr="001F10D7" w:rsidRDefault="00FA76A2" w:rsidP="00FA76A2">
      <w:pPr>
        <w:spacing w:line="276" w:lineRule="auto"/>
        <w:jc w:val="both"/>
        <w:rPr>
          <w:rFonts w:ascii="Times New Roman" w:hAnsi="Times New Roman" w:cs="Times New Roman"/>
          <w:i/>
          <w:iCs/>
          <w:sz w:val="24"/>
          <w:szCs w:val="24"/>
          <w:u w:val="single"/>
          <w:lang w:val="en-US"/>
        </w:rPr>
      </w:pPr>
      <w:r w:rsidRPr="001F10D7">
        <w:rPr>
          <w:rFonts w:ascii="Times New Roman" w:hAnsi="Times New Roman" w:cs="Times New Roman"/>
          <w:i/>
          <w:iCs/>
          <w:sz w:val="24"/>
          <w:szCs w:val="24"/>
          <w:u w:val="single"/>
          <w:lang w:val="en-US"/>
        </w:rPr>
        <w:t>Jurisdiction based on habitual residence under Art 5</w:t>
      </w:r>
    </w:p>
    <w:p w14:paraId="30589F9F"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lastRenderedPageBreak/>
        <w:t xml:space="preserve">The case of </w:t>
      </w:r>
      <w:r w:rsidRPr="001F10D7">
        <w:rPr>
          <w:rFonts w:ascii="Times New Roman" w:hAnsi="Times New Roman" w:cs="Times New Roman"/>
          <w:b/>
          <w:bCs/>
          <w:i/>
          <w:iCs/>
          <w:sz w:val="24"/>
          <w:szCs w:val="24"/>
          <w:lang w:val="en-US"/>
        </w:rPr>
        <w:t>Warrington BC v T</w:t>
      </w:r>
      <w:r w:rsidRPr="001F10D7">
        <w:rPr>
          <w:rStyle w:val="FootnoteReference"/>
          <w:rFonts w:ascii="Times New Roman" w:hAnsi="Times New Roman" w:cs="Times New Roman"/>
          <w:b/>
          <w:bCs/>
          <w:sz w:val="24"/>
          <w:szCs w:val="24"/>
          <w:lang w:val="en-US"/>
        </w:rPr>
        <w:footnoteReference w:id="185"/>
      </w:r>
      <w:r w:rsidRPr="001F10D7">
        <w:rPr>
          <w:rFonts w:ascii="Times New Roman" w:hAnsi="Times New Roman" w:cs="Times New Roman"/>
          <w:b/>
          <w:bCs/>
          <w:sz w:val="24"/>
          <w:szCs w:val="24"/>
          <w:lang w:val="en-US"/>
        </w:rPr>
        <w:t>,</w:t>
      </w:r>
      <w:r w:rsidRPr="001F10D7">
        <w:rPr>
          <w:rFonts w:ascii="Times New Roman" w:hAnsi="Times New Roman" w:cs="Times New Roman"/>
          <w:sz w:val="24"/>
          <w:szCs w:val="24"/>
          <w:lang w:val="en-US"/>
        </w:rPr>
        <w:t xml:space="preserve"> a seven-year-old Gabonese national was habitually resident in England at the time the High Court was determining the local authority's application for care or supervision orders under the Children Act 1989 Pt IV after he was taken into foster care in light of allegations that he had been sexually abused by his stepfather. The child had integrated into the foster carer's family, assisted by the fact that he had prior knowledge of the country gained from his annual trips since 2016 and had lived here for eight months.</w:t>
      </w:r>
    </w:p>
    <w:p w14:paraId="689BE97A"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court considered Arts 5 and 6 of the 1996 Convention to determine jurisdiction. The court concluded that since it was the English court seised with the jurisdictional question, and the child was found to be habitually resident in England, it was free to apply the 1996 Convention in determining jurisdiction even though Gabon is not a signatory.</w:t>
      </w:r>
      <w:r w:rsidRPr="001F10D7">
        <w:rPr>
          <w:rStyle w:val="FootnoteReference"/>
          <w:rFonts w:ascii="Times New Roman" w:hAnsi="Times New Roman" w:cs="Times New Roman"/>
          <w:sz w:val="24"/>
          <w:szCs w:val="24"/>
          <w:lang w:val="en-US"/>
        </w:rPr>
        <w:footnoteReference w:id="186"/>
      </w:r>
      <w:r w:rsidRPr="001F10D7">
        <w:rPr>
          <w:rFonts w:ascii="Times New Roman" w:hAnsi="Times New Roman" w:cs="Times New Roman"/>
          <w:sz w:val="24"/>
          <w:szCs w:val="24"/>
          <w:lang w:val="en-US"/>
        </w:rPr>
        <w:t xml:space="preserve"> </w:t>
      </w:r>
    </w:p>
    <w:p w14:paraId="293C1D4D"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court also discussed the point at which habitual residence falls to be determined under Art 5, finding that point is “as at the date on which that question comes before the court for determination, in this case at this hearing.”</w:t>
      </w:r>
      <w:r w:rsidRPr="001F10D7">
        <w:rPr>
          <w:rStyle w:val="FootnoteReference"/>
          <w:rFonts w:ascii="Times New Roman" w:hAnsi="Times New Roman" w:cs="Times New Roman"/>
          <w:sz w:val="24"/>
          <w:szCs w:val="24"/>
          <w:lang w:val="en-US"/>
        </w:rPr>
        <w:footnoteReference w:id="187"/>
      </w:r>
      <w:r w:rsidRPr="001F10D7">
        <w:rPr>
          <w:rFonts w:ascii="Times New Roman" w:hAnsi="Times New Roman" w:cs="Times New Roman"/>
          <w:sz w:val="24"/>
          <w:szCs w:val="24"/>
          <w:lang w:val="en-US"/>
        </w:rPr>
        <w:t xml:space="preserve"> </w:t>
      </w:r>
    </w:p>
    <w:p w14:paraId="73227E17"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Despite drawing from the 1996 Convention to discuss jurisdiction, the court also considered the common law doctrine of </w:t>
      </w:r>
      <w:r w:rsidRPr="001F10D7">
        <w:rPr>
          <w:rFonts w:ascii="Times New Roman" w:hAnsi="Times New Roman" w:cs="Times New Roman"/>
          <w:i/>
          <w:iCs/>
          <w:sz w:val="24"/>
          <w:szCs w:val="24"/>
          <w:lang w:val="en-US"/>
        </w:rPr>
        <w:t>forum non conveniens</w:t>
      </w:r>
      <w:r w:rsidRPr="001F10D7">
        <w:rPr>
          <w:rFonts w:ascii="Times New Roman" w:hAnsi="Times New Roman" w:cs="Times New Roman"/>
          <w:sz w:val="24"/>
          <w:szCs w:val="24"/>
          <w:lang w:val="en-US"/>
        </w:rPr>
        <w:t>.</w:t>
      </w:r>
      <w:r w:rsidRPr="001F10D7">
        <w:rPr>
          <w:rStyle w:val="FootnoteReference"/>
          <w:rFonts w:ascii="Times New Roman" w:hAnsi="Times New Roman" w:cs="Times New Roman"/>
          <w:sz w:val="24"/>
          <w:szCs w:val="24"/>
          <w:lang w:val="en-US"/>
        </w:rPr>
        <w:footnoteReference w:id="188"/>
      </w:r>
      <w:r w:rsidRPr="001F10D7">
        <w:rPr>
          <w:rFonts w:ascii="Times New Roman" w:hAnsi="Times New Roman" w:cs="Times New Roman"/>
          <w:sz w:val="24"/>
          <w:szCs w:val="24"/>
          <w:lang w:val="en-US"/>
        </w:rPr>
        <w:t xml:space="preserve"> </w:t>
      </w:r>
    </w:p>
    <w:p w14:paraId="0D4C295A" w14:textId="77777777" w:rsidR="00FA76A2" w:rsidRPr="001F10D7" w:rsidRDefault="00FA76A2" w:rsidP="00FA76A2">
      <w:pPr>
        <w:spacing w:line="276" w:lineRule="auto"/>
        <w:jc w:val="both"/>
        <w:rPr>
          <w:rFonts w:ascii="Times New Roman" w:hAnsi="Times New Roman" w:cs="Times New Roman"/>
          <w:sz w:val="24"/>
          <w:szCs w:val="24"/>
          <w:lang w:val="en-US"/>
        </w:rPr>
      </w:pPr>
    </w:p>
    <w:p w14:paraId="3DDB28F4"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question of at which point habitual residence should be determined was at addressed also in the case of </w:t>
      </w:r>
      <w:bookmarkStart w:id="8" w:name="_Hlk147135441"/>
      <w:r w:rsidRPr="001F10D7">
        <w:rPr>
          <w:rFonts w:ascii="Times New Roman" w:hAnsi="Times New Roman" w:cs="Times New Roman"/>
          <w:b/>
          <w:bCs/>
          <w:i/>
          <w:iCs/>
          <w:sz w:val="24"/>
          <w:szCs w:val="24"/>
          <w:lang w:val="en-US"/>
        </w:rPr>
        <w:t>Derbyshire CC v Mother</w:t>
      </w:r>
      <w:bookmarkEnd w:id="8"/>
      <w:r w:rsidRPr="001F10D7">
        <w:rPr>
          <w:rStyle w:val="FootnoteReference"/>
          <w:rFonts w:ascii="Times New Roman" w:hAnsi="Times New Roman" w:cs="Times New Roman"/>
          <w:sz w:val="24"/>
          <w:szCs w:val="24"/>
          <w:lang w:val="en-US"/>
        </w:rPr>
        <w:footnoteReference w:id="189"/>
      </w:r>
      <w:r w:rsidRPr="001F10D7">
        <w:rPr>
          <w:rFonts w:ascii="Times New Roman" w:hAnsi="Times New Roman" w:cs="Times New Roman"/>
          <w:sz w:val="24"/>
          <w:szCs w:val="24"/>
          <w:lang w:val="en-US"/>
        </w:rPr>
        <w:t>. The court reached the same conclusion as the one that was reached in the above case. In particular, it was held that the relevant date on which the habitual residence of a child who was the subject of care proceedings fell to be assessed was the date on which a court was seised with the matter, rather than the date of the hearing to determine habitual residence. The likelihood of habitual residence shifting between the date the court was seised and the date of a final hearing created uncertainty as to jurisdiction, especially where delay was endemic in the system, and that did not the advance the protection of children.</w:t>
      </w:r>
    </w:p>
    <w:p w14:paraId="1BBEE884"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court reaffirmed </w:t>
      </w:r>
      <w:r w:rsidRPr="001F10D7">
        <w:rPr>
          <w:rFonts w:ascii="Times New Roman" w:hAnsi="Times New Roman" w:cs="Times New Roman"/>
          <w:i/>
          <w:iCs/>
          <w:sz w:val="24"/>
          <w:szCs w:val="24"/>
          <w:lang w:val="en-US"/>
        </w:rPr>
        <w:t>H v R</w:t>
      </w:r>
      <w:r w:rsidRPr="001F10D7">
        <w:rPr>
          <w:rStyle w:val="FootnoteReference"/>
          <w:rFonts w:ascii="Times New Roman" w:hAnsi="Times New Roman" w:cs="Times New Roman"/>
          <w:sz w:val="24"/>
          <w:szCs w:val="24"/>
          <w:lang w:val="en-US"/>
        </w:rPr>
        <w:footnoteReference w:id="190"/>
      </w:r>
      <w:r w:rsidRPr="001F10D7">
        <w:rPr>
          <w:rFonts w:ascii="Times New Roman" w:hAnsi="Times New Roman" w:cs="Times New Roman"/>
          <w:sz w:val="24"/>
          <w:szCs w:val="24"/>
          <w:lang w:val="en-US"/>
        </w:rPr>
        <w:t xml:space="preserve">, which was conflicting with </w:t>
      </w:r>
      <w:r w:rsidRPr="001F10D7">
        <w:rPr>
          <w:rFonts w:ascii="Times New Roman" w:hAnsi="Times New Roman" w:cs="Times New Roman"/>
          <w:i/>
          <w:iCs/>
          <w:sz w:val="24"/>
          <w:szCs w:val="24"/>
          <w:lang w:val="en-US"/>
        </w:rPr>
        <w:t>Hackney LBC v P</w:t>
      </w:r>
      <w:r w:rsidRPr="001F10D7">
        <w:rPr>
          <w:rStyle w:val="FootnoteReference"/>
          <w:rFonts w:ascii="Times New Roman" w:hAnsi="Times New Roman" w:cs="Times New Roman"/>
          <w:sz w:val="24"/>
          <w:szCs w:val="24"/>
          <w:lang w:val="en-US"/>
        </w:rPr>
        <w:footnoteReference w:id="191"/>
      </w:r>
      <w:r w:rsidRPr="001F10D7">
        <w:rPr>
          <w:rFonts w:ascii="Times New Roman" w:hAnsi="Times New Roman" w:cs="Times New Roman"/>
          <w:sz w:val="24"/>
          <w:szCs w:val="24"/>
          <w:lang w:val="en-US"/>
        </w:rPr>
        <w:t>. In the latter case the court had found that the relevant date on which habitual residence fell to be assessed under Art. 5 of the 1996 Convention was the date of the hearing. The court went in a lot of depth on why the approach in Hackney should be departed from.</w:t>
      </w:r>
      <w:r w:rsidRPr="001F10D7">
        <w:rPr>
          <w:rStyle w:val="FootnoteReference"/>
          <w:rFonts w:ascii="Times New Roman" w:hAnsi="Times New Roman" w:cs="Times New Roman"/>
          <w:sz w:val="24"/>
          <w:szCs w:val="24"/>
          <w:lang w:val="en-US"/>
        </w:rPr>
        <w:footnoteReference w:id="192"/>
      </w:r>
    </w:p>
    <w:p w14:paraId="05EADB8F"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Per the above analysis, the children in question were habitually resident in Spain. The court found (and the parties agreed) that it was appropriate to make a request under Art 9 of the 1996 Convention.</w:t>
      </w:r>
      <w:r w:rsidRPr="001F10D7">
        <w:rPr>
          <w:rStyle w:val="FootnoteReference"/>
          <w:rFonts w:ascii="Times New Roman" w:hAnsi="Times New Roman" w:cs="Times New Roman"/>
          <w:sz w:val="24"/>
          <w:szCs w:val="24"/>
          <w:lang w:val="en-US"/>
        </w:rPr>
        <w:footnoteReference w:id="193"/>
      </w:r>
      <w:r w:rsidRPr="001F10D7">
        <w:rPr>
          <w:rFonts w:ascii="Times New Roman" w:hAnsi="Times New Roman" w:cs="Times New Roman"/>
          <w:sz w:val="24"/>
          <w:szCs w:val="24"/>
          <w:lang w:val="en-US"/>
        </w:rPr>
        <w:t xml:space="preserve"> </w:t>
      </w:r>
    </w:p>
    <w:p w14:paraId="77136508"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lastRenderedPageBreak/>
        <w:t xml:space="preserve">Another case which concerned Article 5 was </w:t>
      </w:r>
      <w:r w:rsidRPr="001F10D7">
        <w:rPr>
          <w:rFonts w:ascii="Times New Roman" w:hAnsi="Times New Roman" w:cs="Times New Roman"/>
          <w:b/>
          <w:bCs/>
          <w:i/>
          <w:iCs/>
          <w:sz w:val="24"/>
          <w:szCs w:val="24"/>
          <w:lang w:val="en-US"/>
        </w:rPr>
        <w:t>AM v KL</w:t>
      </w:r>
      <w:r w:rsidRPr="001F10D7">
        <w:rPr>
          <w:rFonts w:ascii="Times New Roman" w:hAnsi="Times New Roman" w:cs="Times New Roman"/>
          <w:sz w:val="24"/>
          <w:szCs w:val="24"/>
          <w:lang w:val="en-US"/>
        </w:rPr>
        <w:t>.</w:t>
      </w:r>
      <w:r w:rsidRPr="001F10D7">
        <w:rPr>
          <w:rStyle w:val="FootnoteReference"/>
          <w:rFonts w:ascii="Times New Roman" w:hAnsi="Times New Roman" w:cs="Times New Roman"/>
          <w:sz w:val="24"/>
          <w:szCs w:val="24"/>
          <w:lang w:val="en-US"/>
        </w:rPr>
        <w:footnoteReference w:id="194"/>
      </w:r>
      <w:r w:rsidRPr="001F10D7">
        <w:rPr>
          <w:rFonts w:ascii="Times New Roman" w:hAnsi="Times New Roman" w:cs="Times New Roman"/>
          <w:sz w:val="24"/>
          <w:szCs w:val="24"/>
          <w:lang w:val="en-US"/>
        </w:rPr>
        <w:t xml:space="preserve"> However, in this decision the court did not provide any specific legal guidance; only made determinations vis-à-vis the facts of the case. The court held that, by reference to the terms of the 1996 Convention, the UK courts had substantive jurisdiction in respect of two children for the purposes of ECHR art.5 on the basis of the children's habitual residence with their parents in the jurisdiction of England and Wales, and the Greek courts did not. It was not appropriate in the instant case, exceptionally, to transfer jurisdiction to the Greek court under ECHR art.8, but the maternal grandparents were granted permission pursuant the Children Act 1989 s.10(1)(a)(ii) to apply for a child arrangements order in the UK. </w:t>
      </w:r>
    </w:p>
    <w:p w14:paraId="3E17DE0A"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court reiterated the rationale behind Art. 5 of the 1996 Convention by stating that the aim of the general rule of jurisdiction under Art.5 was that the court of the Contracting State with which the children had the closest connection would be the one to determine their best interests because the authorities in the country of the children's habitual residence were closer to, and would ordinarily have a greater understanding of, the children and their social and family environment and be better able to assess fully the children's situation and welfare needs when reaching decisions about their best interests.</w:t>
      </w:r>
    </w:p>
    <w:p w14:paraId="34AE0278" w14:textId="77777777" w:rsidR="00FA76A2" w:rsidRPr="001F10D7" w:rsidRDefault="00FA76A2" w:rsidP="00FA76A2">
      <w:pPr>
        <w:spacing w:line="276" w:lineRule="auto"/>
        <w:jc w:val="both"/>
        <w:rPr>
          <w:rFonts w:ascii="Times New Roman" w:hAnsi="Times New Roman" w:cs="Times New Roman"/>
          <w:sz w:val="24"/>
          <w:szCs w:val="24"/>
          <w:lang w:val="en-US"/>
        </w:rPr>
      </w:pPr>
    </w:p>
    <w:p w14:paraId="12A19175" w14:textId="77777777" w:rsidR="00FA76A2" w:rsidRPr="001F10D7" w:rsidRDefault="00FA76A2" w:rsidP="00FA76A2">
      <w:pPr>
        <w:spacing w:line="276" w:lineRule="auto"/>
        <w:rPr>
          <w:rFonts w:ascii="Times New Roman" w:hAnsi="Times New Roman" w:cs="Times New Roman"/>
          <w:i/>
          <w:iCs/>
          <w:sz w:val="24"/>
          <w:szCs w:val="24"/>
          <w:u w:val="single"/>
          <w:lang w:val="en-US"/>
        </w:rPr>
      </w:pPr>
      <w:r w:rsidRPr="001F10D7">
        <w:rPr>
          <w:rFonts w:ascii="Times New Roman" w:hAnsi="Times New Roman" w:cs="Times New Roman"/>
          <w:i/>
          <w:iCs/>
          <w:sz w:val="24"/>
          <w:szCs w:val="24"/>
          <w:u w:val="single"/>
          <w:lang w:val="en-US"/>
        </w:rPr>
        <w:t>Jurisdiction in child abduction cases under Art. 7</w:t>
      </w:r>
    </w:p>
    <w:p w14:paraId="5B560381" w14:textId="77777777" w:rsidR="00FA76A2" w:rsidRPr="001F10D7" w:rsidRDefault="00FA76A2" w:rsidP="00FA76A2">
      <w:pPr>
        <w:spacing w:line="276" w:lineRule="auto"/>
        <w:rPr>
          <w:rFonts w:ascii="Times New Roman" w:hAnsi="Times New Roman" w:cs="Times New Roman"/>
          <w:i/>
          <w:iCs/>
          <w:sz w:val="24"/>
          <w:szCs w:val="24"/>
          <w:u w:val="single"/>
          <w:lang w:val="en-US"/>
        </w:rPr>
      </w:pPr>
    </w:p>
    <w:p w14:paraId="0DD14914"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In </w:t>
      </w:r>
      <w:r w:rsidRPr="005D2315">
        <w:rPr>
          <w:rFonts w:ascii="Times New Roman" w:hAnsi="Times New Roman" w:cs="Times New Roman"/>
          <w:b/>
          <w:bCs/>
          <w:i/>
          <w:iCs/>
          <w:sz w:val="24"/>
          <w:szCs w:val="24"/>
          <w:lang w:val="en-US"/>
        </w:rPr>
        <w:t>B v L</w:t>
      </w:r>
      <w:r w:rsidRPr="001F10D7">
        <w:rPr>
          <w:rFonts w:ascii="Times New Roman" w:hAnsi="Times New Roman" w:cs="Times New Roman"/>
          <w:b/>
          <w:bCs/>
          <w:sz w:val="24"/>
          <w:szCs w:val="24"/>
          <w:lang w:val="en-US"/>
        </w:rPr>
        <w:t>,</w:t>
      </w:r>
      <w:r w:rsidRPr="001F10D7">
        <w:rPr>
          <w:rStyle w:val="FootnoteReference"/>
          <w:rFonts w:ascii="Times New Roman" w:hAnsi="Times New Roman" w:cs="Times New Roman"/>
          <w:b/>
          <w:bCs/>
          <w:sz w:val="24"/>
          <w:szCs w:val="24"/>
          <w:lang w:val="en-US"/>
        </w:rPr>
        <w:footnoteReference w:id="195"/>
      </w:r>
      <w:r w:rsidRPr="001F10D7">
        <w:rPr>
          <w:rFonts w:ascii="Times New Roman" w:hAnsi="Times New Roman" w:cs="Times New Roman"/>
          <w:sz w:val="24"/>
          <w:szCs w:val="24"/>
          <w:lang w:val="en-US"/>
        </w:rPr>
        <w:t xml:space="preserve"> an unmarried father requested a declaration that the English court has jurisdiction to make substantive parental responsibility orders in respect of his child which had been wrongfully removed to Poland, relying on ss1-3 of the Family Law Act 1986 and Art 5 of the 1996 Convention.</w:t>
      </w:r>
    </w:p>
    <w:p w14:paraId="30ED363E"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court found the child’s removal “wrongful” within the meaning of Art 7 of the 1996 Convention and in the present circumstances the court only considered the child’s habitual residence “immediately before the removal”.</w:t>
      </w:r>
      <w:r w:rsidRPr="001F10D7">
        <w:rPr>
          <w:rStyle w:val="FootnoteReference"/>
          <w:rFonts w:ascii="Times New Roman" w:hAnsi="Times New Roman" w:cs="Times New Roman"/>
          <w:sz w:val="24"/>
          <w:szCs w:val="24"/>
          <w:lang w:val="en-US"/>
        </w:rPr>
        <w:footnoteReference w:id="196"/>
      </w:r>
      <w:r w:rsidRPr="001F10D7">
        <w:rPr>
          <w:rFonts w:ascii="Times New Roman" w:hAnsi="Times New Roman" w:cs="Times New Roman"/>
          <w:sz w:val="24"/>
          <w:szCs w:val="24"/>
          <w:lang w:val="en-US"/>
        </w:rPr>
        <w:t xml:space="preserve"> Notwithstanding this conclusion, the court found that even if the removal was not wrongful and the habitual residence of the child had to be considered as on the date of the father’s application (6 of April 2022), the court still found that the child was still habitually resident in England.</w:t>
      </w:r>
      <w:r w:rsidRPr="001F10D7">
        <w:rPr>
          <w:rStyle w:val="FootnoteReference"/>
          <w:rFonts w:ascii="Times New Roman" w:hAnsi="Times New Roman" w:cs="Times New Roman"/>
          <w:sz w:val="24"/>
          <w:szCs w:val="24"/>
          <w:lang w:val="en-US"/>
        </w:rPr>
        <w:footnoteReference w:id="197"/>
      </w:r>
      <w:r w:rsidRPr="001F10D7">
        <w:rPr>
          <w:rFonts w:ascii="Times New Roman" w:hAnsi="Times New Roman" w:cs="Times New Roman"/>
          <w:sz w:val="24"/>
          <w:szCs w:val="24"/>
          <w:lang w:val="en-US"/>
        </w:rPr>
        <w:t xml:space="preserve"> Accordingly, the court had jurisdiction per Art 5 of the 1996 Convention. </w:t>
      </w:r>
    </w:p>
    <w:p w14:paraId="1746C849"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A different question in law was whether the unmarried father had rights of custody. The court found that he did and the removal of the child to Poland breached these rights, leading to the court granting the requested declaration under Arts 5 and 7 of the 1996 Convention.</w:t>
      </w:r>
      <w:r w:rsidRPr="001F10D7">
        <w:rPr>
          <w:rStyle w:val="FootnoteReference"/>
          <w:rFonts w:ascii="Times New Roman" w:hAnsi="Times New Roman" w:cs="Times New Roman"/>
          <w:sz w:val="24"/>
          <w:szCs w:val="24"/>
          <w:lang w:val="en-US"/>
        </w:rPr>
        <w:footnoteReference w:id="198"/>
      </w:r>
    </w:p>
    <w:p w14:paraId="117E513E" w14:textId="77777777" w:rsidR="00FA76A2" w:rsidRPr="001F10D7" w:rsidRDefault="00FA76A2" w:rsidP="00FA76A2">
      <w:pPr>
        <w:spacing w:line="276" w:lineRule="auto"/>
        <w:rPr>
          <w:rFonts w:ascii="Times New Roman" w:hAnsi="Times New Roman" w:cs="Times New Roman"/>
          <w:i/>
          <w:iCs/>
          <w:sz w:val="24"/>
          <w:szCs w:val="24"/>
          <w:u w:val="single"/>
          <w:lang w:val="en-US"/>
        </w:rPr>
      </w:pPr>
    </w:p>
    <w:p w14:paraId="35FF7E42" w14:textId="77777777" w:rsidR="00FA76A2" w:rsidRPr="001F10D7" w:rsidRDefault="00FA76A2" w:rsidP="00FA76A2">
      <w:pPr>
        <w:spacing w:line="276" w:lineRule="auto"/>
        <w:rPr>
          <w:rFonts w:ascii="Times New Roman" w:hAnsi="Times New Roman" w:cs="Times New Roman"/>
          <w:i/>
          <w:iCs/>
          <w:sz w:val="24"/>
          <w:szCs w:val="24"/>
          <w:u w:val="single"/>
          <w:lang w:val="en-US"/>
        </w:rPr>
      </w:pPr>
      <w:r w:rsidRPr="001F10D7">
        <w:rPr>
          <w:rFonts w:ascii="Times New Roman" w:hAnsi="Times New Roman" w:cs="Times New Roman"/>
          <w:i/>
          <w:iCs/>
          <w:sz w:val="24"/>
          <w:szCs w:val="24"/>
          <w:u w:val="single"/>
          <w:lang w:val="en-US"/>
        </w:rPr>
        <w:lastRenderedPageBreak/>
        <w:t>Transfer of jurisdiction under Art. 9</w:t>
      </w:r>
    </w:p>
    <w:p w14:paraId="570EDDC6"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Prior to Brexit, applications to transfer jurisdiction under the Brussels II</w:t>
      </w:r>
      <w:r w:rsidRPr="001F10D7">
        <w:rPr>
          <w:rFonts w:ascii="Times New Roman" w:hAnsi="Times New Roman" w:cs="Times New Roman"/>
          <w:i/>
          <w:iCs/>
          <w:sz w:val="24"/>
          <w:szCs w:val="24"/>
          <w:lang w:val="en-US"/>
        </w:rPr>
        <w:t xml:space="preserve">bis </w:t>
      </w:r>
      <w:r w:rsidRPr="001F10D7">
        <w:rPr>
          <w:rFonts w:ascii="Times New Roman" w:hAnsi="Times New Roman" w:cs="Times New Roman"/>
          <w:sz w:val="24"/>
          <w:szCs w:val="24"/>
          <w:lang w:val="en-US"/>
        </w:rPr>
        <w:t>were made under Article 15 of the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Regulation. In a case marked as ‘Guidance’</w:t>
      </w:r>
      <w:r w:rsidRPr="001F10D7">
        <w:rPr>
          <w:rStyle w:val="FootnoteReference"/>
          <w:rFonts w:ascii="Times New Roman" w:hAnsi="Times New Roman" w:cs="Times New Roman"/>
          <w:sz w:val="24"/>
          <w:szCs w:val="24"/>
          <w:lang w:val="en-US"/>
        </w:rPr>
        <w:footnoteReference w:id="199"/>
      </w:r>
      <w:r w:rsidRPr="001F10D7">
        <w:rPr>
          <w:rFonts w:ascii="Times New Roman" w:hAnsi="Times New Roman" w:cs="Times New Roman"/>
          <w:sz w:val="24"/>
          <w:szCs w:val="24"/>
          <w:lang w:val="en-US"/>
        </w:rPr>
        <w:t xml:space="preserve"> - </w:t>
      </w:r>
      <w:r w:rsidRPr="001F10D7">
        <w:rPr>
          <w:rFonts w:ascii="Times New Roman" w:hAnsi="Times New Roman" w:cs="Times New Roman"/>
          <w:b/>
          <w:bCs/>
          <w:i/>
          <w:iCs/>
          <w:sz w:val="24"/>
          <w:szCs w:val="24"/>
        </w:rPr>
        <w:t>In the matter of N (Children)</w:t>
      </w:r>
      <w:r w:rsidRPr="001F10D7">
        <w:rPr>
          <w:rStyle w:val="FootnoteReference"/>
          <w:rFonts w:ascii="Times New Roman" w:hAnsi="Times New Roman" w:cs="Times New Roman"/>
          <w:i/>
          <w:iCs/>
          <w:sz w:val="24"/>
          <w:szCs w:val="24"/>
        </w:rPr>
        <w:footnoteReference w:id="200"/>
      </w:r>
      <w:r w:rsidRPr="001F10D7">
        <w:rPr>
          <w:rFonts w:ascii="Times New Roman" w:hAnsi="Times New Roman" w:cs="Times New Roman"/>
          <w:sz w:val="24"/>
          <w:szCs w:val="24"/>
        </w:rPr>
        <w:t xml:space="preserve"> </w:t>
      </w:r>
      <w:r w:rsidRPr="001F10D7">
        <w:rPr>
          <w:rFonts w:ascii="Times New Roman" w:hAnsi="Times New Roman" w:cs="Times New Roman"/>
          <w:sz w:val="24"/>
          <w:szCs w:val="24"/>
          <w:lang w:val="en-US"/>
        </w:rPr>
        <w:t xml:space="preserve">- the Supreme Court passed down judgement on the interpretation of various elements of Article 15. The guidance is set out below. It is anticipated that dicta of the case will inform transfer applications under Article 9 of the 1996 Convention. </w:t>
      </w:r>
    </w:p>
    <w:p w14:paraId="705ED6B5" w14:textId="77777777" w:rsidR="00FA76A2" w:rsidRPr="001F10D7" w:rsidRDefault="00FA76A2" w:rsidP="00FA76A2">
      <w:pPr>
        <w:shd w:val="clear" w:color="auto" w:fill="FFFFFF"/>
        <w:textAlignment w:val="baseline"/>
        <w:rPr>
          <w:rFonts w:ascii="Times New Roman" w:hAnsi="Times New Roman" w:cs="Times New Roman"/>
          <w:color w:val="3D3D3D"/>
          <w:sz w:val="24"/>
          <w:szCs w:val="24"/>
        </w:rPr>
      </w:pPr>
    </w:p>
    <w:p w14:paraId="015FDF89"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"First it [the court] must determine whether the child has, within the meaning of Article 15(3), </w:t>
      </w:r>
      <w:r w:rsidRPr="001F10D7">
        <w:rPr>
          <w:rFonts w:ascii="Times New Roman" w:hAnsi="Times New Roman" w:cs="Times New Roman"/>
          <w:sz w:val="24"/>
          <w:szCs w:val="24"/>
          <w:u w:val="single"/>
          <w:lang w:val="en-US"/>
        </w:rPr>
        <w:t>'a particular connection'</w:t>
      </w:r>
      <w:r w:rsidRPr="001F10D7">
        <w:rPr>
          <w:rFonts w:ascii="Times New Roman" w:hAnsi="Times New Roman" w:cs="Times New Roman"/>
          <w:sz w:val="24"/>
          <w:szCs w:val="24"/>
          <w:lang w:val="en-US"/>
        </w:rPr>
        <w:t xml:space="preserve"> with the relevant other member state … Given the various matters set out in Article 15(3) as bearing on this question, this is, in essence, a simple question of fact. For example, is the other member of state the former habitual residence of the child … or the … child's nationality …</w:t>
      </w:r>
    </w:p>
    <w:p w14:paraId="560F2EF5"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Secondly, it must determine whether the court of that other member state </w:t>
      </w:r>
      <w:r w:rsidRPr="001F10D7">
        <w:rPr>
          <w:rFonts w:ascii="Times New Roman" w:hAnsi="Times New Roman" w:cs="Times New Roman"/>
          <w:sz w:val="24"/>
          <w:szCs w:val="24"/>
          <w:u w:val="single"/>
          <w:lang w:val="en-US"/>
        </w:rPr>
        <w:t>'would be better placed to hear the case, or a specific part thereof'</w:t>
      </w:r>
      <w:r w:rsidRPr="001F10D7">
        <w:rPr>
          <w:rFonts w:ascii="Times New Roman" w:hAnsi="Times New Roman" w:cs="Times New Roman"/>
          <w:sz w:val="24"/>
          <w:szCs w:val="24"/>
          <w:lang w:val="en-US"/>
        </w:rPr>
        <w:t>. This involves an exercise in evaluation, to be undertaken in the light of all the circumstances of the particular case.</w:t>
      </w:r>
    </w:p>
    <w:p w14:paraId="1F8962F2"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Thirdly, it must determine if a transfer to the other court </w:t>
      </w:r>
      <w:r w:rsidRPr="001F10D7">
        <w:rPr>
          <w:rFonts w:ascii="Times New Roman" w:hAnsi="Times New Roman" w:cs="Times New Roman"/>
          <w:sz w:val="24"/>
          <w:szCs w:val="24"/>
          <w:u w:val="single"/>
          <w:lang w:val="en-US"/>
        </w:rPr>
        <w:t>'is in the best interests of the child</w:t>
      </w:r>
      <w:r w:rsidRPr="001F10D7">
        <w:rPr>
          <w:rFonts w:ascii="Times New Roman" w:hAnsi="Times New Roman" w:cs="Times New Roman"/>
          <w:sz w:val="24"/>
          <w:szCs w:val="24"/>
          <w:lang w:val="en-US"/>
        </w:rPr>
        <w:t>.' This again involves an evaluation undertaken in the light of all the circumstances of the particular child."</w:t>
      </w:r>
      <w:r w:rsidRPr="001F10D7">
        <w:rPr>
          <w:rStyle w:val="FootnoteReference"/>
          <w:rFonts w:ascii="Times New Roman" w:hAnsi="Times New Roman" w:cs="Times New Roman"/>
          <w:sz w:val="24"/>
          <w:szCs w:val="24"/>
          <w:lang w:val="en-US"/>
        </w:rPr>
        <w:footnoteReference w:id="201"/>
      </w:r>
    </w:p>
    <w:p w14:paraId="74A5991B"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p>
    <w:p w14:paraId="0FEF8DAF"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r w:rsidRPr="001F10D7">
        <w:rPr>
          <w:rFonts w:ascii="Times New Roman" w:hAnsi="Times New Roman" w:cs="Times New Roman"/>
          <w:sz w:val="24"/>
          <w:szCs w:val="24"/>
          <w:lang w:val="en-US"/>
        </w:rPr>
        <w:t>In </w:t>
      </w:r>
      <w:r w:rsidRPr="001F10D7">
        <w:rPr>
          <w:rFonts w:ascii="Times New Roman" w:hAnsi="Times New Roman" w:cs="Times New Roman"/>
          <w:i/>
          <w:iCs/>
          <w:sz w:val="24"/>
          <w:szCs w:val="24"/>
          <w:lang w:val="en-US"/>
        </w:rPr>
        <w:t>Re N</w:t>
      </w:r>
      <w:r w:rsidRPr="001F10D7">
        <w:rPr>
          <w:rFonts w:ascii="Times New Roman" w:hAnsi="Times New Roman" w:cs="Times New Roman"/>
          <w:sz w:val="24"/>
          <w:szCs w:val="24"/>
          <w:lang w:val="en-US"/>
        </w:rPr>
        <w:t>, Lady Hale set out detailed consideration of the issues of "better placed" and what are the best interests of the child. She said:</w:t>
      </w:r>
    </w:p>
    <w:p w14:paraId="741B2333"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p>
    <w:p w14:paraId="5022574F"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r w:rsidRPr="001F10D7">
        <w:rPr>
          <w:rFonts w:ascii="Times New Roman" w:hAnsi="Times New Roman" w:cs="Times New Roman"/>
          <w:sz w:val="24"/>
          <w:szCs w:val="24"/>
          <w:lang w:val="en-US"/>
        </w:rPr>
        <w:t>"It is the case, as argued on behalf of the mother, that the 'better placed' and 'best interests' questions are inter-related. Some of the same factors may be relevant to both. But it is clear that they are separate questions and must be addressed separately. The second one does not inexorably follow from the first.</w:t>
      </w:r>
    </w:p>
    <w:p w14:paraId="507C4E3C" w14:textId="77777777" w:rsidR="00FA76A2" w:rsidRPr="001F10D7" w:rsidRDefault="00FA76A2" w:rsidP="00FA76A2">
      <w:pPr>
        <w:shd w:val="clear" w:color="auto" w:fill="FFFFFF"/>
        <w:jc w:val="both"/>
        <w:textAlignment w:val="baseline"/>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question remains, what is encompassed in the 'best interests' requirement? The distinction drawn in In re I remains valid. The court is deciding whether to request a transfer of the case. The question is whether the transfer is in the child's best interests. The focus of the inquiry is different, but it is wrong to call it 'attenuated'. The factors relevant to deciding to question will vary according to the circumstances. It is impossible to be definitive. But there is no reason at all to exclude the impact upon the child's welfare, in the short or the longer term of the transfer itself. What will be its immediate consequences? What impact will it have on the choices available to the court deciding upon the eventual outcome? This is not the same as deciding what outcome will be in the child's best interests. It is deciding whether it is in the child's best </w:t>
      </w:r>
      <w:r w:rsidRPr="001F10D7">
        <w:rPr>
          <w:rFonts w:ascii="Times New Roman" w:hAnsi="Times New Roman" w:cs="Times New Roman"/>
          <w:sz w:val="24"/>
          <w:szCs w:val="24"/>
          <w:lang w:val="en-US"/>
        </w:rPr>
        <w:lastRenderedPageBreak/>
        <w:t>interests for the court currently seized of the case to retain it or whether it is in the child's best interests for the case to be transferred to the requested court."</w:t>
      </w:r>
      <w:r w:rsidRPr="001F10D7">
        <w:rPr>
          <w:rStyle w:val="FootnoteReference"/>
          <w:rFonts w:ascii="Times New Roman" w:hAnsi="Times New Roman" w:cs="Times New Roman"/>
          <w:sz w:val="24"/>
          <w:szCs w:val="24"/>
          <w:lang w:val="en-US"/>
        </w:rPr>
        <w:footnoteReference w:id="202"/>
      </w:r>
    </w:p>
    <w:p w14:paraId="5B0DA24A"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u w:val="single"/>
          <w:lang w:val="en-US"/>
        </w:rPr>
        <w:t>Facts</w:t>
      </w:r>
      <w:r w:rsidRPr="001F10D7">
        <w:rPr>
          <w:rFonts w:ascii="Times New Roman" w:hAnsi="Times New Roman" w:cs="Times New Roman"/>
          <w:sz w:val="24"/>
          <w:szCs w:val="24"/>
          <w:lang w:val="en-US"/>
        </w:rPr>
        <w:t>:</w:t>
      </w:r>
    </w:p>
    <w:p w14:paraId="3517CC99"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b/>
          <w:bCs/>
          <w:i/>
          <w:iCs/>
          <w:sz w:val="24"/>
          <w:szCs w:val="24"/>
          <w:lang w:val="en-US"/>
        </w:rPr>
        <w:t xml:space="preserve">Re N </w:t>
      </w:r>
      <w:r w:rsidRPr="001F10D7">
        <w:rPr>
          <w:rFonts w:ascii="Times New Roman" w:hAnsi="Times New Roman" w:cs="Times New Roman"/>
          <w:sz w:val="24"/>
          <w:szCs w:val="24"/>
          <w:lang w:val="en-US"/>
        </w:rPr>
        <w:t>concerned two children under the age of four, born in England and Wales to parents of Hungarian nationality. At the time of the proceedings, the first steps had been taken to place the children in foster care. In the meantime, the mother returned to Hungary and gave birth to a third child. The mother applied for a transfer of proceedings to Hungary under Art. 15 of the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Regulation. The Supreme Court made a series of findings. </w:t>
      </w:r>
    </w:p>
    <w:p w14:paraId="6D10C9A5" w14:textId="77777777" w:rsidR="00FA76A2" w:rsidRPr="001F10D7" w:rsidRDefault="00FA76A2" w:rsidP="00FA76A2">
      <w:pPr>
        <w:spacing w:line="276" w:lineRule="auto"/>
        <w:jc w:val="both"/>
        <w:rPr>
          <w:rFonts w:ascii="Times New Roman" w:hAnsi="Times New Roman" w:cs="Times New Roman"/>
          <w:sz w:val="24"/>
          <w:szCs w:val="24"/>
          <w:lang w:val="en-US"/>
        </w:rPr>
      </w:pPr>
    </w:p>
    <w:p w14:paraId="3814A465"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In considering the reasons why the Hungarian courts were better placed to hear the case, the Supreme Court observed: </w:t>
      </w:r>
    </w:p>
    <w:p w14:paraId="0AF38E70" w14:textId="77777777" w:rsidR="00FA76A2" w:rsidRPr="001F10D7" w:rsidRDefault="00FA76A2" w:rsidP="00FA76A2">
      <w:pPr>
        <w:numPr>
          <w:ilvl w:val="0"/>
          <w:numId w:val="22"/>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language barriers (the parents spoke no or very little English and required an interpreter);</w:t>
      </w:r>
    </w:p>
    <w:p w14:paraId="3CAC06B3" w14:textId="77777777" w:rsidR="00FA76A2" w:rsidRPr="001F10D7" w:rsidRDefault="00FA76A2" w:rsidP="00FA76A2">
      <w:pPr>
        <w:numPr>
          <w:ilvl w:val="0"/>
          <w:numId w:val="22"/>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two older half-siblings and the younger brother were habitually resident in Hungary and it was more practicable for a Hungarian court to promote their contact; </w:t>
      </w:r>
    </w:p>
    <w:p w14:paraId="2E89DAB8" w14:textId="77777777" w:rsidR="00FA76A2" w:rsidRPr="001F10D7" w:rsidRDefault="00FA76A2" w:rsidP="00FA76A2">
      <w:pPr>
        <w:numPr>
          <w:ilvl w:val="0"/>
          <w:numId w:val="22"/>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Hungarian authorities were better positioned to assess the living arrangements of the maternal great-grandmother (and her suitability as a carer for the children);</w:t>
      </w:r>
    </w:p>
    <w:p w14:paraId="79988893" w14:textId="77777777" w:rsidR="00FA76A2" w:rsidRPr="001F10D7" w:rsidRDefault="00FA76A2" w:rsidP="00FA76A2">
      <w:pPr>
        <w:numPr>
          <w:ilvl w:val="0"/>
          <w:numId w:val="22"/>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Hungarian authorities had access to the parents’ full family background information, which could inform decision making;</w:t>
      </w:r>
    </w:p>
    <w:p w14:paraId="6BBC7765" w14:textId="77777777" w:rsidR="00FA76A2" w:rsidRPr="001F10D7" w:rsidRDefault="00FA76A2" w:rsidP="00FA76A2">
      <w:pPr>
        <w:numPr>
          <w:ilvl w:val="0"/>
          <w:numId w:val="22"/>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English courts were limited in what they could do to meet the cultural and linguistic needs of the children; </w:t>
      </w:r>
    </w:p>
    <w:p w14:paraId="383D519B" w14:textId="77777777" w:rsidR="00FA76A2" w:rsidRPr="001F10D7" w:rsidRDefault="00FA76A2" w:rsidP="00FA76A2">
      <w:pPr>
        <w:numPr>
          <w:ilvl w:val="0"/>
          <w:numId w:val="22"/>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children had not yet been finally adopted in the UK; </w:t>
      </w:r>
    </w:p>
    <w:p w14:paraId="23708126" w14:textId="77777777" w:rsidR="00FA76A2" w:rsidRPr="001F10D7" w:rsidRDefault="00FA76A2" w:rsidP="00FA76A2">
      <w:pPr>
        <w:numPr>
          <w:ilvl w:val="0"/>
          <w:numId w:val="22"/>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court found good reason to believe that the parents might return to Hungary in any case, due to their circumstances. </w:t>
      </w:r>
    </w:p>
    <w:p w14:paraId="2E17607A" w14:textId="77777777" w:rsidR="00FA76A2" w:rsidRPr="001F10D7" w:rsidRDefault="00FA76A2" w:rsidP="00FA76A2">
      <w:pPr>
        <w:spacing w:line="276" w:lineRule="auto"/>
        <w:jc w:val="both"/>
        <w:rPr>
          <w:rFonts w:ascii="Times New Roman" w:hAnsi="Times New Roman" w:cs="Times New Roman"/>
          <w:sz w:val="24"/>
          <w:szCs w:val="24"/>
          <w:lang w:val="en-US"/>
        </w:rPr>
      </w:pPr>
    </w:p>
    <w:p w14:paraId="51DD01B6"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It must be noted that the court undertook a similar approach in assessing the suitability of the jurisdiction of England and Wales in this case. The court made it clear that where applications to transfer jurisdiction are concerned, the court is assessing whether the transfer of jurisdiction is in the best interests of the child and that this ‘is a different question from what eventual outcome to the case will be in the child's best interests.’</w:t>
      </w:r>
      <w:r w:rsidRPr="001F10D7">
        <w:rPr>
          <w:rFonts w:ascii="Times New Roman" w:hAnsi="Times New Roman" w:cs="Times New Roman"/>
          <w:sz w:val="24"/>
          <w:szCs w:val="24"/>
          <w:vertAlign w:val="superscript"/>
          <w:lang w:val="en-US"/>
        </w:rPr>
        <w:footnoteReference w:id="203"/>
      </w:r>
      <w:r w:rsidRPr="001F10D7">
        <w:rPr>
          <w:rFonts w:ascii="Times New Roman" w:hAnsi="Times New Roman" w:cs="Times New Roman"/>
          <w:sz w:val="24"/>
          <w:szCs w:val="24"/>
          <w:lang w:val="en-US"/>
        </w:rPr>
        <w:t xml:space="preserve"> In summary, the court crystallised what must be regarded in such cases: </w:t>
      </w:r>
    </w:p>
    <w:p w14:paraId="26977158" w14:textId="77777777" w:rsidR="00FA76A2" w:rsidRPr="001F10D7" w:rsidRDefault="00FA76A2" w:rsidP="00FA76A2">
      <w:pPr>
        <w:spacing w:line="276" w:lineRule="auto"/>
        <w:jc w:val="both"/>
        <w:rPr>
          <w:rFonts w:ascii="Times New Roman" w:hAnsi="Times New Roman" w:cs="Times New Roman"/>
          <w:sz w:val="24"/>
          <w:szCs w:val="24"/>
          <w:lang w:val="en-US"/>
        </w:rPr>
      </w:pPr>
    </w:p>
    <w:p w14:paraId="1AE408B9" w14:textId="77777777" w:rsidR="00FA76A2" w:rsidRPr="001F10D7" w:rsidRDefault="00FA76A2" w:rsidP="00FA76A2">
      <w:pPr>
        <w:numPr>
          <w:ilvl w:val="0"/>
          <w:numId w:val="21"/>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Whether another court is ‘better placed’ (to hear the entire or a specific part of a case);</w:t>
      </w:r>
    </w:p>
    <w:p w14:paraId="392F6D2F" w14:textId="77777777" w:rsidR="00FA76A2" w:rsidRPr="001F10D7" w:rsidRDefault="00FA76A2" w:rsidP="00FA76A2">
      <w:pPr>
        <w:numPr>
          <w:ilvl w:val="0"/>
          <w:numId w:val="21"/>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Whether the transfer of jurisdiction is in the ‘best interests’ of the child (a question to be asked as an additional safeguard to the above); and</w:t>
      </w:r>
    </w:p>
    <w:p w14:paraId="6B7C84F4" w14:textId="77777777" w:rsidR="00FA76A2" w:rsidRPr="001F10D7" w:rsidRDefault="00FA76A2" w:rsidP="00FA76A2">
      <w:pPr>
        <w:numPr>
          <w:ilvl w:val="0"/>
          <w:numId w:val="21"/>
        </w:numPr>
        <w:spacing w:after="0"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lastRenderedPageBreak/>
        <w:t>‘All other circumstances of the case.’</w:t>
      </w:r>
      <w:r w:rsidRPr="001F10D7">
        <w:rPr>
          <w:rFonts w:ascii="Times New Roman" w:hAnsi="Times New Roman" w:cs="Times New Roman"/>
          <w:sz w:val="24"/>
          <w:szCs w:val="24"/>
          <w:vertAlign w:val="superscript"/>
          <w:lang w:val="en-US"/>
        </w:rPr>
        <w:footnoteReference w:id="204"/>
      </w:r>
    </w:p>
    <w:p w14:paraId="23057F86" w14:textId="77777777" w:rsidR="00FA76A2" w:rsidRPr="001F10D7" w:rsidRDefault="00FA76A2" w:rsidP="00FA76A2">
      <w:pPr>
        <w:spacing w:line="276" w:lineRule="auto"/>
        <w:jc w:val="both"/>
        <w:rPr>
          <w:rFonts w:ascii="Times New Roman" w:hAnsi="Times New Roman" w:cs="Times New Roman"/>
          <w:sz w:val="24"/>
          <w:szCs w:val="24"/>
          <w:lang w:val="en-US"/>
        </w:rPr>
      </w:pPr>
    </w:p>
    <w:p w14:paraId="24FA0D53"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In the case of </w:t>
      </w:r>
      <w:r w:rsidRPr="001F10D7">
        <w:rPr>
          <w:rFonts w:ascii="Times New Roman" w:hAnsi="Times New Roman" w:cs="Times New Roman"/>
          <w:b/>
          <w:bCs/>
          <w:i/>
          <w:iCs/>
          <w:sz w:val="24"/>
          <w:szCs w:val="24"/>
          <w:lang w:val="en-US"/>
        </w:rPr>
        <w:t>D (Care Proceedings: 1996 Hague Convention: Article 9 Request)</w:t>
      </w:r>
      <w:r w:rsidRPr="001F10D7">
        <w:rPr>
          <w:rStyle w:val="FootnoteReference"/>
          <w:rFonts w:ascii="Times New Roman" w:hAnsi="Times New Roman" w:cs="Times New Roman"/>
          <w:b/>
          <w:bCs/>
          <w:i/>
          <w:iCs/>
          <w:sz w:val="24"/>
          <w:szCs w:val="24"/>
          <w:lang w:val="en-US"/>
        </w:rPr>
        <w:footnoteReference w:id="205"/>
      </w:r>
      <w:r w:rsidRPr="001F10D7">
        <w:rPr>
          <w:rFonts w:ascii="Times New Roman" w:hAnsi="Times New Roman" w:cs="Times New Roman"/>
          <w:sz w:val="24"/>
          <w:szCs w:val="24"/>
          <w:lang w:val="en-US"/>
        </w:rPr>
        <w:t xml:space="preserve"> the court permitted the local authority to withdraw its request under Art. 9 of the 1996 Hague Convention for the transfer of jurisdiction from the Swiss to English courts. The case concerned the contact of two siblings, of which one was adopted in the UK while the other was placed in foster care in Switzerland. The local authority initially requested the court to consider whether transfer of jurisdiction (to the English courts) was possible with regard to the child in Swiss foster care, to decide contact between the siblings. The court found that for an Art. 9 application to be successful, it was necessary to meet three criteria: </w:t>
      </w:r>
    </w:p>
    <w:p w14:paraId="27DDF43B" w14:textId="77777777" w:rsidR="00FA76A2" w:rsidRPr="001F10D7" w:rsidRDefault="00FA76A2" w:rsidP="00FA76A2">
      <w:pPr>
        <w:spacing w:line="276" w:lineRule="auto"/>
        <w:jc w:val="both"/>
        <w:rPr>
          <w:rFonts w:ascii="Times New Roman" w:hAnsi="Times New Roman" w:cs="Times New Roman"/>
          <w:sz w:val="24"/>
          <w:szCs w:val="24"/>
          <w:lang w:val="en-US"/>
        </w:rPr>
      </w:pPr>
    </w:p>
    <w:p w14:paraId="08EF556D" w14:textId="77777777" w:rsidR="00FA76A2" w:rsidRPr="001F10D7" w:rsidRDefault="00FA76A2" w:rsidP="00FA76A2">
      <w:pPr>
        <w:pStyle w:val="ListParagraph"/>
        <w:numPr>
          <w:ilvl w:val="0"/>
          <w:numId w:val="23"/>
        </w:numPr>
        <w:spacing w:after="0" w:line="276" w:lineRule="auto"/>
        <w:jc w:val="both"/>
        <w:rPr>
          <w:rFonts w:ascii="Times New Roman" w:hAnsi="Times New Roman" w:cs="Times New Roman"/>
          <w:sz w:val="24"/>
          <w:szCs w:val="24"/>
        </w:rPr>
      </w:pPr>
      <w:r w:rsidRPr="001F10D7">
        <w:rPr>
          <w:rFonts w:ascii="Times New Roman" w:hAnsi="Times New Roman" w:cs="Times New Roman"/>
          <w:sz w:val="24"/>
          <w:szCs w:val="24"/>
          <w:lang w:val="en-US"/>
        </w:rPr>
        <w:t xml:space="preserve">The requesting state had to fall within the terms of Art 8(2)(a) - (c), and Art. 8(2)(d): that the child has a “substantial connection” with the requesting state. </w:t>
      </w:r>
    </w:p>
    <w:p w14:paraId="60ACEFD7" w14:textId="77777777" w:rsidR="00FA76A2" w:rsidRPr="001F10D7" w:rsidRDefault="00FA76A2" w:rsidP="00FA76A2">
      <w:pPr>
        <w:pStyle w:val="ListParagraph"/>
        <w:numPr>
          <w:ilvl w:val="0"/>
          <w:numId w:val="23"/>
        </w:numPr>
        <w:spacing w:after="0" w:line="276" w:lineRule="auto"/>
        <w:jc w:val="both"/>
        <w:rPr>
          <w:rFonts w:ascii="Times New Roman" w:hAnsi="Times New Roman" w:cs="Times New Roman"/>
          <w:sz w:val="24"/>
          <w:szCs w:val="24"/>
        </w:rPr>
      </w:pPr>
      <w:r w:rsidRPr="001F10D7">
        <w:rPr>
          <w:rFonts w:ascii="Times New Roman" w:hAnsi="Times New Roman" w:cs="Times New Roman"/>
          <w:sz w:val="24"/>
          <w:szCs w:val="24"/>
          <w:lang w:val="en-US"/>
        </w:rPr>
        <w:t xml:space="preserve">‘The purpose underlying the transfer request must not engage any provisions of Art. 4, being issues, which lay outside the scope of the 1996 Convention.’ </w:t>
      </w:r>
    </w:p>
    <w:p w14:paraId="657A029D" w14:textId="77777777" w:rsidR="00FA76A2" w:rsidRPr="001F10D7" w:rsidRDefault="00FA76A2" w:rsidP="00FA76A2">
      <w:pPr>
        <w:pStyle w:val="ListParagraph"/>
        <w:numPr>
          <w:ilvl w:val="0"/>
          <w:numId w:val="23"/>
        </w:numPr>
        <w:spacing w:after="0" w:line="276" w:lineRule="auto"/>
        <w:jc w:val="both"/>
        <w:rPr>
          <w:rFonts w:ascii="Times New Roman" w:hAnsi="Times New Roman" w:cs="Times New Roman"/>
          <w:sz w:val="24"/>
          <w:szCs w:val="24"/>
        </w:rPr>
      </w:pPr>
      <w:r w:rsidRPr="001F10D7">
        <w:rPr>
          <w:rFonts w:ascii="Times New Roman" w:hAnsi="Times New Roman" w:cs="Times New Roman"/>
          <w:sz w:val="24"/>
          <w:szCs w:val="24"/>
          <w:lang w:val="en-US"/>
        </w:rPr>
        <w:t>The authorities of the requesting state had to consider that they were ‘better placed in the particular case to assess the child’s best interests.’</w:t>
      </w:r>
    </w:p>
    <w:p w14:paraId="14C33660" w14:textId="77777777" w:rsidR="00FA76A2" w:rsidRPr="001F10D7" w:rsidRDefault="00FA76A2" w:rsidP="00FA76A2">
      <w:pPr>
        <w:spacing w:line="276" w:lineRule="auto"/>
        <w:jc w:val="both"/>
        <w:rPr>
          <w:rFonts w:ascii="Times New Roman" w:hAnsi="Times New Roman" w:cs="Times New Roman"/>
          <w:sz w:val="24"/>
          <w:szCs w:val="24"/>
          <w:lang w:val="en-US"/>
        </w:rPr>
      </w:pPr>
    </w:p>
    <w:p w14:paraId="2009C596"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In the circumstances, the court was satisfied that the first two grounds were met. However, the court found it was not better placed to assess the child’s best interests compared to the Swiss authorities. The court found so for various reasons. Firstly, the Swiss authorities had already placed the child in a long-term arrangement for his welfare. Further, the Swiss courts were well-positioned and capable for promoting sibling contact and the courts at the place of the child’s residence were better suited in making relevant orders. Further, the court noted, and placed weight on the fact that the Swiss authorities showed resistance to a potential transfer ‘reduced the potential utility of any transfer request made by this court given the likelihood that it will be met with a further refusal.’</w:t>
      </w:r>
      <w:r w:rsidRPr="001F10D7">
        <w:rPr>
          <w:rStyle w:val="FootnoteReference"/>
          <w:rFonts w:ascii="Times New Roman" w:hAnsi="Times New Roman" w:cs="Times New Roman"/>
          <w:sz w:val="24"/>
          <w:szCs w:val="24"/>
          <w:lang w:val="en-US"/>
        </w:rPr>
        <w:footnoteReference w:id="206"/>
      </w:r>
    </w:p>
    <w:p w14:paraId="31EDD4A0" w14:textId="77777777" w:rsidR="00FA76A2" w:rsidRPr="001F10D7" w:rsidRDefault="00FA76A2" w:rsidP="00FA76A2">
      <w:pPr>
        <w:spacing w:line="276" w:lineRule="auto"/>
        <w:jc w:val="both"/>
        <w:rPr>
          <w:rFonts w:ascii="Times New Roman" w:hAnsi="Times New Roman" w:cs="Times New Roman"/>
          <w:sz w:val="24"/>
          <w:szCs w:val="24"/>
          <w:lang w:val="en-US"/>
        </w:rPr>
      </w:pPr>
    </w:p>
    <w:p w14:paraId="0C02BC65" w14:textId="77777777" w:rsidR="00FA76A2" w:rsidRPr="001F10D7" w:rsidRDefault="00FA76A2" w:rsidP="00FA76A2">
      <w:pPr>
        <w:spacing w:line="276" w:lineRule="auto"/>
        <w:jc w:val="both"/>
        <w:rPr>
          <w:rFonts w:ascii="Times New Roman" w:hAnsi="Times New Roman" w:cs="Times New Roman"/>
          <w:i/>
          <w:iCs/>
          <w:sz w:val="24"/>
          <w:szCs w:val="24"/>
          <w:u w:val="single"/>
          <w:lang w:val="en-US"/>
        </w:rPr>
      </w:pPr>
      <w:r w:rsidRPr="001F10D7">
        <w:rPr>
          <w:rFonts w:ascii="Times New Roman" w:hAnsi="Times New Roman" w:cs="Times New Roman"/>
          <w:i/>
          <w:iCs/>
          <w:sz w:val="24"/>
          <w:szCs w:val="24"/>
          <w:u w:val="single"/>
          <w:lang w:val="en-US"/>
        </w:rPr>
        <w:t>Emergency jurisdiction under Art. 11</w:t>
      </w:r>
    </w:p>
    <w:p w14:paraId="60021FFE" w14:textId="77777777" w:rsidR="00FA76A2" w:rsidRPr="001F10D7" w:rsidRDefault="00FA76A2" w:rsidP="00FA76A2">
      <w:pPr>
        <w:spacing w:line="276" w:lineRule="auto"/>
        <w:jc w:val="both"/>
        <w:rPr>
          <w:rFonts w:ascii="Times New Roman" w:hAnsi="Times New Roman" w:cs="Times New Roman"/>
          <w:sz w:val="24"/>
          <w:szCs w:val="24"/>
          <w:lang w:val="en-US"/>
        </w:rPr>
      </w:pPr>
    </w:p>
    <w:p w14:paraId="4C92410B"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Art. 11 of the 1996 Convention permits the courts of a Contracting State on the territory of which the child is present (but not habitually resident) to assume jurisdiction in cases of urgency, until the courts of a State with jurisdiction under Arts. 5-10 have taken measures to address the urgent situation. </w:t>
      </w:r>
    </w:p>
    <w:p w14:paraId="21D620CF" w14:textId="77777777" w:rsidR="00FA76A2" w:rsidRPr="001F10D7" w:rsidRDefault="00FA76A2" w:rsidP="00FA76A2">
      <w:pPr>
        <w:spacing w:line="276" w:lineRule="auto"/>
        <w:jc w:val="both"/>
        <w:rPr>
          <w:rFonts w:ascii="Times New Roman" w:hAnsi="Times New Roman" w:cs="Times New Roman"/>
          <w:sz w:val="24"/>
          <w:szCs w:val="24"/>
          <w:lang w:val="en-US"/>
        </w:rPr>
      </w:pPr>
    </w:p>
    <w:p w14:paraId="2EB56890"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UK courts have utilized or at least considered the utility of Art. 11 in a number of child abduction cases for the purpose of making protective measures in return proceedings under the 1980 Hague Abduction Convention to facilitate a safe return of the child to the State of his/her habitual residence.</w:t>
      </w:r>
      <w:r w:rsidRPr="001F10D7">
        <w:rPr>
          <w:rStyle w:val="FootnoteReference"/>
          <w:rFonts w:ascii="Times New Roman" w:hAnsi="Times New Roman" w:cs="Times New Roman"/>
          <w:sz w:val="24"/>
          <w:szCs w:val="24"/>
          <w:lang w:val="en-US"/>
        </w:rPr>
        <w:footnoteReference w:id="207"/>
      </w:r>
      <w:r w:rsidRPr="001F10D7">
        <w:rPr>
          <w:rFonts w:ascii="Times New Roman" w:hAnsi="Times New Roman" w:cs="Times New Roman"/>
          <w:sz w:val="24"/>
          <w:szCs w:val="24"/>
          <w:lang w:val="en-US"/>
        </w:rPr>
        <w:t xml:space="preserve"> For more details see the section on the 1980 Hague Convention above.  </w:t>
      </w:r>
    </w:p>
    <w:p w14:paraId="00791B1B" w14:textId="77777777" w:rsidR="00FA76A2" w:rsidRPr="001F10D7" w:rsidRDefault="00FA76A2" w:rsidP="00FA76A2">
      <w:pPr>
        <w:spacing w:line="276" w:lineRule="auto"/>
        <w:jc w:val="both"/>
        <w:rPr>
          <w:rFonts w:ascii="Times New Roman" w:hAnsi="Times New Roman" w:cs="Times New Roman"/>
          <w:sz w:val="24"/>
          <w:szCs w:val="24"/>
          <w:lang w:val="en-US"/>
        </w:rPr>
      </w:pPr>
    </w:p>
    <w:p w14:paraId="41119687" w14:textId="77777777" w:rsidR="00FA76A2" w:rsidRPr="001F10D7" w:rsidRDefault="00FA76A2" w:rsidP="00FA76A2">
      <w:pPr>
        <w:spacing w:line="276" w:lineRule="auto"/>
        <w:jc w:val="both"/>
        <w:rPr>
          <w:rFonts w:ascii="Times New Roman" w:hAnsi="Times New Roman" w:cs="Times New Roman"/>
          <w:i/>
          <w:iCs/>
          <w:sz w:val="24"/>
          <w:szCs w:val="24"/>
          <w:u w:val="single"/>
          <w:lang w:val="en-US"/>
        </w:rPr>
      </w:pPr>
      <w:r w:rsidRPr="001F10D7">
        <w:rPr>
          <w:rFonts w:ascii="Times New Roman" w:hAnsi="Times New Roman" w:cs="Times New Roman"/>
          <w:i/>
          <w:iCs/>
          <w:sz w:val="24"/>
          <w:szCs w:val="24"/>
          <w:u w:val="single"/>
          <w:lang w:val="en-US"/>
        </w:rPr>
        <w:t>Parallel proceedings (lis pendens) under Art. 13</w:t>
      </w:r>
    </w:p>
    <w:p w14:paraId="5A61B4A0"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Article 13 provides that the authorities of a Contracting State which have jurisdiction under  Articles 5 to 10 to take measures for the protection of the person or property of a child  must abstain from exercising this jurisdiction if, at the time of the commencement of the proceedings, “corresponding measures” have been requested from the authorities of another  Contracting State having jurisdiction under Articles 5 to 10 at the time of the request and those measures are still under consideration.</w:t>
      </w:r>
    </w:p>
    <w:p w14:paraId="715B4D8A" w14:textId="77777777" w:rsidR="00FA76A2" w:rsidRPr="001F10D7" w:rsidRDefault="00FA76A2" w:rsidP="005D10A5">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term “corresponding measures” is not defined in the Convention but it appears that, for </w:t>
      </w:r>
    </w:p>
    <w:p w14:paraId="56BAAB28" w14:textId="77777777" w:rsidR="00FA76A2" w:rsidRPr="001F10D7" w:rsidRDefault="00FA76A2" w:rsidP="005D10A5">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Article 13 to apply, the requests before both Contracting States must be the same or similar </w:t>
      </w:r>
    </w:p>
    <w:p w14:paraId="5244F978" w14:textId="77777777" w:rsidR="00FA76A2" w:rsidRPr="001F10D7" w:rsidRDefault="00FA76A2" w:rsidP="005D10A5">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in substance.</w:t>
      </w:r>
      <w:r w:rsidRPr="001F10D7">
        <w:rPr>
          <w:rStyle w:val="FootnoteReference"/>
          <w:rFonts w:ascii="Times New Roman" w:hAnsi="Times New Roman" w:cs="Times New Roman"/>
          <w:sz w:val="24"/>
          <w:szCs w:val="24"/>
          <w:lang w:val="en-US"/>
        </w:rPr>
        <w:footnoteReference w:id="208"/>
      </w:r>
    </w:p>
    <w:p w14:paraId="3B234590" w14:textId="77777777" w:rsidR="00FA76A2" w:rsidRPr="001F10D7" w:rsidRDefault="00FA76A2" w:rsidP="005D10A5">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Article 13 applies for as long as the proceedings in respect of the “corresponding measures” in </w:t>
      </w:r>
    </w:p>
    <w:p w14:paraId="53307E67" w14:textId="77777777" w:rsidR="00FA76A2" w:rsidRPr="001F10D7" w:rsidRDefault="00FA76A2" w:rsidP="005D10A5">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other Contracting State are still under consideration.</w:t>
      </w:r>
      <w:r w:rsidRPr="001F10D7">
        <w:rPr>
          <w:rStyle w:val="FootnoteReference"/>
          <w:rFonts w:ascii="Times New Roman" w:hAnsi="Times New Roman" w:cs="Times New Roman"/>
          <w:sz w:val="24"/>
          <w:szCs w:val="24"/>
          <w:lang w:val="en-US"/>
        </w:rPr>
        <w:footnoteReference w:id="209"/>
      </w:r>
    </w:p>
    <w:p w14:paraId="066E0E23" w14:textId="77777777" w:rsidR="00FA76A2" w:rsidRPr="001F10D7" w:rsidRDefault="00FA76A2" w:rsidP="005D10A5">
      <w:pPr>
        <w:spacing w:line="276" w:lineRule="auto"/>
        <w:jc w:val="both"/>
        <w:rPr>
          <w:rFonts w:ascii="Times New Roman" w:hAnsi="Times New Roman" w:cs="Times New Roman"/>
          <w:sz w:val="24"/>
          <w:szCs w:val="24"/>
          <w:lang w:val="en-US"/>
        </w:rPr>
      </w:pPr>
    </w:p>
    <w:p w14:paraId="47210A97"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case of </w:t>
      </w:r>
      <w:r w:rsidRPr="001F10D7">
        <w:rPr>
          <w:rFonts w:ascii="Times New Roman" w:hAnsi="Times New Roman" w:cs="Times New Roman"/>
          <w:b/>
          <w:bCs/>
          <w:i/>
          <w:iCs/>
          <w:sz w:val="24"/>
          <w:szCs w:val="24"/>
          <w:lang w:val="en-US"/>
        </w:rPr>
        <w:t>Re Y (A Minor) (Brussels II Revised: Jurisdiction After Article 15 Transfer)</w:t>
      </w:r>
      <w:r w:rsidRPr="001F10D7">
        <w:rPr>
          <w:rStyle w:val="FootnoteReference"/>
          <w:rFonts w:ascii="Times New Roman" w:hAnsi="Times New Roman" w:cs="Times New Roman"/>
          <w:b/>
          <w:bCs/>
          <w:sz w:val="24"/>
          <w:szCs w:val="24"/>
          <w:lang w:val="en-US"/>
        </w:rPr>
        <w:footnoteReference w:id="210"/>
      </w:r>
      <w:r w:rsidRPr="001F10D7">
        <w:rPr>
          <w:rFonts w:ascii="Times New Roman" w:hAnsi="Times New Roman" w:cs="Times New Roman"/>
          <w:sz w:val="24"/>
          <w:szCs w:val="24"/>
          <w:lang w:val="en-US"/>
        </w:rPr>
        <w:t xml:space="preserve"> concerned the </w:t>
      </w:r>
      <w:r w:rsidRPr="001F10D7">
        <w:rPr>
          <w:rFonts w:ascii="Times New Roman" w:hAnsi="Times New Roman" w:cs="Times New Roman"/>
          <w:i/>
          <w:iCs/>
          <w:sz w:val="24"/>
          <w:szCs w:val="24"/>
          <w:lang w:val="en-US"/>
        </w:rPr>
        <w:t>lis pendens</w:t>
      </w:r>
      <w:r w:rsidRPr="001F10D7">
        <w:rPr>
          <w:rFonts w:ascii="Times New Roman" w:hAnsi="Times New Roman" w:cs="Times New Roman"/>
          <w:sz w:val="24"/>
          <w:szCs w:val="24"/>
          <w:lang w:val="en-US"/>
        </w:rPr>
        <w:t xml:space="preserve"> provision of Art 13 as the court had to determine whether there were parallel proceedings pending in Hungary. The case was decided shortly after the end of the post-Brexit transitional period which meant that the earlier stage of the case involved also considerations related to the Brussels II</w:t>
      </w:r>
      <w:r w:rsidRPr="001F10D7">
        <w:rPr>
          <w:rFonts w:ascii="Times New Roman" w:hAnsi="Times New Roman" w:cs="Times New Roman"/>
          <w:i/>
          <w:iCs/>
          <w:sz w:val="24"/>
          <w:szCs w:val="24"/>
          <w:lang w:val="en-US"/>
        </w:rPr>
        <w:t xml:space="preserve">bis </w:t>
      </w:r>
      <w:r w:rsidRPr="001F10D7">
        <w:rPr>
          <w:rFonts w:ascii="Times New Roman" w:hAnsi="Times New Roman" w:cs="Times New Roman"/>
          <w:sz w:val="24"/>
          <w:szCs w:val="24"/>
          <w:lang w:val="en-US"/>
        </w:rPr>
        <w:t xml:space="preserve">Regulation. </w:t>
      </w:r>
    </w:p>
    <w:p w14:paraId="59A00D55"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Care proceedings had been validly transferred in 2019 to Hungary under the Brussels II</w:t>
      </w:r>
      <w:r w:rsidRPr="001F10D7">
        <w:rPr>
          <w:rFonts w:ascii="Times New Roman" w:hAnsi="Times New Roman" w:cs="Times New Roman"/>
          <w:i/>
          <w:iCs/>
          <w:sz w:val="24"/>
          <w:szCs w:val="24"/>
          <w:lang w:val="en-US"/>
        </w:rPr>
        <w:t xml:space="preserve">bis </w:t>
      </w:r>
      <w:r w:rsidRPr="001F10D7">
        <w:rPr>
          <w:rFonts w:ascii="Times New Roman" w:hAnsi="Times New Roman" w:cs="Times New Roman"/>
          <w:sz w:val="24"/>
          <w:szCs w:val="24"/>
          <w:lang w:val="en-US"/>
        </w:rPr>
        <w:t xml:space="preserve">Regulation, Art 15, and the Hungarian authorities had decided to place the child with her aunt there, but that placement had not occurred, and the child remained with foster carers and habitually resident in England. The local authority therefore initiated fresh care proceedings, which were combined with an application by the foster carers for special guardianship. The </w:t>
      </w:r>
      <w:r w:rsidRPr="001F10D7">
        <w:rPr>
          <w:rFonts w:ascii="Times New Roman" w:hAnsi="Times New Roman" w:cs="Times New Roman"/>
          <w:sz w:val="24"/>
          <w:szCs w:val="24"/>
          <w:lang w:val="en-US"/>
        </w:rPr>
        <w:lastRenderedPageBreak/>
        <w:t xml:space="preserve">question was whether the English court had jurisdiction to hear the case. If proceedings were pending in Hungary, the English court would not have jurisdiction. Therefore, in essence, the English court had to determine whether or not proceedings were underway in Hungary such as to justify a plea of </w:t>
      </w:r>
      <w:r w:rsidRPr="001F10D7">
        <w:rPr>
          <w:rFonts w:ascii="Times New Roman" w:hAnsi="Times New Roman" w:cs="Times New Roman"/>
          <w:i/>
          <w:iCs/>
          <w:sz w:val="24"/>
          <w:szCs w:val="24"/>
          <w:lang w:val="en-US"/>
        </w:rPr>
        <w:t>lis pendens</w:t>
      </w:r>
      <w:r w:rsidRPr="001F10D7">
        <w:rPr>
          <w:rFonts w:ascii="Times New Roman" w:hAnsi="Times New Roman" w:cs="Times New Roman"/>
          <w:sz w:val="24"/>
          <w:szCs w:val="24"/>
          <w:lang w:val="en-US"/>
        </w:rPr>
        <w:t>.</w:t>
      </w:r>
      <w:r w:rsidRPr="001F10D7">
        <w:rPr>
          <w:rStyle w:val="FootnoteReference"/>
          <w:rFonts w:ascii="Times New Roman" w:hAnsi="Times New Roman" w:cs="Times New Roman"/>
          <w:sz w:val="24"/>
          <w:szCs w:val="24"/>
          <w:lang w:val="en-US"/>
        </w:rPr>
        <w:footnoteReference w:id="211"/>
      </w:r>
      <w:r w:rsidRPr="001F10D7">
        <w:rPr>
          <w:rFonts w:ascii="Times New Roman" w:hAnsi="Times New Roman" w:cs="Times New Roman"/>
          <w:sz w:val="24"/>
          <w:szCs w:val="24"/>
          <w:lang w:val="en-US"/>
        </w:rPr>
        <w:t xml:space="preserve"> In the words of the court:</w:t>
      </w:r>
    </w:p>
    <w:p w14:paraId="6C2C64D8" w14:textId="77777777" w:rsidR="00FA76A2" w:rsidRPr="001F10D7" w:rsidRDefault="00FA76A2" w:rsidP="00FA76A2">
      <w:pPr>
        <w:spacing w:line="276" w:lineRule="auto"/>
        <w:jc w:val="both"/>
        <w:rPr>
          <w:rFonts w:ascii="Times New Roman" w:hAnsi="Times New Roman" w:cs="Times New Roman"/>
          <w:sz w:val="24"/>
          <w:szCs w:val="24"/>
          <w:lang w:val="en-US"/>
        </w:rPr>
      </w:pPr>
    </w:p>
    <w:p w14:paraId="7E25B30B"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“As discussed in greater detail below, if the proceedings in Hungary are ongoing, there may be an operable lis pendens, with the attendant impact on the possibility of this court appropriately exercising a contemporaneous jurisdiction in relation to Y. If, however, the proceedings in Hungary have concluded, the potential (there being no current application before the English courts) impediment, would derive instead from the provisions in relation to Recognition and Enforcement, as provided for, variously, by Chapter III, BIIa, and Chapter IV, Hague 1996, and general principles of comity.”</w:t>
      </w:r>
      <w:r w:rsidRPr="001F10D7">
        <w:rPr>
          <w:rStyle w:val="FootnoteReference"/>
          <w:rFonts w:ascii="Times New Roman" w:hAnsi="Times New Roman" w:cs="Times New Roman"/>
          <w:sz w:val="24"/>
          <w:szCs w:val="24"/>
          <w:lang w:val="en-US"/>
        </w:rPr>
        <w:footnoteReference w:id="212"/>
      </w:r>
    </w:p>
    <w:p w14:paraId="0752A183" w14:textId="77777777" w:rsidR="00FA76A2" w:rsidRPr="001F10D7" w:rsidRDefault="00FA76A2" w:rsidP="00FA76A2">
      <w:pPr>
        <w:spacing w:line="276" w:lineRule="auto"/>
        <w:jc w:val="both"/>
        <w:rPr>
          <w:rFonts w:ascii="Times New Roman" w:hAnsi="Times New Roman" w:cs="Times New Roman"/>
          <w:sz w:val="24"/>
          <w:szCs w:val="24"/>
          <w:lang w:val="en-US"/>
        </w:rPr>
      </w:pPr>
    </w:p>
    <w:p w14:paraId="080AE374"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court held that it would be wrong for the English court 18 months later to investigate whether the acceptance and transfer of jurisdiction had been valid. Nevertheless, it concluded that the proceedings that had been transferred to Hungary under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have been concluded and were not ongoing.</w:t>
      </w:r>
      <w:r w:rsidRPr="001F10D7">
        <w:rPr>
          <w:rStyle w:val="FootnoteReference"/>
          <w:rFonts w:ascii="Times New Roman" w:hAnsi="Times New Roman" w:cs="Times New Roman"/>
          <w:sz w:val="24"/>
          <w:szCs w:val="24"/>
          <w:lang w:val="en-US"/>
        </w:rPr>
        <w:footnoteReference w:id="213"/>
      </w:r>
      <w:r w:rsidRPr="001F10D7">
        <w:rPr>
          <w:rFonts w:ascii="Times New Roman" w:hAnsi="Times New Roman" w:cs="Times New Roman"/>
          <w:sz w:val="24"/>
          <w:szCs w:val="24"/>
          <w:lang w:val="en-US"/>
        </w:rPr>
        <w:t xml:space="preserve"> Moreover, the court concluded that “[t]he special guardianship application was a separate cause of action, involving different parties, indeed brought by applicants who had not been party to the original proceedings.”</w:t>
      </w:r>
      <w:r w:rsidRPr="001F10D7">
        <w:rPr>
          <w:rStyle w:val="FootnoteReference"/>
          <w:rFonts w:ascii="Times New Roman" w:hAnsi="Times New Roman" w:cs="Times New Roman"/>
          <w:sz w:val="24"/>
          <w:szCs w:val="24"/>
          <w:lang w:val="en-US"/>
        </w:rPr>
        <w:footnoteReference w:id="214"/>
      </w:r>
      <w:r w:rsidRPr="001F10D7">
        <w:rPr>
          <w:rFonts w:ascii="Times New Roman" w:hAnsi="Times New Roman" w:cs="Times New Roman"/>
          <w:sz w:val="24"/>
          <w:szCs w:val="24"/>
          <w:lang w:val="en-US"/>
        </w:rPr>
        <w:t xml:space="preserve"> As the case clearly related to matters of parental responsibility and involved a child undoubtedly habitually resident in England, the English court had jurisdiction to hear the application, pursuant to Art. 5 of the 1996 Convention. </w:t>
      </w:r>
    </w:p>
    <w:p w14:paraId="24C489D9" w14:textId="77777777" w:rsidR="00FA76A2" w:rsidRPr="001F10D7" w:rsidRDefault="00FA76A2" w:rsidP="00FA76A2">
      <w:pPr>
        <w:spacing w:line="276" w:lineRule="auto"/>
        <w:jc w:val="both"/>
        <w:rPr>
          <w:rFonts w:ascii="Times New Roman" w:hAnsi="Times New Roman" w:cs="Times New Roman"/>
          <w:sz w:val="24"/>
          <w:szCs w:val="24"/>
          <w:lang w:val="en-US"/>
        </w:rPr>
      </w:pPr>
    </w:p>
    <w:p w14:paraId="22E8FFDC"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u w:val="single"/>
          <w:lang w:val="en-US"/>
        </w:rPr>
        <w:t>Comment</w:t>
      </w:r>
      <w:r w:rsidRPr="001F10D7">
        <w:rPr>
          <w:rFonts w:ascii="Times New Roman" w:hAnsi="Times New Roman" w:cs="Times New Roman"/>
          <w:sz w:val="24"/>
          <w:szCs w:val="24"/>
          <w:lang w:val="en-US"/>
        </w:rPr>
        <w:t xml:space="preserve">: Although the court did not provide any legal guidance on the interpretation of the relevant provisions, the case was interesting </w:t>
      </w:r>
      <w:r w:rsidRPr="001F10D7">
        <w:rPr>
          <w:rFonts w:ascii="Times New Roman" w:hAnsi="Times New Roman" w:cs="Times New Roman"/>
          <w:i/>
          <w:iCs/>
          <w:sz w:val="24"/>
          <w:szCs w:val="24"/>
          <w:lang w:val="en-US"/>
        </w:rPr>
        <w:t>inter alia</w:t>
      </w:r>
      <w:r w:rsidRPr="001F10D7">
        <w:rPr>
          <w:rFonts w:ascii="Times New Roman" w:hAnsi="Times New Roman" w:cs="Times New Roman"/>
          <w:sz w:val="24"/>
          <w:szCs w:val="24"/>
          <w:lang w:val="en-US"/>
        </w:rPr>
        <w:t xml:space="preserve"> due to the interaction between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and the 1996 Convention following Brexit. Following Brexit, the UK courts could acquire jurisdiction in relation to this case relying on Art 5 of the 1996 Convention.</w:t>
      </w:r>
    </w:p>
    <w:p w14:paraId="5FAC4CF9" w14:textId="77777777" w:rsidR="00FA76A2" w:rsidRPr="001F10D7" w:rsidRDefault="00FA76A2" w:rsidP="00FA76A2">
      <w:pPr>
        <w:spacing w:line="276" w:lineRule="auto"/>
        <w:jc w:val="both"/>
        <w:rPr>
          <w:rFonts w:ascii="Times New Roman" w:hAnsi="Times New Roman" w:cs="Times New Roman"/>
          <w:sz w:val="24"/>
          <w:szCs w:val="24"/>
          <w:lang w:val="en-US"/>
        </w:rPr>
      </w:pPr>
    </w:p>
    <w:p w14:paraId="7011D32E"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case of </w:t>
      </w:r>
      <w:r w:rsidRPr="001F10D7">
        <w:rPr>
          <w:rFonts w:ascii="Times New Roman" w:hAnsi="Times New Roman" w:cs="Times New Roman"/>
          <w:b/>
          <w:bCs/>
          <w:i/>
          <w:iCs/>
          <w:sz w:val="24"/>
          <w:szCs w:val="24"/>
          <w:lang w:val="en-US"/>
        </w:rPr>
        <w:t>S (A Child)</w:t>
      </w:r>
      <w:r w:rsidRPr="001F10D7">
        <w:rPr>
          <w:rStyle w:val="FootnoteReference"/>
          <w:rFonts w:ascii="Times New Roman" w:hAnsi="Times New Roman" w:cs="Times New Roman"/>
          <w:sz w:val="24"/>
          <w:szCs w:val="24"/>
          <w:lang w:val="en-US"/>
        </w:rPr>
        <w:footnoteReference w:id="215"/>
      </w:r>
      <w:r w:rsidRPr="001F10D7">
        <w:rPr>
          <w:rFonts w:ascii="Times New Roman" w:hAnsi="Times New Roman" w:cs="Times New Roman"/>
          <w:sz w:val="24"/>
          <w:szCs w:val="24"/>
          <w:lang w:val="en-US"/>
        </w:rPr>
        <w:t xml:space="preserve"> was initially brought as a child abduction case, but this decision focused on parental responsibility rights. The mother sought an order that the child is placed in her care permanently, allowing the father and his family contact. There were previous legal proceedings in Portugal regarding the matter but their history and status were not clear.</w:t>
      </w:r>
      <w:r w:rsidRPr="001F10D7">
        <w:rPr>
          <w:rStyle w:val="FootnoteReference"/>
          <w:rFonts w:ascii="Times New Roman" w:hAnsi="Times New Roman" w:cs="Times New Roman"/>
          <w:sz w:val="24"/>
          <w:szCs w:val="24"/>
          <w:lang w:val="en-US"/>
        </w:rPr>
        <w:footnoteReference w:id="216"/>
      </w:r>
    </w:p>
    <w:p w14:paraId="76DF8D09"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lastRenderedPageBreak/>
        <w:t xml:space="preserve">Article 13 of the 1996 Convention was considered by the court in depth. The main finding of the court was that the Article’s critical words are “and are still under consideration.” Accordingly, the judge found that the </w:t>
      </w:r>
      <w:r w:rsidRPr="001F10D7">
        <w:rPr>
          <w:rFonts w:ascii="Times New Roman" w:hAnsi="Times New Roman" w:cs="Times New Roman"/>
          <w:i/>
          <w:iCs/>
          <w:sz w:val="24"/>
          <w:szCs w:val="24"/>
          <w:lang w:val="en-US"/>
        </w:rPr>
        <w:t>lis pendens</w:t>
      </w:r>
      <w:r w:rsidRPr="001F10D7">
        <w:rPr>
          <w:rFonts w:ascii="Times New Roman" w:hAnsi="Times New Roman" w:cs="Times New Roman"/>
          <w:sz w:val="24"/>
          <w:szCs w:val="24"/>
          <w:lang w:val="en-US"/>
        </w:rPr>
        <w:t xml:space="preserve"> provision only applies where the contracting state (Portugal) is actively (emphasis added) considering the application. If interpreted differently, Art 13 might result in a situation where “no action is being taken at all, yet the contracting state, despite its own inaction, retains jurisdiction indefinitely.”</w:t>
      </w:r>
      <w:r w:rsidRPr="001F10D7">
        <w:rPr>
          <w:rStyle w:val="FootnoteReference"/>
          <w:rFonts w:ascii="Times New Roman" w:hAnsi="Times New Roman" w:cs="Times New Roman"/>
          <w:sz w:val="24"/>
          <w:szCs w:val="24"/>
          <w:lang w:val="en-US"/>
        </w:rPr>
        <w:footnoteReference w:id="217"/>
      </w:r>
      <w:r w:rsidRPr="001F10D7">
        <w:rPr>
          <w:rFonts w:ascii="Times New Roman" w:hAnsi="Times New Roman" w:cs="Times New Roman"/>
          <w:sz w:val="24"/>
          <w:szCs w:val="24"/>
          <w:lang w:val="en-US"/>
        </w:rPr>
        <w:t xml:space="preserve"> </w:t>
      </w:r>
    </w:p>
    <w:p w14:paraId="21611DC7"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court distinguished Art 13 of the 1996 Convention from Art 19 of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w:t>
      </w:r>
      <w:r w:rsidRPr="001F10D7">
        <w:rPr>
          <w:rStyle w:val="FootnoteReference"/>
          <w:rFonts w:ascii="Times New Roman" w:hAnsi="Times New Roman" w:cs="Times New Roman"/>
          <w:sz w:val="24"/>
          <w:szCs w:val="24"/>
          <w:lang w:val="en-US"/>
        </w:rPr>
        <w:footnoteReference w:id="218"/>
      </w:r>
    </w:p>
    <w:p w14:paraId="58AF3770" w14:textId="77777777" w:rsidR="00FA76A2" w:rsidRPr="001F10D7" w:rsidRDefault="00FA76A2" w:rsidP="00FA76A2">
      <w:pPr>
        <w:spacing w:line="276" w:lineRule="auto"/>
        <w:rPr>
          <w:rStyle w:val="IntenseEmphasis"/>
          <w:rFonts w:ascii="Times New Roman" w:hAnsi="Times New Roman" w:cs="Times New Roman"/>
          <w:b/>
          <w:bCs/>
          <w:sz w:val="24"/>
          <w:szCs w:val="24"/>
          <w:lang w:val="en-US"/>
        </w:rPr>
      </w:pPr>
      <w:r w:rsidRPr="001F10D7">
        <w:rPr>
          <w:rStyle w:val="IntenseEmphasis"/>
          <w:rFonts w:ascii="Times New Roman" w:hAnsi="Times New Roman" w:cs="Times New Roman"/>
          <w:b/>
          <w:bCs/>
          <w:sz w:val="24"/>
          <w:szCs w:val="24"/>
          <w:lang w:val="en-US"/>
        </w:rPr>
        <w:t>Applicable law</w:t>
      </w:r>
    </w:p>
    <w:p w14:paraId="62D8C1CC" w14:textId="77777777" w:rsidR="00FA76A2" w:rsidRPr="001F10D7" w:rsidRDefault="00FA76A2" w:rsidP="00FA76A2">
      <w:pPr>
        <w:spacing w:line="276" w:lineRule="auto"/>
        <w:rPr>
          <w:rFonts w:ascii="Times New Roman" w:hAnsi="Times New Roman" w:cs="Times New Roman"/>
          <w:i/>
          <w:iCs/>
          <w:sz w:val="24"/>
          <w:szCs w:val="24"/>
          <w:u w:val="single"/>
          <w:lang w:val="en-US"/>
        </w:rPr>
      </w:pPr>
      <w:r w:rsidRPr="001F10D7">
        <w:rPr>
          <w:rFonts w:ascii="Times New Roman" w:hAnsi="Times New Roman" w:cs="Times New Roman"/>
          <w:i/>
          <w:iCs/>
          <w:sz w:val="24"/>
          <w:szCs w:val="24"/>
          <w:u w:val="single"/>
          <w:lang w:val="en-US"/>
        </w:rPr>
        <w:t>Refusal of the application of the law designated by the Convention - Article 22</w:t>
      </w:r>
    </w:p>
    <w:p w14:paraId="10150677"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rPr>
        <w:t xml:space="preserve">Article 22 </w:t>
      </w:r>
      <w:r w:rsidRPr="001F10D7">
        <w:rPr>
          <w:rFonts w:ascii="Times New Roman" w:hAnsi="Times New Roman" w:cs="Times New Roman"/>
          <w:sz w:val="24"/>
          <w:szCs w:val="24"/>
          <w:lang w:val="en-US"/>
        </w:rPr>
        <w:t>states that ‘[t]</w:t>
      </w:r>
      <w:r w:rsidRPr="001F10D7">
        <w:rPr>
          <w:rFonts w:ascii="Times New Roman" w:hAnsi="Times New Roman" w:cs="Times New Roman"/>
          <w:sz w:val="24"/>
          <w:szCs w:val="24"/>
        </w:rPr>
        <w:t>he application of the law designated by the provisions of this Chapter can be refused only if this application would be manifestly contrary to public policy, taking into account the best interests of the child.</w:t>
      </w:r>
      <w:r w:rsidRPr="001F10D7">
        <w:rPr>
          <w:rFonts w:ascii="Times New Roman" w:hAnsi="Times New Roman" w:cs="Times New Roman"/>
          <w:sz w:val="24"/>
          <w:szCs w:val="24"/>
          <w:lang w:val="en-US"/>
        </w:rPr>
        <w:t>’</w:t>
      </w:r>
    </w:p>
    <w:p w14:paraId="20392E94"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In the case of </w:t>
      </w:r>
      <w:r w:rsidRPr="001F10D7">
        <w:rPr>
          <w:rFonts w:ascii="Times New Roman" w:hAnsi="Times New Roman" w:cs="Times New Roman"/>
          <w:b/>
          <w:bCs/>
          <w:i/>
          <w:iCs/>
          <w:sz w:val="24"/>
          <w:szCs w:val="24"/>
          <w:lang w:val="en-US"/>
        </w:rPr>
        <w:t>Secretary of State for the Home Department v GA</w:t>
      </w:r>
      <w:r w:rsidRPr="001F10D7">
        <w:rPr>
          <w:rStyle w:val="FootnoteReference"/>
          <w:rFonts w:ascii="Times New Roman" w:hAnsi="Times New Roman" w:cs="Times New Roman"/>
          <w:sz w:val="24"/>
          <w:szCs w:val="24"/>
          <w:lang w:val="en-US"/>
        </w:rPr>
        <w:footnoteReference w:id="219"/>
      </w:r>
      <w:r w:rsidRPr="001F10D7">
        <w:rPr>
          <w:rFonts w:ascii="Times New Roman" w:hAnsi="Times New Roman" w:cs="Times New Roman"/>
          <w:sz w:val="24"/>
          <w:szCs w:val="24"/>
          <w:lang w:val="en-US"/>
        </w:rPr>
        <w:t>, the Secretary of State appealed against a decision to grant judicial review of a refusal by Her Majesty's Passport Office (HMPO) to accept a mother's applications for British passports for her children.</w:t>
      </w:r>
    </w:p>
    <w:p w14:paraId="4CBCB237"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mother and children were British citizens who lived in "Country X". The mother applied for British passports for the children. HMPO refused to accept the applications because it required them to be supported by evidence of the consent of a person with parental responsibility under the law of Country X. It considered that person to be the children's father alone. However, the father had been arrested after he had engaged in serious domestic abuse of the mother. It was therefore unsafe or impossible for the mother to obtain his consent. An Administrative Court judge quashed HMPO's decision. He held that the Secretary of State could properly decide that questions of parental responsibility arising in connection with passport applications should be decided in accordance with the 1996 Convention. Article 16 provided that attribution of parental responsibility was governed by the law of the state of a child's habitual residence. Article 22 provided that application of the applicable law provisions of the Convention could only be refused if such application would be manifestly contrary to public policy, taking into account the child's best interests. The judge held that HMPO's assessment that the mother lacked authority to apply for British passports was not rationally sustainable on the evidence. If that was wrong and the father did have sole parental responsibility under the law of Country X, he held that HMPO was required to apply Art.22 when it applied Art.16: that applying the law of Country X in the instant case would be manifestly contrary to public policy within Art.22, taking into account the children's best interests; and that applying the law of Country X would involve unjustifiable sex discrimination, breaching ECHR Art.14 read with Art.8.</w:t>
      </w:r>
    </w:p>
    <w:p w14:paraId="7E0DC8A2" w14:textId="07625538" w:rsidR="00FA76A2" w:rsidRPr="005D10A5" w:rsidRDefault="00FA76A2" w:rsidP="00FA76A2">
      <w:pPr>
        <w:spacing w:line="276" w:lineRule="auto"/>
        <w:jc w:val="both"/>
        <w:rPr>
          <w:rStyle w:val="IntenseEmphasis"/>
          <w:b/>
          <w:bCs/>
          <w:lang w:val="en-US"/>
        </w:rPr>
      </w:pPr>
      <w:r w:rsidRPr="005D10A5">
        <w:rPr>
          <w:rStyle w:val="IntenseEmphasis"/>
          <w:b/>
          <w:bCs/>
        </w:rPr>
        <w:t>Recognition and enforcement</w:t>
      </w:r>
    </w:p>
    <w:p w14:paraId="5F6F68E1" w14:textId="77777777" w:rsidR="00FA76A2" w:rsidRPr="001F10D7" w:rsidRDefault="00FA76A2" w:rsidP="00FA76A2">
      <w:pPr>
        <w:spacing w:line="276" w:lineRule="auto"/>
        <w:rPr>
          <w:rFonts w:ascii="Times New Roman" w:hAnsi="Times New Roman" w:cs="Times New Roman"/>
          <w:i/>
          <w:iCs/>
          <w:sz w:val="24"/>
          <w:szCs w:val="24"/>
          <w:u w:val="single"/>
          <w:lang w:val="en-US"/>
        </w:rPr>
      </w:pPr>
      <w:r w:rsidRPr="001F10D7">
        <w:rPr>
          <w:rFonts w:ascii="Times New Roman" w:hAnsi="Times New Roman" w:cs="Times New Roman"/>
          <w:i/>
          <w:iCs/>
          <w:sz w:val="24"/>
          <w:szCs w:val="24"/>
          <w:u w:val="single"/>
          <w:lang w:val="en-US"/>
        </w:rPr>
        <w:lastRenderedPageBreak/>
        <w:t xml:space="preserve">Refusal to recognise an order on the basis of public policy (Article 23) </w:t>
      </w:r>
    </w:p>
    <w:p w14:paraId="2F40E17C"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In </w:t>
      </w:r>
      <w:r w:rsidRPr="001F10D7">
        <w:rPr>
          <w:rFonts w:ascii="Times New Roman" w:hAnsi="Times New Roman" w:cs="Times New Roman"/>
          <w:b/>
          <w:bCs/>
          <w:i/>
          <w:iCs/>
          <w:sz w:val="24"/>
          <w:szCs w:val="24"/>
          <w:lang w:val="en-US"/>
        </w:rPr>
        <w:t>X (Children)</w:t>
      </w:r>
      <w:r w:rsidRPr="001F10D7">
        <w:rPr>
          <w:rStyle w:val="FootnoteReference"/>
          <w:rFonts w:ascii="Times New Roman" w:hAnsi="Times New Roman" w:cs="Times New Roman"/>
          <w:b/>
          <w:bCs/>
          <w:i/>
          <w:iCs/>
          <w:sz w:val="24"/>
          <w:szCs w:val="24"/>
          <w:lang w:val="en-US"/>
        </w:rPr>
        <w:footnoteReference w:id="220"/>
      </w:r>
      <w:r w:rsidRPr="001F10D7">
        <w:rPr>
          <w:rFonts w:ascii="Times New Roman" w:hAnsi="Times New Roman" w:cs="Times New Roman"/>
          <w:sz w:val="24"/>
          <w:szCs w:val="24"/>
          <w:lang w:val="en-US"/>
        </w:rPr>
        <w:t xml:space="preserve">, the mother and father were involved in longstanding proceedings concerning the shared parental responsibility of their children. In November 2020, the father applied for various parental responsibility orders under the Children Act 1989. A few months later, the mother applied for the granting of equal parental responsibility orders in the Russian courts. Once the mother was successful in obtaining an order from the Russian courts, she sought to recognise and enforce it in the UK under the 1996 Hague Convention. The father protested recognition and enforcement of all orders. In respect of an order permitting the children returning to Russia in the wake of the Russian invasion in Ukraine, the father specifically argued </w:t>
      </w:r>
      <w:r w:rsidRPr="001F10D7">
        <w:rPr>
          <w:rFonts w:ascii="Times New Roman" w:hAnsi="Times New Roman" w:cs="Times New Roman"/>
          <w:i/>
          <w:iCs/>
          <w:sz w:val="24"/>
          <w:szCs w:val="24"/>
          <w:lang w:val="en-US"/>
        </w:rPr>
        <w:t xml:space="preserve">inter alia, </w:t>
      </w:r>
      <w:r w:rsidRPr="001F10D7">
        <w:rPr>
          <w:rFonts w:ascii="Times New Roman" w:hAnsi="Times New Roman" w:cs="Times New Roman"/>
          <w:sz w:val="24"/>
          <w:szCs w:val="24"/>
          <w:lang w:val="en-US"/>
        </w:rPr>
        <w:t xml:space="preserve">that the order could not be recognised pursuant to Article 23(2)(d); ‘recognition would be contrary to public policy of the requested State, taking into account the best interests of the child.’ The father’s argument was that if the children returned to Russia, he would not be able to remain in contact because the mother would prevent his contact with the children, or she would obtain orders from the Russian courts to that effect. </w:t>
      </w:r>
    </w:p>
    <w:p w14:paraId="67171EFF" w14:textId="77777777" w:rsidR="00FA76A2" w:rsidRPr="001F10D7" w:rsidRDefault="00FA76A2" w:rsidP="00FA76A2">
      <w:pPr>
        <w:spacing w:line="276" w:lineRule="auto"/>
        <w:jc w:val="both"/>
        <w:rPr>
          <w:rFonts w:ascii="Times New Roman" w:hAnsi="Times New Roman" w:cs="Times New Roman"/>
          <w:sz w:val="24"/>
          <w:szCs w:val="24"/>
          <w:lang w:val="en-US"/>
        </w:rPr>
      </w:pPr>
    </w:p>
    <w:p w14:paraId="7D0D0B61"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The judge decided that the ‘high threshold’ of Article 23 of the 1996 Convention had not been achieved. The court’s reasoning was premised on two findings; firstly, the father and children were found to have been able to make their case in the Russian courts at the time of granting the parental orders to the mother and secondly, the judge saw ‘no reason’ why the father would not be able to ‘argue his case’ in Russia in case of further proceedings there. </w:t>
      </w:r>
    </w:p>
    <w:p w14:paraId="787A73E8" w14:textId="77777777" w:rsidR="00FA76A2" w:rsidRPr="001F10D7" w:rsidRDefault="00FA76A2" w:rsidP="00FA76A2">
      <w:pPr>
        <w:spacing w:line="276" w:lineRule="auto"/>
        <w:jc w:val="both"/>
        <w:rPr>
          <w:rFonts w:ascii="Times New Roman" w:hAnsi="Times New Roman" w:cs="Times New Roman"/>
          <w:sz w:val="24"/>
          <w:szCs w:val="24"/>
          <w:lang w:val="en-US"/>
        </w:rPr>
      </w:pPr>
    </w:p>
    <w:p w14:paraId="0CBD8C3C"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Crossing the public policy threshold would require the foreign order to be ‘manifestly contrary to public policy.’ The word ‘manifestly’ is of particular importance’ construction of ‘manifestly’ has been shown in case law to be an extraordinarily high threshold that is achieved in extraordinary circumstances only. Our research has not shown any case where a foreign parental order was not recognised and enforced on the basis of public policy under Article 23 of the 1996 Convention. </w:t>
      </w:r>
    </w:p>
    <w:p w14:paraId="014F60F2" w14:textId="77777777" w:rsidR="00FA76A2" w:rsidRPr="005D2315" w:rsidRDefault="00FA76A2" w:rsidP="00FA76A2">
      <w:pPr>
        <w:spacing w:line="276" w:lineRule="auto"/>
        <w:jc w:val="both"/>
        <w:rPr>
          <w:rStyle w:val="IntenseEmphasis"/>
          <w:b/>
          <w:bCs/>
        </w:rPr>
      </w:pPr>
      <w:r w:rsidRPr="005D2315">
        <w:rPr>
          <w:rStyle w:val="IntenseEmphasis"/>
          <w:rFonts w:hint="cs"/>
          <w:b/>
          <w:bCs/>
        </w:rPr>
        <w:t xml:space="preserve">Judicial collaboration under Chapter V </w:t>
      </w:r>
    </w:p>
    <w:p w14:paraId="002C9B3E"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 xml:space="preserve">In the case of </w:t>
      </w:r>
      <w:r w:rsidRPr="001F10D7">
        <w:rPr>
          <w:rFonts w:ascii="Times New Roman" w:hAnsi="Times New Roman" w:cs="Times New Roman"/>
          <w:i/>
          <w:iCs/>
          <w:sz w:val="24"/>
          <w:szCs w:val="24"/>
          <w:lang w:val="en-US"/>
        </w:rPr>
        <w:t>D (Care Proceedings: 1996 Hague Convention: Article 9 Request)</w:t>
      </w:r>
      <w:r w:rsidRPr="001F10D7">
        <w:rPr>
          <w:rStyle w:val="FootnoteReference"/>
          <w:rFonts w:ascii="Times New Roman" w:hAnsi="Times New Roman" w:cs="Times New Roman"/>
          <w:i/>
          <w:iCs/>
          <w:sz w:val="24"/>
          <w:szCs w:val="24"/>
          <w:lang w:val="en-US"/>
        </w:rPr>
        <w:footnoteReference w:id="221"/>
      </w:r>
      <w:r w:rsidRPr="001F10D7">
        <w:rPr>
          <w:rFonts w:ascii="Times New Roman" w:hAnsi="Times New Roman" w:cs="Times New Roman"/>
          <w:sz w:val="24"/>
          <w:szCs w:val="24"/>
          <w:lang w:val="en-US"/>
        </w:rPr>
        <w:t>, the court made note of Chapter V of the 1996 Convention. In this context, the court invited the English local authority to identify ‘matters upon which it might provide additional assistance to the Swiss authorities and issues which the Swiss authorities and/or might seek to address in respect of D's welfare.’</w:t>
      </w:r>
      <w:r w:rsidRPr="001F10D7">
        <w:rPr>
          <w:rStyle w:val="FootnoteReference"/>
          <w:rFonts w:ascii="Times New Roman" w:hAnsi="Times New Roman" w:cs="Times New Roman"/>
          <w:sz w:val="24"/>
          <w:szCs w:val="24"/>
          <w:lang w:val="en-US"/>
        </w:rPr>
        <w:footnoteReference w:id="222"/>
      </w:r>
      <w:r w:rsidRPr="001F10D7">
        <w:rPr>
          <w:rFonts w:ascii="Times New Roman" w:hAnsi="Times New Roman" w:cs="Times New Roman"/>
          <w:sz w:val="24"/>
          <w:szCs w:val="24"/>
          <w:lang w:val="en-US"/>
        </w:rPr>
        <w:t xml:space="preserve"> The court found that the English local authority was under ‘positive obligations’ to facilitate the introduction between the parents of either child and the Swiss authorities with an ultimate aim of exploring contact between the children. The court also found that the English authority should provide all necessary information to the Swiss authority. The </w:t>
      </w:r>
      <w:r w:rsidRPr="001F10D7">
        <w:rPr>
          <w:rFonts w:ascii="Times New Roman" w:hAnsi="Times New Roman" w:cs="Times New Roman"/>
          <w:sz w:val="24"/>
          <w:szCs w:val="24"/>
          <w:lang w:val="en-US"/>
        </w:rPr>
        <w:lastRenderedPageBreak/>
        <w:t xml:space="preserve">court also found positive obligations upon itself under Chapter V of the 1996 Convention, which included disclosing the proceedings to the Swiss authority and Swiss courts. </w:t>
      </w:r>
    </w:p>
    <w:p w14:paraId="68F1302D" w14:textId="77777777" w:rsidR="00FA76A2" w:rsidRPr="001F10D7" w:rsidRDefault="00FA76A2" w:rsidP="00FA76A2">
      <w:pPr>
        <w:spacing w:line="276" w:lineRule="auto"/>
        <w:jc w:val="both"/>
        <w:rPr>
          <w:rFonts w:ascii="Times New Roman" w:hAnsi="Times New Roman" w:cs="Times New Roman"/>
          <w:sz w:val="24"/>
          <w:szCs w:val="24"/>
          <w:lang w:val="en-US"/>
        </w:rPr>
      </w:pPr>
      <w:r w:rsidRPr="001F10D7">
        <w:rPr>
          <w:rFonts w:ascii="Times New Roman" w:hAnsi="Times New Roman" w:cs="Times New Roman"/>
          <w:sz w:val="24"/>
          <w:szCs w:val="24"/>
          <w:lang w:val="en-US"/>
        </w:rPr>
        <w:t>The court did not go so far as to find positive obligations on the Swiss authority or courts but ‘respectfully suggested’ that they take a series of steps to address certain matters in relation to the concerned children.</w:t>
      </w:r>
      <w:r w:rsidRPr="001F10D7">
        <w:rPr>
          <w:rStyle w:val="FootnoteReference"/>
          <w:rFonts w:ascii="Times New Roman" w:hAnsi="Times New Roman" w:cs="Times New Roman"/>
          <w:sz w:val="24"/>
          <w:szCs w:val="24"/>
          <w:lang w:val="en-US"/>
        </w:rPr>
        <w:footnoteReference w:id="223"/>
      </w:r>
      <w:r w:rsidRPr="001F10D7">
        <w:rPr>
          <w:rFonts w:ascii="Times New Roman" w:hAnsi="Times New Roman" w:cs="Times New Roman"/>
          <w:sz w:val="24"/>
          <w:szCs w:val="24"/>
          <w:lang w:val="en-US"/>
        </w:rPr>
        <w:t xml:space="preserve"> The case is an example of actions UK courts might take to facilitate judicial cooperation in the context of Chapter V of the 1996 Convention. </w:t>
      </w:r>
    </w:p>
    <w:p w14:paraId="79EF9A11" w14:textId="77777777" w:rsidR="00FA76A2" w:rsidRPr="005D2315" w:rsidRDefault="00FA76A2" w:rsidP="00FA76A2">
      <w:pPr>
        <w:spacing w:line="276" w:lineRule="auto"/>
        <w:jc w:val="both"/>
        <w:rPr>
          <w:rStyle w:val="IntenseEmphasis"/>
          <w:b/>
          <w:bCs/>
        </w:rPr>
      </w:pPr>
      <w:r w:rsidRPr="005D2315">
        <w:rPr>
          <w:rStyle w:val="IntenseEmphasis"/>
          <w:rFonts w:hint="cs"/>
          <w:b/>
          <w:bCs/>
        </w:rPr>
        <w:t>Conclusion</w:t>
      </w:r>
    </w:p>
    <w:p w14:paraId="42E5C8D1" w14:textId="77777777" w:rsidR="00FA76A2" w:rsidRPr="001F10D7" w:rsidRDefault="00FA76A2" w:rsidP="00FA76A2">
      <w:pPr>
        <w:spacing w:line="276" w:lineRule="auto"/>
        <w:jc w:val="both"/>
        <w:rPr>
          <w:rFonts w:ascii="Times New Roman" w:hAnsi="Times New Roman" w:cs="Times New Roman"/>
          <w:b/>
          <w:bCs/>
          <w:sz w:val="24"/>
          <w:szCs w:val="24"/>
          <w:lang w:val="en-US"/>
        </w:rPr>
      </w:pPr>
      <w:r w:rsidRPr="001F10D7">
        <w:rPr>
          <w:rFonts w:ascii="Times New Roman" w:hAnsi="Times New Roman" w:cs="Times New Roman"/>
          <w:sz w:val="24"/>
          <w:szCs w:val="24"/>
          <w:lang w:val="en-US"/>
        </w:rPr>
        <w:t>It might be too early to declare conclusively, however there was no ‘cliff-edge’ post Brexit and the disapplication of the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Regulation. This is largely due to the degree of similarity of the 1996 Convention and its equivalent provisions in Brussels II</w:t>
      </w:r>
      <w:r w:rsidRPr="001F10D7">
        <w:rPr>
          <w:rFonts w:ascii="Times New Roman" w:hAnsi="Times New Roman" w:cs="Times New Roman"/>
          <w:i/>
          <w:iCs/>
          <w:sz w:val="24"/>
          <w:szCs w:val="24"/>
          <w:lang w:val="en-US"/>
        </w:rPr>
        <w:t>bis</w:t>
      </w:r>
      <w:r w:rsidRPr="001F10D7">
        <w:rPr>
          <w:rFonts w:ascii="Times New Roman" w:hAnsi="Times New Roman" w:cs="Times New Roman"/>
          <w:sz w:val="24"/>
          <w:szCs w:val="24"/>
          <w:lang w:val="en-US"/>
        </w:rPr>
        <w:t xml:space="preserve">. The UK courts are experienced in applying both instruments and were successful in noting their differentiations. </w:t>
      </w:r>
    </w:p>
    <w:p w14:paraId="0455DDA9" w14:textId="77777777" w:rsidR="00FA76A2" w:rsidRPr="001F10D7" w:rsidRDefault="00FA76A2" w:rsidP="00FA76A2">
      <w:pPr>
        <w:spacing w:line="276" w:lineRule="auto"/>
        <w:jc w:val="both"/>
        <w:rPr>
          <w:rFonts w:ascii="Times New Roman" w:hAnsi="Times New Roman" w:cs="Times New Roman"/>
          <w:sz w:val="24"/>
          <w:szCs w:val="24"/>
          <w:lang w:val="en-US"/>
        </w:rPr>
      </w:pPr>
    </w:p>
    <w:p w14:paraId="6D2546CD" w14:textId="77777777" w:rsidR="00FA76A2" w:rsidRPr="001F10D7" w:rsidRDefault="00FA76A2" w:rsidP="00FA76A2">
      <w:pPr>
        <w:spacing w:line="276" w:lineRule="auto"/>
        <w:jc w:val="both"/>
        <w:rPr>
          <w:rFonts w:ascii="Times New Roman" w:hAnsi="Times New Roman" w:cs="Times New Roman"/>
          <w:sz w:val="24"/>
          <w:szCs w:val="24"/>
          <w:lang w:val="en-US"/>
        </w:rPr>
      </w:pPr>
    </w:p>
    <w:p w14:paraId="4A1A1F55" w14:textId="77777777" w:rsidR="00FA76A2" w:rsidRPr="001F10D7" w:rsidRDefault="00FA76A2" w:rsidP="00FA76A2">
      <w:pPr>
        <w:spacing w:line="276" w:lineRule="auto"/>
        <w:jc w:val="both"/>
        <w:rPr>
          <w:rFonts w:ascii="Times New Roman" w:hAnsi="Times New Roman" w:cs="Times New Roman"/>
          <w:sz w:val="24"/>
          <w:szCs w:val="24"/>
          <w:lang w:val="en-US"/>
        </w:rPr>
      </w:pPr>
    </w:p>
    <w:p w14:paraId="6730D944" w14:textId="77777777" w:rsidR="00FA76A2" w:rsidRPr="001F10D7" w:rsidRDefault="00FA76A2" w:rsidP="00FA76A2">
      <w:pPr>
        <w:spacing w:line="276" w:lineRule="auto"/>
        <w:rPr>
          <w:rFonts w:ascii="Times New Roman" w:hAnsi="Times New Roman" w:cs="Times New Roman"/>
          <w:sz w:val="24"/>
          <w:szCs w:val="24"/>
          <w:lang w:val="en-US"/>
        </w:rPr>
      </w:pPr>
    </w:p>
    <w:p w14:paraId="28389E2D" w14:textId="77777777" w:rsidR="00544A2E" w:rsidRPr="00F934F9" w:rsidRDefault="00544A2E" w:rsidP="00F934F9">
      <w:pPr>
        <w:jc w:val="both"/>
        <w:rPr>
          <w:rFonts w:ascii="Times New Roman" w:hAnsi="Times New Roman" w:cs="Times New Roman"/>
          <w:sz w:val="24"/>
          <w:szCs w:val="24"/>
        </w:rPr>
      </w:pPr>
    </w:p>
    <w:p w14:paraId="1F18DD12" w14:textId="77777777" w:rsidR="00544A2E" w:rsidRPr="00F934F9" w:rsidRDefault="00544A2E" w:rsidP="00F934F9">
      <w:pPr>
        <w:jc w:val="both"/>
        <w:rPr>
          <w:rFonts w:ascii="Times New Roman" w:hAnsi="Times New Roman" w:cs="Times New Roman"/>
          <w:sz w:val="24"/>
          <w:szCs w:val="24"/>
        </w:rPr>
      </w:pPr>
    </w:p>
    <w:p w14:paraId="45D97824" w14:textId="77777777" w:rsidR="000359C5" w:rsidRPr="00F934F9" w:rsidRDefault="000359C5" w:rsidP="00F934F9">
      <w:pPr>
        <w:spacing w:line="276" w:lineRule="auto"/>
        <w:jc w:val="both"/>
        <w:rPr>
          <w:rStyle w:val="IntenseEmphasis"/>
          <w:rFonts w:ascii="Times New Roman" w:hAnsi="Times New Roman" w:cs="Times New Roman"/>
          <w:sz w:val="24"/>
          <w:szCs w:val="24"/>
        </w:rPr>
      </w:pPr>
    </w:p>
    <w:p w14:paraId="1058C522" w14:textId="77777777" w:rsidR="003503D5" w:rsidRPr="00F934F9" w:rsidRDefault="003503D5" w:rsidP="00F934F9">
      <w:pPr>
        <w:spacing w:line="276" w:lineRule="auto"/>
        <w:jc w:val="both"/>
        <w:rPr>
          <w:rFonts w:ascii="Times New Roman" w:hAnsi="Times New Roman" w:cs="Times New Roman"/>
          <w:sz w:val="24"/>
          <w:szCs w:val="24"/>
        </w:rPr>
      </w:pPr>
    </w:p>
    <w:sectPr w:rsidR="003503D5" w:rsidRPr="00F934F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44600" w14:textId="77777777" w:rsidR="00E8309C" w:rsidRDefault="00E8309C" w:rsidP="00020CE8">
      <w:pPr>
        <w:spacing w:after="0" w:line="240" w:lineRule="auto"/>
      </w:pPr>
      <w:r>
        <w:separator/>
      </w:r>
    </w:p>
  </w:endnote>
  <w:endnote w:type="continuationSeparator" w:id="0">
    <w:p w14:paraId="0918756D" w14:textId="77777777" w:rsidR="00E8309C" w:rsidRDefault="00E8309C" w:rsidP="0002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978312"/>
      <w:docPartObj>
        <w:docPartGallery w:val="Page Numbers (Bottom of Page)"/>
        <w:docPartUnique/>
      </w:docPartObj>
    </w:sdtPr>
    <w:sdtEndPr>
      <w:rPr>
        <w:noProof/>
      </w:rPr>
    </w:sdtEndPr>
    <w:sdtContent>
      <w:p w14:paraId="26984839" w14:textId="79CDF409" w:rsidR="00A92C2F" w:rsidRDefault="00A92C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7F35DE" w14:textId="77777777" w:rsidR="00A92C2F" w:rsidRDefault="00A92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FDD49" w14:textId="77777777" w:rsidR="00E8309C" w:rsidRDefault="00E8309C" w:rsidP="00020CE8">
      <w:pPr>
        <w:spacing w:after="0" w:line="240" w:lineRule="auto"/>
      </w:pPr>
      <w:r>
        <w:separator/>
      </w:r>
    </w:p>
  </w:footnote>
  <w:footnote w:type="continuationSeparator" w:id="0">
    <w:p w14:paraId="36DCE367" w14:textId="77777777" w:rsidR="00E8309C" w:rsidRDefault="00E8309C" w:rsidP="00020CE8">
      <w:pPr>
        <w:spacing w:after="0" w:line="240" w:lineRule="auto"/>
      </w:pPr>
      <w:r>
        <w:continuationSeparator/>
      </w:r>
    </w:p>
  </w:footnote>
  <w:footnote w:id="1">
    <w:p w14:paraId="4CCA0641"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Case C-523/07, </w:t>
      </w:r>
      <w:r w:rsidRPr="00F934F9">
        <w:rPr>
          <w:rFonts w:ascii="Times New Roman" w:hAnsi="Times New Roman" w:cs="Times New Roman"/>
          <w:i/>
          <w:iCs/>
        </w:rPr>
        <w:t>Proceedings Brought by A</w:t>
      </w:r>
      <w:r w:rsidRPr="00F934F9">
        <w:rPr>
          <w:rFonts w:ascii="Times New Roman" w:hAnsi="Times New Roman" w:cs="Times New Roman"/>
        </w:rPr>
        <w:t xml:space="preserve"> [2009] ECR I-02805; and C-497/10 PPU </w:t>
      </w:r>
      <w:r w:rsidRPr="00F934F9">
        <w:rPr>
          <w:rFonts w:ascii="Times New Roman" w:hAnsi="Times New Roman" w:cs="Times New Roman"/>
          <w:i/>
          <w:iCs/>
        </w:rPr>
        <w:t xml:space="preserve">Barbara Mercredi v Richard Chaffe </w:t>
      </w:r>
      <w:r w:rsidRPr="00F934F9">
        <w:rPr>
          <w:rFonts w:ascii="Times New Roman" w:hAnsi="Times New Roman" w:cs="Times New Roman"/>
        </w:rPr>
        <w:t xml:space="preserve">[2010] ECR I-14309. </w:t>
      </w:r>
    </w:p>
  </w:footnote>
  <w:footnote w:id="2">
    <w:p w14:paraId="7D5EBEC8"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bookmarkStart w:id="0" w:name="_Hlk146974650"/>
      <w:r w:rsidRPr="00F934F9">
        <w:rPr>
          <w:rFonts w:ascii="Times New Roman" w:hAnsi="Times New Roman" w:cs="Times New Roman"/>
          <w:i/>
          <w:iCs/>
        </w:rPr>
        <w:t>In the Matter of A (Children)</w:t>
      </w:r>
      <w:r w:rsidRPr="00F934F9">
        <w:rPr>
          <w:rFonts w:ascii="Times New Roman" w:hAnsi="Times New Roman" w:cs="Times New Roman"/>
        </w:rPr>
        <w:t xml:space="preserve"> [2013] UKSC 60</w:t>
      </w:r>
      <w:bookmarkEnd w:id="0"/>
      <w:r w:rsidRPr="00F934F9">
        <w:rPr>
          <w:rFonts w:ascii="Times New Roman" w:hAnsi="Times New Roman" w:cs="Times New Roman"/>
        </w:rPr>
        <w:t>.</w:t>
      </w:r>
    </w:p>
  </w:footnote>
  <w:footnote w:id="3">
    <w:p w14:paraId="36C9F053"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[2013] UKSC 60.</w:t>
      </w:r>
    </w:p>
  </w:footnote>
  <w:footnote w:id="4">
    <w:p w14:paraId="7C1568C1"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Case C-523/07, [2009] ECR I-02805.</w:t>
      </w:r>
    </w:p>
  </w:footnote>
  <w:footnote w:id="5">
    <w:p w14:paraId="5C60B4B0"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In the Matter of A (Children)</w:t>
      </w:r>
      <w:r w:rsidRPr="00F934F9">
        <w:rPr>
          <w:rFonts w:ascii="Times New Roman" w:hAnsi="Times New Roman" w:cs="Times New Roman"/>
        </w:rPr>
        <w:t xml:space="preserve"> [2013] UKSC 60, para 48.</w:t>
      </w:r>
    </w:p>
  </w:footnote>
  <w:footnote w:id="6">
    <w:p w14:paraId="0500B874"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para 54.</w:t>
      </w:r>
    </w:p>
  </w:footnote>
  <w:footnote w:id="7">
    <w:p w14:paraId="07B0FEEE"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w:t>
      </w:r>
    </w:p>
  </w:footnote>
  <w:footnote w:id="8">
    <w:p w14:paraId="2C309A33"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w:t>
      </w:r>
    </w:p>
  </w:footnote>
  <w:footnote w:id="9">
    <w:p w14:paraId="5F9850AC"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See C-497/10 PPU </w:t>
      </w:r>
      <w:r w:rsidRPr="00F934F9">
        <w:rPr>
          <w:rFonts w:ascii="Times New Roman" w:hAnsi="Times New Roman" w:cs="Times New Roman"/>
          <w:i/>
          <w:iCs/>
        </w:rPr>
        <w:t xml:space="preserve">Barbara Mercredi v Richard Chaffe </w:t>
      </w:r>
      <w:r w:rsidRPr="00F934F9">
        <w:rPr>
          <w:rFonts w:ascii="Times New Roman" w:hAnsi="Times New Roman" w:cs="Times New Roman"/>
        </w:rPr>
        <w:t>[2010] ECR I-14309.</w:t>
      </w:r>
    </w:p>
  </w:footnote>
  <w:footnote w:id="10">
    <w:p w14:paraId="715BAE86"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w:t>
      </w:r>
    </w:p>
  </w:footnote>
  <w:footnote w:id="11">
    <w:p w14:paraId="654334ED"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w:t>
      </w:r>
    </w:p>
  </w:footnote>
  <w:footnote w:id="12">
    <w:p w14:paraId="5E5257D0"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w:t>
      </w:r>
    </w:p>
  </w:footnote>
  <w:footnote w:id="13">
    <w:p w14:paraId="17FFC019"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w:t>
      </w:r>
    </w:p>
  </w:footnote>
  <w:footnote w:id="14">
    <w:p w14:paraId="49794A62"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Re KL (Abduction: Habitual Residence: Inherent Jurisdiction)</w:t>
      </w:r>
      <w:r w:rsidRPr="00F934F9">
        <w:rPr>
          <w:rFonts w:ascii="Times New Roman" w:hAnsi="Times New Roman" w:cs="Times New Roman"/>
        </w:rPr>
        <w:t xml:space="preserve"> [2013] UKSC 75; </w:t>
      </w:r>
      <w:r w:rsidRPr="00F934F9">
        <w:rPr>
          <w:rFonts w:ascii="Times New Roman" w:hAnsi="Times New Roman" w:cs="Times New Roman"/>
          <w:i/>
          <w:iCs/>
        </w:rPr>
        <w:t xml:space="preserve">In the matter of LC (Children) </w:t>
      </w:r>
      <w:r w:rsidRPr="00F934F9">
        <w:rPr>
          <w:rFonts w:ascii="Times New Roman" w:hAnsi="Times New Roman" w:cs="Times New Roman"/>
        </w:rPr>
        <w:t xml:space="preserve">[2014] UKSC 1; </w:t>
      </w:r>
      <w:r w:rsidRPr="00F934F9">
        <w:rPr>
          <w:rFonts w:ascii="Times New Roman" w:hAnsi="Times New Roman" w:cs="Times New Roman"/>
          <w:i/>
          <w:iCs/>
        </w:rPr>
        <w:t>AR v RN</w:t>
      </w:r>
      <w:r w:rsidRPr="00F934F9">
        <w:rPr>
          <w:rFonts w:ascii="Times New Roman" w:hAnsi="Times New Roman" w:cs="Times New Roman"/>
        </w:rPr>
        <w:t xml:space="preserve"> [2015] UKSC 35; and </w:t>
      </w:r>
      <w:r w:rsidRPr="00F934F9">
        <w:rPr>
          <w:rFonts w:ascii="Times New Roman" w:hAnsi="Times New Roman" w:cs="Times New Roman"/>
          <w:i/>
          <w:iCs/>
        </w:rPr>
        <w:t>In the matter of B (A Child)</w:t>
      </w:r>
      <w:r w:rsidRPr="00F934F9">
        <w:rPr>
          <w:rFonts w:ascii="Times New Roman" w:hAnsi="Times New Roman" w:cs="Times New Roman"/>
        </w:rPr>
        <w:t xml:space="preserve"> [2016] UKSC 4.</w:t>
      </w:r>
    </w:p>
  </w:footnote>
  <w:footnote w:id="15">
    <w:p w14:paraId="4D27807F"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[2013] UKSC 75.</w:t>
      </w:r>
    </w:p>
  </w:footnote>
  <w:footnote w:id="16">
    <w:p w14:paraId="7F795B61"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19.</w:t>
      </w:r>
    </w:p>
  </w:footnote>
  <w:footnote w:id="17">
    <w:p w14:paraId="6DB390DF"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[2014] UKSC 1.</w:t>
      </w:r>
    </w:p>
  </w:footnote>
  <w:footnote w:id="18">
    <w:p w14:paraId="1CC9A5F0"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The Court held that where an adolescent child had resided with one of his or her parents in a place, particularly if only for a short time, it could be appropriate for the court to have regard to the child's state of mind during the period of residence when determining whether the child had shared the parent's habitual residence there. Ibid, para 43. </w:t>
      </w:r>
    </w:p>
  </w:footnote>
  <w:footnote w:id="19">
    <w:p w14:paraId="7EEFA374"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[2015] UKSC 35.</w:t>
      </w:r>
    </w:p>
  </w:footnote>
  <w:footnote w:id="20">
    <w:p w14:paraId="4A5E8CFB"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16. There is no requirement that the child should have been resident in the country in question for a particular period of time, let alone that there should be an intention on the part of one or both parents to reside there permanently or indefinitely. Ibid.</w:t>
      </w:r>
    </w:p>
  </w:footnote>
  <w:footnote w:id="21">
    <w:p w14:paraId="28534C22"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[2016] UKSC 4.</w:t>
      </w:r>
    </w:p>
  </w:footnote>
  <w:footnote w:id="22">
    <w:p w14:paraId="1E9C6AC0"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The Court concluded as follows: “[the] modern concept of a child's habitual residence operates in such a way as to make it highly unlikely, albeit conceivable, that a child will be in the limbo in which the courts below have placed B. The concept operates in the expectation that, when a child gains a new habitual residence, he loses his old one. Simple analogies are best: consider a see-saw. As, probably quite quickly, he puts down those first roots which represent the requisite degree of integration in the environment of the new state, up will probably come the child's roots in that of the old state to the point at which he achieves the requisite de-integration (or, better, disengagement) from it.” Ibid, para 45. The Court the identified the following rules: “(a) the deeper the child's integration in the old state, probably the less fast his achievement of the requisite degree of integration in the new state; (b) the greater the amount of adult pre-planning of the move, including pre-arrangements for the child's day-to-day life in the new state, probably the faster his achievement of that requisite  degree; and (c) were all the central members of the child's life in the old state to have moved with him, probably the faster his achievement of it and, conversely, were any of them to have remained behind and thus to represent for him a continuing link with the old state, probably the less fast his achievement of it." Ibid, para 46.</w:t>
      </w:r>
    </w:p>
  </w:footnote>
  <w:footnote w:id="23">
    <w:p w14:paraId="71B81CA4"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[2018] CSOH 56.</w:t>
      </w:r>
    </w:p>
  </w:footnote>
  <w:footnote w:id="24">
    <w:p w14:paraId="3F2FB810"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[2019] CSOH 4.</w:t>
      </w:r>
    </w:p>
  </w:footnote>
  <w:footnote w:id="25">
    <w:p w14:paraId="24B51AA7"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[2020] CSOH 80.</w:t>
      </w:r>
    </w:p>
  </w:footnote>
  <w:footnote w:id="26">
    <w:p w14:paraId="52CC2E2A"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[2021] CSOH 50.</w:t>
      </w:r>
    </w:p>
  </w:footnote>
  <w:footnote w:id="27">
    <w:p w14:paraId="7E13F59E"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[2021] CSOH 90 </w:t>
      </w:r>
    </w:p>
  </w:footnote>
  <w:footnote w:id="28">
    <w:p w14:paraId="5EC2B1F9"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[2023] CSOH 34.</w:t>
      </w:r>
    </w:p>
  </w:footnote>
  <w:footnote w:id="29">
    <w:p w14:paraId="6E3275CC"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European Union (Withdrawal) Act 2018, Section 6(5).</w:t>
      </w:r>
    </w:p>
  </w:footnote>
  <w:footnote w:id="30">
    <w:p w14:paraId="20DDF2DF"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Peninsula Securities Ltd v Dunnes Stores (Bangor) Ltd (Northern Ireland)</w:t>
      </w:r>
      <w:r w:rsidRPr="00F934F9">
        <w:rPr>
          <w:rFonts w:ascii="Times New Roman" w:hAnsi="Times New Roman" w:cs="Times New Roman"/>
        </w:rPr>
        <w:t xml:space="preserve"> [2020] UKSC 36, para 49, per Lord Wilson.</w:t>
      </w:r>
    </w:p>
  </w:footnote>
  <w:footnote w:id="31">
    <w:p w14:paraId="7DBB0DE1" w14:textId="77777777" w:rsidR="00020CE8" w:rsidRPr="00F934F9"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P. Beaumont, L. Walker and J. Holliday, ‘Conflicts of EU Courts on Child Abduction: The Reality of Article 11(6)-(8) Brussels IIa Proceedings across the EU’ (2016) 12 Journal of Private International Law 211, pp. 250-251.</w:t>
      </w:r>
    </w:p>
  </w:footnote>
  <w:footnote w:id="32">
    <w:p w14:paraId="0C106BC6" w14:textId="77777777" w:rsidR="00020CE8" w:rsidRPr="00F934F9"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Council Regulation (EU) 2019/1111 of 25 June 2019 on jurisdiction, the recognition and enforcement of decisions in matrimonial matters and the matters of parental responsibility, and on international child abduction; applicable from 1 August 2022 (‘the Brussels II</w:t>
      </w:r>
      <w:r w:rsidRPr="00F934F9">
        <w:rPr>
          <w:rFonts w:ascii="Times New Roman" w:hAnsi="Times New Roman" w:cs="Times New Roman"/>
          <w:i/>
          <w:iCs/>
        </w:rPr>
        <w:t>ter</w:t>
      </w:r>
      <w:r w:rsidRPr="00F934F9">
        <w:rPr>
          <w:rFonts w:ascii="Times New Roman" w:hAnsi="Times New Roman" w:cs="Times New Roman"/>
        </w:rPr>
        <w:t xml:space="preserve"> Regulation’).</w:t>
      </w:r>
    </w:p>
  </w:footnote>
  <w:footnote w:id="33">
    <w:p w14:paraId="6D03484B"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Brussels II</w:t>
      </w:r>
      <w:r w:rsidRPr="00F934F9">
        <w:rPr>
          <w:rFonts w:ascii="Times New Roman" w:hAnsi="Times New Roman" w:cs="Times New Roman"/>
          <w:i/>
          <w:iCs/>
        </w:rPr>
        <w:t>ter</w:t>
      </w:r>
      <w:r w:rsidRPr="00F934F9">
        <w:rPr>
          <w:rFonts w:ascii="Times New Roman" w:hAnsi="Times New Roman" w:cs="Times New Roman"/>
        </w:rPr>
        <w:t xml:space="preserve"> Regulation, Article 21(1): “When exercising their jurisdiction under Section 2 of this Chapter, the courts of the Member States shall, in accordance with national law and procedure, provide the child who is capable of forming his or her own views with a genuine and effective opportunity to express his or her views, either directly, or through a representative or an appropriate body.” The effective operation of this provision is, however, likely to be hindered by the fact that it does not ‘harmonise the way in which the children’s views [are] ascertained across the EU’ and allows for each Member State to determine an appropriate procedure according to its domestic law. This si likely to create uncertainty. See Brussels II</w:t>
      </w:r>
      <w:r w:rsidRPr="00F934F9">
        <w:rPr>
          <w:rFonts w:ascii="Times New Roman" w:hAnsi="Times New Roman" w:cs="Times New Roman"/>
          <w:i/>
          <w:iCs/>
        </w:rPr>
        <w:t>ter</w:t>
      </w:r>
      <w:r w:rsidRPr="00F934F9">
        <w:rPr>
          <w:rFonts w:ascii="Times New Roman" w:hAnsi="Times New Roman" w:cs="Times New Roman"/>
        </w:rPr>
        <w:t xml:space="preserve"> Regulation, Recital 39. See also H Blackburn &amp; M Michaelides, ‘The advent of Brussels II bis Recast’ [2019] </w:t>
      </w:r>
      <w:r w:rsidRPr="00F934F9">
        <w:rPr>
          <w:rFonts w:ascii="Times New Roman" w:hAnsi="Times New Roman" w:cs="Times New Roman"/>
          <w:i/>
          <w:iCs/>
        </w:rPr>
        <w:t>IFL</w:t>
      </w:r>
      <w:r w:rsidRPr="00F934F9">
        <w:rPr>
          <w:rFonts w:ascii="Times New Roman" w:hAnsi="Times New Roman" w:cs="Times New Roman"/>
        </w:rPr>
        <w:t xml:space="preserve"> 252, 253; and S Aras Kramar, 'The Voice of the Child: Are the Procedural Rights of the Child Better Protected in the New Brussels II Regulation?' (2020) 3 </w:t>
      </w:r>
      <w:r w:rsidRPr="00F934F9">
        <w:rPr>
          <w:rFonts w:ascii="Times New Roman" w:hAnsi="Times New Roman" w:cs="Times New Roman"/>
          <w:i/>
          <w:iCs/>
        </w:rPr>
        <w:t>Open J Legal Stud</w:t>
      </w:r>
      <w:r w:rsidRPr="00F934F9">
        <w:rPr>
          <w:rFonts w:ascii="Times New Roman" w:hAnsi="Times New Roman" w:cs="Times New Roman"/>
        </w:rPr>
        <w:t xml:space="preserve"> 87, 92. </w:t>
      </w:r>
    </w:p>
  </w:footnote>
  <w:footnote w:id="34">
    <w:p w14:paraId="31F95C62"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1980 Hague Convention on the on Civil Aspects of International Child Abduction, Article 13(2): “The judicial or administrative authority may also refuse to order the return of the child if it finds that the child objects to being returned and has attained an age and degree of maturity at which it is appropriate to take account of its views.”</w:t>
      </w:r>
    </w:p>
  </w:footnote>
  <w:footnote w:id="35">
    <w:p w14:paraId="4659EE3F"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[2006] UKHL 51.</w:t>
      </w:r>
    </w:p>
  </w:footnote>
  <w:footnote w:id="36">
    <w:p w14:paraId="0315CE24"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Children (Scotland) Act 2020, Sections 1-3 and 25. For a detailed overview of the Act see ‘Children (Scotland) Act 2020 Explanatory Notes’, available at </w:t>
      </w:r>
      <w:hyperlink r:id="rId1" w:history="1">
        <w:r w:rsidRPr="00F934F9">
          <w:rPr>
            <w:rStyle w:val="Hyperlink"/>
            <w:rFonts w:ascii="Times New Roman" w:hAnsi="Times New Roman" w:cs="Times New Roman"/>
          </w:rPr>
          <w:t>https://www.legislation.gov.uk/asp/2020/16/notes?view=plain</w:t>
        </w:r>
      </w:hyperlink>
      <w:r w:rsidRPr="00F934F9">
        <w:rPr>
          <w:rFonts w:ascii="Times New Roman" w:hAnsi="Times New Roman" w:cs="Times New Roman"/>
        </w:rPr>
        <w:t xml:space="preserve">. </w:t>
      </w:r>
    </w:p>
  </w:footnote>
  <w:footnote w:id="37">
    <w:p w14:paraId="7691FA17"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See The Scottish Parliament: SPICe Spotlight, ‘What has happened to the Children (Scotland) Act 2020?’, 27 September 2023, available at </w:t>
      </w:r>
      <w:hyperlink r:id="rId2" w:history="1">
        <w:r w:rsidRPr="00F934F9">
          <w:rPr>
            <w:rStyle w:val="Hyperlink"/>
            <w:rFonts w:ascii="Times New Roman" w:hAnsi="Times New Roman" w:cs="Times New Roman"/>
            <w:lang w:val="en-US"/>
          </w:rPr>
          <w:t>https://spice-spotlight.scot/2023/09/27/what-has-happened-to-the-children-scotland-act-2020/</w:t>
        </w:r>
      </w:hyperlink>
      <w:r w:rsidRPr="00F934F9">
        <w:rPr>
          <w:rFonts w:ascii="Times New Roman" w:hAnsi="Times New Roman" w:cs="Times New Roman"/>
          <w:lang w:val="en-US"/>
        </w:rPr>
        <w:t xml:space="preserve">. </w:t>
      </w:r>
    </w:p>
  </w:footnote>
  <w:footnote w:id="38">
    <w:p w14:paraId="59343B58" w14:textId="77777777" w:rsidR="00020CE8" w:rsidRPr="00F934F9"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See Hague Conference on Private International Law, ‘Guide to Good Practice under the HCCH Convention of 25 October 1980 on the Civil Aspects of International Child Abduction – Part VI –</w:t>
      </w:r>
    </w:p>
    <w:p w14:paraId="43D57A9B" w14:textId="77777777" w:rsidR="00020CE8" w:rsidRPr="00F934F9" w:rsidRDefault="00020CE8" w:rsidP="00020CE8">
      <w:pPr>
        <w:pStyle w:val="FootnoteText"/>
        <w:jc w:val="both"/>
        <w:rPr>
          <w:rFonts w:ascii="Times New Roman" w:hAnsi="Times New Roman" w:cs="Times New Roman"/>
          <w:lang w:val="en-US"/>
        </w:rPr>
      </w:pPr>
      <w:r w:rsidRPr="00F934F9">
        <w:rPr>
          <w:rFonts w:ascii="Times New Roman" w:hAnsi="Times New Roman" w:cs="Times New Roman"/>
        </w:rPr>
        <w:t xml:space="preserve">Article 13(1)(b)’ (HCCH, 2020), available at </w:t>
      </w:r>
      <w:hyperlink r:id="rId3" w:history="1">
        <w:r w:rsidRPr="00F934F9">
          <w:rPr>
            <w:rStyle w:val="Hyperlink"/>
            <w:rFonts w:ascii="Times New Roman" w:hAnsi="Times New Roman" w:cs="Times New Roman"/>
          </w:rPr>
          <w:t>HCCH | Guide to Good Practice Child Abduction Convention: Part VI - Article 13(1)(b)</w:t>
        </w:r>
      </w:hyperlink>
      <w:r w:rsidRPr="00F934F9">
        <w:rPr>
          <w:rFonts w:ascii="Times New Roman" w:hAnsi="Times New Roman" w:cs="Times New Roman"/>
        </w:rPr>
        <w:t>.</w:t>
      </w:r>
    </w:p>
  </w:footnote>
  <w:footnote w:id="39">
    <w:p w14:paraId="6FCD6BC4"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lang w:val="en-US"/>
        </w:rPr>
        <w:t>TB v JB (Abduction: Grave Risk of Harm)</w:t>
      </w:r>
      <w:r w:rsidRPr="00F934F9">
        <w:rPr>
          <w:rFonts w:ascii="Times New Roman" w:hAnsi="Times New Roman" w:cs="Times New Roman"/>
          <w:lang w:val="en-US"/>
        </w:rPr>
        <w:t xml:space="preserve"> [2001] 2 FLR 515; and </w:t>
      </w:r>
      <w:r w:rsidRPr="00F934F9">
        <w:rPr>
          <w:rFonts w:ascii="Times New Roman" w:hAnsi="Times New Roman" w:cs="Times New Roman"/>
          <w:i/>
          <w:iCs/>
          <w:lang w:val="en-US"/>
        </w:rPr>
        <w:t>Q Petitioner</w:t>
      </w:r>
      <w:r w:rsidRPr="00F934F9">
        <w:rPr>
          <w:rFonts w:ascii="Times New Roman" w:hAnsi="Times New Roman" w:cs="Times New Roman"/>
          <w:lang w:val="en-US"/>
        </w:rPr>
        <w:t xml:space="preserve"> 2001 SLT 243</w:t>
      </w:r>
    </w:p>
  </w:footnote>
  <w:footnote w:id="40">
    <w:p w14:paraId="36AC27C7"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See e.g., </w:t>
      </w:r>
    </w:p>
    <w:p w14:paraId="057ED497" w14:textId="77777777" w:rsidR="00020CE8" w:rsidRPr="00F934F9" w:rsidRDefault="00020CE8" w:rsidP="00020CE8">
      <w:pPr>
        <w:pStyle w:val="FootnoteText"/>
        <w:jc w:val="both"/>
        <w:rPr>
          <w:rFonts w:ascii="Times New Roman" w:hAnsi="Times New Roman" w:cs="Times New Roman"/>
          <w:lang w:val="en-US"/>
        </w:rPr>
      </w:pPr>
      <w:r w:rsidRPr="00F934F9">
        <w:rPr>
          <w:rFonts w:ascii="Times New Roman" w:hAnsi="Times New Roman" w:cs="Times New Roman"/>
          <w:lang w:val="en-US"/>
        </w:rPr>
        <w:t xml:space="preserve">K Trimmings, A Dutta, C Honorati and M Župan, </w:t>
      </w:r>
      <w:r w:rsidRPr="00F934F9">
        <w:rPr>
          <w:rFonts w:ascii="Times New Roman" w:hAnsi="Times New Roman" w:cs="Times New Roman"/>
          <w:i/>
          <w:iCs/>
          <w:lang w:val="en-US"/>
        </w:rPr>
        <w:t>Domestic Violence and Parental Child Abduction: The Protection of Abducting Mothers in Return Proceedings</w:t>
      </w:r>
      <w:r w:rsidRPr="00F934F9">
        <w:rPr>
          <w:rFonts w:ascii="Times New Roman" w:hAnsi="Times New Roman" w:cs="Times New Roman"/>
          <w:lang w:val="en-US"/>
        </w:rPr>
        <w:t>, Part II (Intersentia 2022).</w:t>
      </w:r>
    </w:p>
  </w:footnote>
  <w:footnote w:id="41">
    <w:p w14:paraId="6DAE496B"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Brussels II</w:t>
      </w:r>
      <w:r w:rsidRPr="00F934F9">
        <w:rPr>
          <w:rFonts w:ascii="Times New Roman" w:hAnsi="Times New Roman" w:cs="Times New Roman"/>
          <w:i/>
          <w:iCs/>
          <w:lang w:val="en-US"/>
        </w:rPr>
        <w:t>ter</w:t>
      </w:r>
      <w:r w:rsidRPr="00F934F9">
        <w:rPr>
          <w:rFonts w:ascii="Times New Roman" w:hAnsi="Times New Roman" w:cs="Times New Roman"/>
          <w:lang w:val="en-US"/>
        </w:rPr>
        <w:t xml:space="preserve"> Regulation, Article 27(5).</w:t>
      </w:r>
    </w:p>
  </w:footnote>
  <w:footnote w:id="42">
    <w:p w14:paraId="52438049"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Article 15.</w:t>
      </w:r>
    </w:p>
  </w:footnote>
  <w:footnote w:id="43">
    <w:p w14:paraId="029D5873" w14:textId="5DDCE422" w:rsidR="00020CE8" w:rsidRPr="00495112"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E.g., </w:t>
      </w:r>
      <w:bookmarkStart w:id="1" w:name="_Hlk147139984"/>
      <w:r w:rsidRPr="00F934F9">
        <w:rPr>
          <w:rFonts w:ascii="Times New Roman" w:hAnsi="Times New Roman" w:cs="Times New Roman"/>
          <w:i/>
          <w:iCs/>
        </w:rPr>
        <w:t>Re Y (A Child) (Abduction: Undertakings Given for Return of Child)</w:t>
      </w:r>
      <w:r w:rsidRPr="00F934F9">
        <w:rPr>
          <w:rFonts w:ascii="Times New Roman" w:hAnsi="Times New Roman" w:cs="Times New Roman"/>
        </w:rPr>
        <w:t xml:space="preserve"> [2013] EWCA Civ 129; </w:t>
      </w:r>
      <w:r w:rsidRPr="00F934F9">
        <w:rPr>
          <w:rFonts w:ascii="Times New Roman" w:hAnsi="Times New Roman" w:cs="Times New Roman"/>
          <w:i/>
          <w:iCs/>
        </w:rPr>
        <w:t>RD v DB</w:t>
      </w:r>
      <w:r w:rsidRPr="00F934F9">
        <w:rPr>
          <w:rFonts w:ascii="Times New Roman" w:hAnsi="Times New Roman" w:cs="Times New Roman"/>
        </w:rPr>
        <w:t xml:space="preserve"> [2015] EWHC 1817 (Fam); </w:t>
      </w:r>
      <w:r w:rsidRPr="00F934F9">
        <w:rPr>
          <w:rFonts w:ascii="Times New Roman" w:hAnsi="Times New Roman" w:cs="Times New Roman"/>
          <w:i/>
          <w:iCs/>
        </w:rPr>
        <w:t>In the Matter of A (A Child) (Hague Abduction; Art 13(b): Protective Measures)</w:t>
      </w:r>
      <w:r w:rsidRPr="00F934F9">
        <w:rPr>
          <w:rFonts w:ascii="Times New Roman" w:hAnsi="Times New Roman" w:cs="Times New Roman"/>
        </w:rPr>
        <w:t xml:space="preserve"> [2019] EWHC 649 (Fam); </w:t>
      </w:r>
      <w:r w:rsidRPr="00F934F9">
        <w:rPr>
          <w:rFonts w:ascii="Times New Roman" w:hAnsi="Times New Roman" w:cs="Times New Roman"/>
          <w:i/>
          <w:iCs/>
        </w:rPr>
        <w:t>In the Matter of S O D</w:t>
      </w:r>
      <w:r w:rsidRPr="00F934F9">
        <w:rPr>
          <w:rFonts w:ascii="Times New Roman" w:hAnsi="Times New Roman" w:cs="Times New Roman"/>
        </w:rPr>
        <w:t>, High Court, 31 January 2019 (unreported)</w:t>
      </w:r>
      <w:r w:rsidR="00495112">
        <w:rPr>
          <w:rFonts w:ascii="Times New Roman" w:hAnsi="Times New Roman" w:cs="Times New Roman"/>
        </w:rPr>
        <w:t xml:space="preserve">; and </w:t>
      </w:r>
      <w:r w:rsidR="00495112" w:rsidRPr="00495112">
        <w:rPr>
          <w:rFonts w:ascii="Times New Roman" w:hAnsi="Times New Roman" w:cs="Times New Roman"/>
          <w:i/>
          <w:iCs/>
        </w:rPr>
        <w:t>AO v LA</w:t>
      </w:r>
      <w:r w:rsidR="00495112">
        <w:rPr>
          <w:rFonts w:ascii="Times New Roman" w:hAnsi="Times New Roman" w:cs="Times New Roman"/>
        </w:rPr>
        <w:t xml:space="preserve"> </w:t>
      </w:r>
      <w:r w:rsidR="00495112" w:rsidRPr="00495112">
        <w:rPr>
          <w:rFonts w:ascii="Times New Roman" w:hAnsi="Times New Roman" w:cs="Times New Roman"/>
        </w:rPr>
        <w:t>[2023] EWHC 83 Fam</w:t>
      </w:r>
      <w:r w:rsidR="00495112">
        <w:rPr>
          <w:rFonts w:ascii="Times New Roman" w:hAnsi="Times New Roman" w:cs="Times New Roman"/>
        </w:rPr>
        <w:t xml:space="preserve">. </w:t>
      </w:r>
      <w:bookmarkEnd w:id="1"/>
      <w:r w:rsidRPr="00F934F9">
        <w:rPr>
          <w:rFonts w:ascii="Times New Roman" w:hAnsi="Times New Roman" w:cs="Times New Roman"/>
        </w:rPr>
        <w:t xml:space="preserve">For a detailed explanation see </w:t>
      </w:r>
      <w:r w:rsidRPr="00F934F9">
        <w:rPr>
          <w:rFonts w:ascii="Times New Roman" w:hAnsi="Times New Roman" w:cs="Times New Roman"/>
          <w:lang w:val="en-US"/>
        </w:rPr>
        <w:t xml:space="preserve">K Trimmings &amp; O Momoh, ‘Intersection between Domestic Violence and International Parental Child Abduction: Protection of Abducting Mothers in Return Proceedings’ (2021) 35 </w:t>
      </w:r>
      <w:r w:rsidRPr="00F934F9">
        <w:rPr>
          <w:rFonts w:ascii="Times New Roman" w:hAnsi="Times New Roman" w:cs="Times New Roman"/>
          <w:i/>
          <w:iCs/>
          <w:lang w:val="en-US"/>
        </w:rPr>
        <w:t xml:space="preserve">International Journal of Law, Policy and the Family </w:t>
      </w:r>
      <w:r w:rsidRPr="00F934F9">
        <w:rPr>
          <w:rFonts w:ascii="Times New Roman" w:hAnsi="Times New Roman" w:cs="Times New Roman"/>
          <w:lang w:val="en-US"/>
        </w:rPr>
        <w:t>1, 13-14.</w:t>
      </w:r>
    </w:p>
  </w:footnote>
  <w:footnote w:id="44">
    <w:p w14:paraId="6956E4C7"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1996 Hague Child Protection Convention, Chapter IV.</w:t>
      </w:r>
    </w:p>
  </w:footnote>
  <w:footnote w:id="45">
    <w:p w14:paraId="45939E8E"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Article 26(1).</w:t>
      </w:r>
    </w:p>
  </w:footnote>
  <w:footnote w:id="46">
    <w:p w14:paraId="4B368C85"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Article 26(2).</w:t>
      </w:r>
      <w:r w:rsidRPr="00F934F9">
        <w:rPr>
          <w:rFonts w:ascii="Times New Roman" w:hAnsi="Times New Roman" w:cs="Times New Roman"/>
        </w:rPr>
        <w:t xml:space="preserve"> </w:t>
      </w:r>
    </w:p>
  </w:footnote>
  <w:footnote w:id="47">
    <w:p w14:paraId="06B9A97B" w14:textId="77777777" w:rsidR="00020CE8" w:rsidRPr="00F934F9"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P Lagarde, ‘Explanatory Report on the 1996 HCCH Child Protection Convention’ (Proceedings of the Eighteenth Session (1996), tome II, Protection of children), para 132, available at </w:t>
      </w:r>
      <w:hyperlink r:id="rId4" w:history="1">
        <w:r w:rsidRPr="00F934F9">
          <w:rPr>
            <w:rStyle w:val="Hyperlink"/>
            <w:rFonts w:ascii="Times New Roman" w:hAnsi="Times New Roman" w:cs="Times New Roman"/>
          </w:rPr>
          <w:t>https://assets.hcch.net/docs/5a56242c-ff06-42c4-8cf0-00e48da47ef0.pdf</w:t>
        </w:r>
      </w:hyperlink>
      <w:r w:rsidRPr="00F934F9">
        <w:rPr>
          <w:rFonts w:ascii="Times New Roman" w:hAnsi="Times New Roman" w:cs="Times New Roman"/>
        </w:rPr>
        <w:t>.</w:t>
      </w:r>
    </w:p>
  </w:footnote>
  <w:footnote w:id="48">
    <w:p w14:paraId="1BA77B06"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1996 Hague Child Protection Convention, Article 26(3).</w:t>
      </w:r>
    </w:p>
  </w:footnote>
  <w:footnote w:id="49">
    <w:p w14:paraId="03275685" w14:textId="77777777" w:rsidR="00020CE8" w:rsidRPr="00F934F9"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Articles 27, 28 and 29 of the Brussels II</w:t>
      </w:r>
      <w:r w:rsidRPr="00F934F9">
        <w:rPr>
          <w:rFonts w:ascii="Times New Roman" w:hAnsi="Times New Roman" w:cs="Times New Roman"/>
          <w:i/>
          <w:iCs/>
        </w:rPr>
        <w:t>bis</w:t>
      </w:r>
      <w:r w:rsidRPr="00F934F9">
        <w:rPr>
          <w:rFonts w:ascii="Times New Roman" w:hAnsi="Times New Roman" w:cs="Times New Roman"/>
        </w:rPr>
        <w:t xml:space="preserve"> Regulation were not transferred to the Recast Regulation. H Blackburn and M Michaelides, ‘The advent of Brussels II bis Recast’ [2019] </w:t>
      </w:r>
      <w:r w:rsidRPr="00F934F9">
        <w:rPr>
          <w:rFonts w:ascii="Times New Roman" w:hAnsi="Times New Roman" w:cs="Times New Roman"/>
          <w:i/>
          <w:iCs/>
        </w:rPr>
        <w:t>IFL</w:t>
      </w:r>
      <w:r w:rsidRPr="00F934F9">
        <w:rPr>
          <w:rFonts w:ascii="Times New Roman" w:hAnsi="Times New Roman" w:cs="Times New Roman"/>
        </w:rPr>
        <w:t xml:space="preserve"> 252, 254.</w:t>
      </w:r>
    </w:p>
  </w:footnote>
  <w:footnote w:id="50">
    <w:p w14:paraId="172EEEC8" w14:textId="77777777" w:rsidR="00020CE8" w:rsidRPr="00F934F9" w:rsidRDefault="00020CE8" w:rsidP="00020CE8">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Brussels II</w:t>
      </w:r>
      <w:r w:rsidRPr="00F934F9">
        <w:rPr>
          <w:rFonts w:ascii="Times New Roman" w:hAnsi="Times New Roman" w:cs="Times New Roman"/>
          <w:i/>
          <w:iCs/>
          <w:lang w:val="en-US"/>
        </w:rPr>
        <w:t>ter</w:t>
      </w:r>
      <w:r w:rsidRPr="00F934F9">
        <w:rPr>
          <w:rFonts w:ascii="Times New Roman" w:hAnsi="Times New Roman" w:cs="Times New Roman"/>
          <w:lang w:val="en-US"/>
        </w:rPr>
        <w:t xml:space="preserve"> Regulation, Article 34(1): “A decision in matters of parental responsibility given in a Member State which is enforceable in that Member State shall be enforceable in the other Member States without any declaration of enforceability being required.” </w:t>
      </w:r>
    </w:p>
  </w:footnote>
  <w:footnote w:id="51">
    <w:p w14:paraId="7E8B268D" w14:textId="77777777" w:rsidR="00020CE8" w:rsidRPr="00F934F9"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Regulation (EU) No 1215/2012 of the European Parliament and of the Council of 12 December 2012 on jurisdiction and the recognition and enforcement of judgments in civil and commercial matters</w:t>
      </w:r>
    </w:p>
    <w:p w14:paraId="3B52F366" w14:textId="77777777" w:rsidR="00020CE8" w:rsidRPr="00F934F9" w:rsidRDefault="00020CE8" w:rsidP="00020CE8">
      <w:pPr>
        <w:pStyle w:val="FootnoteText"/>
        <w:jc w:val="both"/>
        <w:rPr>
          <w:rFonts w:ascii="Times New Roman" w:hAnsi="Times New Roman" w:cs="Times New Roman"/>
        </w:rPr>
      </w:pPr>
      <w:r w:rsidRPr="00F934F9">
        <w:rPr>
          <w:rFonts w:ascii="Times New Roman" w:hAnsi="Times New Roman" w:cs="Times New Roman"/>
        </w:rPr>
        <w:t xml:space="preserve">OJ L 351, 20.12.2012, p. 1–32.; Paul Beaumont and Lara Walker, ‘Recognition and enforcement of judgments in civil and commercial matters in the Brussels I Recast and some lessons from it and the recent Hague Conventions for the Hague Judgments Project’ (2015) 11(1) Journal of Private International Law 31, 34. </w:t>
      </w:r>
    </w:p>
  </w:footnote>
  <w:footnote w:id="52">
    <w:p w14:paraId="7850536A" w14:textId="497349DA" w:rsidR="00020CE8" w:rsidRPr="00F934F9" w:rsidRDefault="00020CE8" w:rsidP="00020CE8">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A Dutta, ‘Brexit and international family law from a continental perspective’ [2017] </w:t>
      </w:r>
      <w:r w:rsidRPr="00F934F9">
        <w:rPr>
          <w:rFonts w:ascii="Times New Roman" w:hAnsi="Times New Roman" w:cs="Times New Roman"/>
          <w:i/>
          <w:iCs/>
        </w:rPr>
        <w:t xml:space="preserve">CFLQ </w:t>
      </w:r>
      <w:r w:rsidRPr="00F934F9">
        <w:rPr>
          <w:rFonts w:ascii="Times New Roman" w:hAnsi="Times New Roman" w:cs="Times New Roman"/>
        </w:rPr>
        <w:t>199, 202.</w:t>
      </w:r>
    </w:p>
  </w:footnote>
  <w:footnote w:id="53">
    <w:p w14:paraId="021CBB6B"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It extends also to the following overseas territories: Bermuda; Gibraltar; Guernsey; Isle of Man and Jersey. See HCCH, ‘Status Table’, </w:t>
      </w:r>
      <w:hyperlink r:id="rId5" w:history="1">
        <w:r w:rsidRPr="00F934F9">
          <w:rPr>
            <w:rStyle w:val="Hyperlink"/>
            <w:rFonts w:ascii="Times New Roman" w:hAnsi="Times New Roman" w:cs="Times New Roman"/>
          </w:rPr>
          <w:t>HCCH | #18 - Status table</w:t>
        </w:r>
      </w:hyperlink>
      <w:r w:rsidRPr="00F934F9">
        <w:rPr>
          <w:rFonts w:ascii="Times New Roman" w:hAnsi="Times New Roman" w:cs="Times New Roman"/>
        </w:rPr>
        <w:t>.</w:t>
      </w:r>
    </w:p>
  </w:footnote>
  <w:footnote w:id="54">
    <w:p w14:paraId="234EA355"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See </w:t>
      </w:r>
      <w:r w:rsidRPr="00F934F9">
        <w:rPr>
          <w:rFonts w:ascii="Times New Roman" w:hAnsi="Times New Roman" w:cs="Times New Roman"/>
          <w:i/>
          <w:iCs/>
          <w:lang w:val="en-US"/>
        </w:rPr>
        <w:t>Lachaux v Lachaux</w:t>
      </w:r>
      <w:r w:rsidRPr="00F934F9">
        <w:rPr>
          <w:rFonts w:ascii="Times New Roman" w:hAnsi="Times New Roman" w:cs="Times New Roman"/>
          <w:lang w:val="en-US"/>
        </w:rPr>
        <w:t xml:space="preserve"> [2019] EWCA Civ 738, para 70: “The 1986 [Family Law] Act provides a comprehensive code for determining when an overseas divorce (other than a divorce obtained in an EU Member State) is to be recognised and when the court may refuse recognition of a divorce otherwise entitled to recognition. Its predecessor, which was enacted to give effect to the 1970 Hague Convention, was the Recognition of Divorces and Legal Separations Act 1971 (”the 1971 Act”). The 1971 Act contained a provision, s. 8(2), which was in the same terms as that now contained in s. 51(3) of the 1986 Act (see below).”</w:t>
      </w:r>
    </w:p>
  </w:footnote>
  <w:footnote w:id="55">
    <w:p w14:paraId="1ADCB4D9"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Article 10 of the 1970 Convention states: “Contracting States may refuse to recognise a divorce or legal separation if such recognition is manifestly incompatible with their public policy ("ordre public").”</w:t>
      </w:r>
    </w:p>
  </w:footnote>
  <w:footnote w:id="56">
    <w:p w14:paraId="20129F75"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bookmarkStart w:id="3" w:name="_Hlk145661149"/>
      <w:r w:rsidRPr="00F934F9">
        <w:rPr>
          <w:rFonts w:ascii="Times New Roman" w:hAnsi="Times New Roman" w:cs="Times New Roman"/>
        </w:rPr>
        <w:t>[2019] EWCA Civ 738</w:t>
      </w:r>
      <w:bookmarkEnd w:id="3"/>
      <w:r w:rsidRPr="00F934F9">
        <w:rPr>
          <w:rFonts w:ascii="Times New Roman" w:hAnsi="Times New Roman" w:cs="Times New Roman"/>
        </w:rPr>
        <w:t>.</w:t>
      </w:r>
    </w:p>
  </w:footnote>
  <w:footnote w:id="57">
    <w:p w14:paraId="057C0EF1"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Regarding divorce jurisdiction, the reasons for the divorce taking place in Dubai were obvious in light of the parties' history. Both had envisaged proceedings there. The mother was a British national; and the father was a French national. They met in 2008 and married in London in February 2010. The father was living in Dubai and the parties lived there after their marriage. Their only child was born there and has always lived in Dubai. The marriage broke down in early 2011. In April 2014, the mother left Dubai and returned to England. The father and the child remained living in Dubai. Ibid, paras 11-13.</w:t>
      </w:r>
    </w:p>
  </w:footnote>
  <w:footnote w:id="58">
    <w:p w14:paraId="0355F950"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para 96. See also paras 84-95.</w:t>
      </w:r>
    </w:p>
  </w:footnote>
  <w:footnote w:id="59">
    <w:p w14:paraId="144A29AA"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172-173, and 176-179.</w:t>
      </w:r>
    </w:p>
  </w:footnote>
  <w:footnote w:id="60">
    <w:p w14:paraId="7C2D09B0"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9.</w:t>
      </w:r>
    </w:p>
  </w:footnote>
  <w:footnote w:id="61">
    <w:p w14:paraId="66D9A836"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[2010] EWCA Civ 810.</w:t>
      </w:r>
    </w:p>
  </w:footnote>
  <w:footnote w:id="62">
    <w:p w14:paraId="47170273"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78.</w:t>
      </w:r>
    </w:p>
  </w:footnote>
  <w:footnote w:id="63">
    <w:p w14:paraId="58C5BFA8"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81.</w:t>
      </w:r>
    </w:p>
  </w:footnote>
  <w:footnote w:id="64">
    <w:p w14:paraId="35566D9E"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[1988] 2 F.L.R. 388, [1988] 2 WLUK 204.</w:t>
      </w:r>
    </w:p>
  </w:footnote>
  <w:footnote w:id="65">
    <w:p w14:paraId="4FB81B37"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1993 SLT 194 (Court of Session).</w:t>
      </w:r>
    </w:p>
  </w:footnote>
  <w:footnote w:id="66">
    <w:p w14:paraId="64F8FE7F"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55.</w:t>
      </w:r>
    </w:p>
  </w:footnote>
  <w:footnote w:id="67">
    <w:p w14:paraId="3F482F18"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[1985] Fam 19.</w:t>
      </w:r>
    </w:p>
  </w:footnote>
  <w:footnote w:id="68">
    <w:p w14:paraId="4F438735"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29.</w:t>
      </w:r>
    </w:p>
  </w:footnote>
  <w:footnote w:id="69">
    <w:p w14:paraId="6CA6CDC6"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30.</w:t>
      </w:r>
    </w:p>
  </w:footnote>
  <w:footnote w:id="70">
    <w:p w14:paraId="563116BF"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30-32.</w:t>
      </w:r>
    </w:p>
  </w:footnote>
  <w:footnote w:id="71">
    <w:p w14:paraId="344273EE"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[1979] Fam 93.</w:t>
      </w:r>
    </w:p>
  </w:footnote>
  <w:footnote w:id="72">
    <w:p w14:paraId="7466436E"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111.</w:t>
      </w:r>
    </w:p>
  </w:footnote>
  <w:footnote w:id="73">
    <w:p w14:paraId="1235C83A"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110.</w:t>
      </w:r>
    </w:p>
  </w:footnote>
  <w:footnote w:id="74">
    <w:p w14:paraId="344F16E3"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[2022] 11 WLUK 45. </w:t>
      </w:r>
    </w:p>
  </w:footnote>
  <w:footnote w:id="75">
    <w:p w14:paraId="592DD6AF"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90.</w:t>
      </w:r>
    </w:p>
  </w:footnote>
  <w:footnote w:id="76">
    <w:p w14:paraId="4E91D7B5"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26.</w:t>
      </w:r>
    </w:p>
  </w:footnote>
  <w:footnote w:id="77">
    <w:p w14:paraId="4C0D1651"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87-90.</w:t>
      </w:r>
    </w:p>
  </w:footnote>
  <w:footnote w:id="78">
    <w:p w14:paraId="2D1DF9EB"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[1985] QB 190.</w:t>
      </w:r>
    </w:p>
  </w:footnote>
  <w:footnote w:id="79">
    <w:p w14:paraId="720973B3"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Dicta of Lord Fraser and Lord Scarman in </w:t>
      </w:r>
      <w:r w:rsidRPr="00F934F9">
        <w:rPr>
          <w:rFonts w:ascii="Times New Roman" w:hAnsi="Times New Roman" w:cs="Times New Roman"/>
          <w:i/>
          <w:iCs/>
        </w:rPr>
        <w:t>Quazi v Quazi</w:t>
      </w:r>
      <w:r w:rsidRPr="00F934F9">
        <w:rPr>
          <w:rFonts w:ascii="Times New Roman" w:hAnsi="Times New Roman" w:cs="Times New Roman"/>
        </w:rPr>
        <w:t xml:space="preserve"> [1980] A.C. 744, [1979] 11 WLUK 196 applied.</w:t>
      </w:r>
    </w:p>
  </w:footnote>
  <w:footnote w:id="80">
    <w:p w14:paraId="6FA8973B"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[1980] A.C. 744 (House of Lords).</w:t>
      </w:r>
    </w:p>
  </w:footnote>
  <w:footnote w:id="81">
    <w:p w14:paraId="31BEA05B"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776.</w:t>
      </w:r>
    </w:p>
  </w:footnote>
  <w:footnote w:id="82">
    <w:p w14:paraId="791A8884"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776 and 801-802.</w:t>
      </w:r>
    </w:p>
  </w:footnote>
  <w:footnote w:id="83">
    <w:p w14:paraId="09F41868"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[2011] 11 WLUK 537.</w:t>
      </w:r>
    </w:p>
  </w:footnote>
  <w:footnote w:id="84">
    <w:p w14:paraId="74590959"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21-23.</w:t>
      </w:r>
    </w:p>
  </w:footnote>
  <w:footnote w:id="85">
    <w:p w14:paraId="16C884AF"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59.</w:t>
      </w:r>
    </w:p>
  </w:footnote>
  <w:footnote w:id="86">
    <w:p w14:paraId="2596F00A" w14:textId="77777777" w:rsidR="000359C5" w:rsidRPr="00F934F9" w:rsidRDefault="000359C5" w:rsidP="000359C5">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63.</w:t>
      </w:r>
    </w:p>
  </w:footnote>
  <w:footnote w:id="87">
    <w:p w14:paraId="72C519FC" w14:textId="77777777" w:rsidR="00345894" w:rsidRPr="00F934F9" w:rsidRDefault="00345894" w:rsidP="00345894">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[2022] EWFC 19.</w:t>
      </w:r>
    </w:p>
  </w:footnote>
  <w:footnote w:id="88">
    <w:p w14:paraId="0E82E09F" w14:textId="77777777" w:rsidR="00345894" w:rsidRPr="00F934F9" w:rsidRDefault="00345894" w:rsidP="00345894">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20.</w:t>
      </w:r>
    </w:p>
  </w:footnote>
  <w:footnote w:id="89">
    <w:p w14:paraId="17E5C246"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HCCH, ‘Status Table: Declarations’ </w:t>
      </w:r>
      <w:hyperlink r:id="rId6" w:history="1">
        <w:r w:rsidRPr="00F934F9">
          <w:rPr>
            <w:rStyle w:val="Hyperlink"/>
            <w:rFonts w:ascii="Times New Roman" w:hAnsi="Times New Roman" w:cs="Times New Roman"/>
          </w:rPr>
          <w:t>HCCH | Declaration/reservation/notification</w:t>
        </w:r>
      </w:hyperlink>
      <w:r w:rsidRPr="00F934F9">
        <w:rPr>
          <w:rFonts w:ascii="Times New Roman" w:hAnsi="Times New Roman" w:cs="Times New Roman"/>
        </w:rPr>
        <w:t>.</w:t>
      </w:r>
    </w:p>
  </w:footnote>
  <w:footnote w:id="90">
    <w:p w14:paraId="645ABCE3"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It has, however, been rightly suggested that compulsory protection in respect of persons with full decision- making capacity would not be justified on human rights grounds. E. Clive, ‘The New Hague Convention on the Protection of Adults’ (2000) 2 Yearbook of Private. International Law, 1-23, 5.</w:t>
      </w:r>
    </w:p>
  </w:footnote>
  <w:footnote w:id="91">
    <w:p w14:paraId="080D38EB"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Adults with Incapacity (Scotland) Act 2000, section 1(6).</w:t>
      </w:r>
      <w:r w:rsidRPr="00F934F9">
        <w:rPr>
          <w:rFonts w:ascii="Times New Roman" w:hAnsi="Times New Roman" w:cs="Times New Roman"/>
          <w:color w:val="3D3D3D"/>
          <w:shd w:val="clear" w:color="auto" w:fill="FFFFFF"/>
        </w:rPr>
        <w:t xml:space="preserve"> </w:t>
      </w:r>
    </w:p>
  </w:footnote>
  <w:footnote w:id="92">
    <w:p w14:paraId="7E4D4AC9"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w:t>
      </w:r>
    </w:p>
  </w:footnote>
  <w:footnote w:id="93">
    <w:p w14:paraId="763B02CB"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bookmarkStart w:id="5" w:name="_Hlk146430175"/>
      <w:r w:rsidRPr="00F934F9">
        <w:rPr>
          <w:rFonts w:ascii="Times New Roman" w:hAnsi="Times New Roman" w:cs="Times New Roman"/>
        </w:rPr>
        <w:t>Adults with Incapacity (Scotland) Act 2000, section 1(6).</w:t>
      </w:r>
      <w:bookmarkEnd w:id="5"/>
    </w:p>
  </w:footnote>
  <w:footnote w:id="94">
    <w:p w14:paraId="50E716AA"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Hague Convention on the International Protection of Adults 2000, Art. 2(1).</w:t>
      </w:r>
    </w:p>
  </w:footnote>
  <w:footnote w:id="95">
    <w:p w14:paraId="4C5D4768"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Art. 2(2). However, the recognition of such measures could potentially be thwarted by the differences in the jurisdictional bases under the two regimes, cf. art.22(2)(a). See P. Lagarde, Explanatory Report on the 2000 Hague Protection of Adults Convention, Hague Conference on Private International Law, 2003, para.15.</w:t>
      </w:r>
    </w:p>
  </w:footnote>
  <w:footnote w:id="96">
    <w:p w14:paraId="31893DD8"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section 10.</w:t>
      </w:r>
      <w:r w:rsidRPr="00F934F9">
        <w:rPr>
          <w:rFonts w:ascii="Times New Roman" w:hAnsi="Times New Roman" w:cs="Times New Roman"/>
        </w:rPr>
        <w:t xml:space="preserve"> </w:t>
      </w:r>
      <w:r w:rsidRPr="00F934F9">
        <w:rPr>
          <w:rFonts w:ascii="Times New Roman" w:hAnsi="Times New Roman" w:cs="Times New Roman"/>
          <w:lang w:val="en-US"/>
        </w:rPr>
        <w:t>Under the Act local authorities have a duty to supervise welfare guardians. All newly appointed welfare guardians should be visited within the first three months of appointment and thereafter twice a year. They have a duty to provide advice and information to welfare guardians and welfare attorneys. Local authorities also have a duty to investigate complaints against welfare guardians and attorneys and, in certain circumstances, the court can order the local authority to supervise a welfare attorney.</w:t>
      </w:r>
    </w:p>
  </w:footnote>
  <w:footnote w:id="97">
    <w:p w14:paraId="791651D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sections 2-5.</w:t>
      </w:r>
      <w:r w:rsidRPr="00F934F9">
        <w:rPr>
          <w:rFonts w:ascii="Times New Roman" w:hAnsi="Times New Roman" w:cs="Times New Roman"/>
        </w:rPr>
        <w:t xml:space="preserve"> </w:t>
      </w:r>
      <w:r w:rsidRPr="00F934F9">
        <w:rPr>
          <w:rFonts w:ascii="Times New Roman" w:hAnsi="Times New Roman" w:cs="Times New Roman"/>
          <w:lang w:val="en-US"/>
        </w:rPr>
        <w:t>The court is responsible for the appointment of financial and welfare guardians. The sheriff decides on the powers to be granted, and how long the powers should last. The adult him/herself and anyone else with an interest can appeal to the court against an order or any aspect of it. A complaint against an intervener, guardian or attorney can also be taken to the sheriff court and investigated. Where a serious complaint is upheld the court can reduce or remove the powers granted.</w:t>
      </w:r>
    </w:p>
  </w:footnote>
  <w:footnote w:id="98">
    <w:p w14:paraId="684FC003"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section 6. The Office of the Public Guardian (Scotland) </w:t>
      </w:r>
    </w:p>
  </w:footnote>
  <w:footnote w:id="99">
    <w:p w14:paraId="5686116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section 9.</w:t>
      </w:r>
    </w:p>
  </w:footnote>
  <w:footnote w:id="100">
    <w:p w14:paraId="7057505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Part 2.</w:t>
      </w:r>
    </w:p>
  </w:footnote>
  <w:footnote w:id="101">
    <w:p w14:paraId="60B33B2E" w14:textId="77777777" w:rsidR="00544A2E" w:rsidRPr="00F934F9" w:rsidRDefault="00544A2E" w:rsidP="00544A2E">
      <w:pPr>
        <w:jc w:val="both"/>
        <w:rPr>
          <w:rFonts w:ascii="Times New Roman" w:hAnsi="Times New Roman" w:cs="Times New Roman"/>
          <w:sz w:val="20"/>
          <w:szCs w:val="20"/>
        </w:rPr>
      </w:pPr>
      <w:r w:rsidRPr="00F934F9">
        <w:rPr>
          <w:rStyle w:val="FootnoteReference"/>
          <w:rFonts w:ascii="Times New Roman" w:hAnsi="Times New Roman" w:cs="Times New Roman"/>
          <w:sz w:val="20"/>
          <w:szCs w:val="20"/>
        </w:rPr>
        <w:footnoteRef/>
      </w:r>
      <w:r w:rsidRPr="00F934F9">
        <w:rPr>
          <w:rFonts w:ascii="Times New Roman" w:hAnsi="Times New Roman" w:cs="Times New Roman"/>
          <w:sz w:val="20"/>
          <w:szCs w:val="20"/>
        </w:rPr>
        <w:t xml:space="preserve"> Ibid, Part 3. Access to funds scheme is a way of accessing the adult's bank or building society account/s in order to meet his/her living costs. Proactive administration of money is not permitted under this scheme, e.g., management of investments. An application can be made to the Office of Public Guardian by an individual (normally the person's main carer/other family member) or organisation. The person or organisation appointed is called a 'withdrawer'. </w:t>
      </w:r>
    </w:p>
  </w:footnote>
  <w:footnote w:id="102">
    <w:p w14:paraId="56F2387D"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Part 4. The Act allows authorised care establishments and hospitals to manage a limited amount of the funds and property of residents who are unable to do this for themselves and have no one else available to do so. A certificate of authority may be granted to a care home manager by the supervising body (local authority or health board).</w:t>
      </w:r>
    </w:p>
  </w:footnote>
  <w:footnote w:id="103">
    <w:p w14:paraId="256DF904" w14:textId="77777777" w:rsidR="00544A2E" w:rsidRPr="00F934F9" w:rsidRDefault="00544A2E" w:rsidP="00544A2E">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Part 5. The Act allows treatment to be given to safeguard or promote the physical or mental health of an adult who is unable to consent. The principles apply to medical treatment decisions as to other areas of decision-making. Where a welfare attorney or guardian has been appointed with health care decision-making powers the doctor must seek his/her consent where it is practicable and reasonable to do so. Where the adult has no welfare attorney or guardian, a doctor is authorised to provide medical treatment, subject to certain safeguards and exceptions. Where there is disagreement a second medical opinion must be sought. The Mental Welfare Commission holds a list of specialist doctors for this purpose. Cases can also be referred to the Court of Session in certain circumstances. Other health care staff may also be authorised to provide treatment to an adult who is unable to give consent, so long as the treatment required is within his/her specialism, for example, a dentist.</w:t>
      </w:r>
    </w:p>
  </w:footnote>
  <w:footnote w:id="104">
    <w:p w14:paraId="06F6CD9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Part 5. The Act permits medical research involving an adult incapable of giving consent subject to certain safeguards and exceptions.</w:t>
      </w:r>
    </w:p>
  </w:footnote>
  <w:footnote w:id="105">
    <w:p w14:paraId="453B04F5"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section 53.</w:t>
      </w:r>
    </w:p>
  </w:footnote>
  <w:footnote w:id="106">
    <w:p w14:paraId="043A0DB0"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section 57.</w:t>
      </w:r>
    </w:p>
  </w:footnote>
  <w:footnote w:id="107">
    <w:p w14:paraId="422BD4E1"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Part 2.</w:t>
      </w:r>
    </w:p>
  </w:footnote>
  <w:footnote w:id="108">
    <w:p w14:paraId="2692A191"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Part 6.</w:t>
      </w:r>
    </w:p>
  </w:footnote>
  <w:footnote w:id="109">
    <w:p w14:paraId="624D0BB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Part 6.</w:t>
      </w:r>
    </w:p>
  </w:footnote>
  <w:footnote w:id="110">
    <w:p w14:paraId="40C87095"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section 1(2).</w:t>
      </w:r>
    </w:p>
  </w:footnote>
  <w:footnote w:id="111">
    <w:p w14:paraId="6493E7E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section 1(3).</w:t>
      </w:r>
    </w:p>
  </w:footnote>
  <w:footnote w:id="112">
    <w:p w14:paraId="19359391"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See Scottish Government, ‘Adults with Incapacity (Scotland) Act 2000: A Guide to Communication and Assessing Capacity’, February 2008, </w:t>
      </w:r>
      <w:hyperlink r:id="rId7" w:history="1">
        <w:r w:rsidRPr="00F934F9">
          <w:rPr>
            <w:rStyle w:val="Hyperlink"/>
            <w:rFonts w:ascii="Times New Roman" w:hAnsi="Times New Roman" w:cs="Times New Roman"/>
            <w:color w:val="0065BD"/>
            <w:shd w:val="clear" w:color="auto" w:fill="FFFFFF"/>
          </w:rPr>
          <w:t>http://www.scotland.gov.uk/Publications/2008/02/01151101/0</w:t>
        </w:r>
      </w:hyperlink>
      <w:r w:rsidRPr="00F934F9">
        <w:rPr>
          <w:rFonts w:ascii="Times New Roman" w:hAnsi="Times New Roman" w:cs="Times New Roman"/>
        </w:rPr>
        <w:t>.</w:t>
      </w:r>
    </w:p>
  </w:footnote>
  <w:footnote w:id="113">
    <w:p w14:paraId="376AF00D"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Adults with Incapacity (Scotland) Act 2000</w:t>
      </w:r>
      <w:r w:rsidRPr="00F934F9">
        <w:rPr>
          <w:rFonts w:ascii="Times New Roman" w:hAnsi="Times New Roman" w:cs="Times New Roman"/>
          <w:lang w:val="en-US"/>
        </w:rPr>
        <w:t>, s 1(4).</w:t>
      </w:r>
    </w:p>
  </w:footnote>
  <w:footnote w:id="114">
    <w:p w14:paraId="1C87FC6A" w14:textId="77777777" w:rsidR="00544A2E" w:rsidRPr="00F934F9" w:rsidRDefault="00544A2E" w:rsidP="00544A2E">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Advice and Assistance:  This is available, subject to the statutory financial eligibility test being satisfied, to enable people to seek advice from a solicitor on any aspect of the Act. It is the solicitor who applies the financial eligibility test in respect of applications for legal aid for Advice and Assistance. Where the applicant is someone other than the adult, financial eligibility will be assessed on the resources of the adult and not the applicant. Although legal aid by way of advice and assistance may be available certain fees, e.g. to the OPG may still be payable. Note that the OPG provides non-legal advice free - for example, about the suitability of using the Access to Funds scheme or financial guardianship where person may lack capacity to manage his/her finances. </w:t>
      </w:r>
    </w:p>
    <w:p w14:paraId="27EB323F" w14:textId="77777777" w:rsidR="00544A2E" w:rsidRPr="00F934F9" w:rsidRDefault="00544A2E" w:rsidP="00544A2E">
      <w:pPr>
        <w:pStyle w:val="FootnoteText"/>
        <w:jc w:val="both"/>
        <w:rPr>
          <w:rFonts w:ascii="Times New Roman" w:hAnsi="Times New Roman" w:cs="Times New Roman"/>
        </w:rPr>
      </w:pPr>
      <w:r w:rsidRPr="00F934F9">
        <w:rPr>
          <w:rFonts w:ascii="Times New Roman" w:hAnsi="Times New Roman" w:cs="Times New Roman"/>
        </w:rPr>
        <w:t xml:space="preserve">Civil Legal Aid: This is available without a means-test in respect of applications for an intervention or guardianship order which include welfare powers or a mix of welfare and financial powers. In this case the solicitor applies to the Scottish Legal Aid Board who decides if the application meets the eligibility criteria. Where there is no welfare element and the application is for financial powers only, the Board will look at the income and capital of the adult. See Scottish Legal Board website at </w:t>
      </w:r>
      <w:hyperlink r:id="rId8" w:history="1">
        <w:r w:rsidRPr="00F934F9">
          <w:rPr>
            <w:rStyle w:val="Hyperlink"/>
            <w:rFonts w:ascii="Times New Roman" w:hAnsi="Times New Roman" w:cs="Times New Roman"/>
          </w:rPr>
          <w:t>Home - Scottish Legal Aid Board (slab.org.uk)</w:t>
        </w:r>
      </w:hyperlink>
      <w:r w:rsidRPr="00F934F9">
        <w:rPr>
          <w:rFonts w:ascii="Times New Roman" w:hAnsi="Times New Roman" w:cs="Times New Roman"/>
        </w:rPr>
        <w:t>.</w:t>
      </w:r>
    </w:p>
  </w:footnote>
  <w:footnote w:id="115">
    <w:p w14:paraId="04F35629"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section 1(7).</w:t>
      </w:r>
    </w:p>
  </w:footnote>
  <w:footnote w:id="116">
    <w:p w14:paraId="063D0A03"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color w:val="3D3D3D"/>
          <w:shd w:val="clear" w:color="auto" w:fill="FFFFFF"/>
        </w:rPr>
        <w:t>These powers are to continue to have effect during the granter’s incapacity.</w:t>
      </w:r>
    </w:p>
  </w:footnote>
  <w:footnote w:id="117">
    <w:p w14:paraId="6EB5C185"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2012 S.L.T. (Sh Ct) 189.</w:t>
      </w:r>
    </w:p>
  </w:footnote>
  <w:footnote w:id="118">
    <w:p w14:paraId="4DCE0081" w14:textId="77777777" w:rsidR="00544A2E" w:rsidRPr="00F934F9" w:rsidRDefault="00544A2E" w:rsidP="00544A2E">
      <w:pPr>
        <w:pStyle w:val="FootnoteText"/>
        <w:jc w:val="both"/>
        <w:rPr>
          <w:rFonts w:ascii="Times New Roman" w:hAnsi="Times New Roman" w:cs="Times New Roman"/>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Re PA; Re PC; Re PB</w:t>
      </w:r>
      <w:r w:rsidRPr="00F934F9">
        <w:rPr>
          <w:rFonts w:ascii="Times New Roman" w:hAnsi="Times New Roman" w:cs="Times New Roman"/>
          <w:lang w:val="en-US"/>
        </w:rPr>
        <w:t xml:space="preserve"> [2015] EWCOP 38, para 25.</w:t>
      </w:r>
    </w:p>
  </w:footnote>
  <w:footnote w:id="119">
    <w:p w14:paraId="72F631F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Mental Capacity Act 2005, Schedule 3, para 6.</w:t>
      </w:r>
    </w:p>
  </w:footnote>
  <w:footnote w:id="120">
    <w:p w14:paraId="69E8FB5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Mental Capacity Act 2005, section 63.</w:t>
      </w:r>
    </w:p>
  </w:footnote>
  <w:footnote w:id="121">
    <w:p w14:paraId="2A004F8B"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shd w:val="clear" w:color="auto" w:fill="FFFFFF"/>
        </w:rPr>
        <w:t>[2022] EWCOP 52.</w:t>
      </w:r>
    </w:p>
  </w:footnote>
  <w:footnote w:id="122">
    <w:p w14:paraId="68F84DC7"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w:t>
      </w:r>
      <w:r w:rsidRPr="00F934F9">
        <w:rPr>
          <w:rFonts w:ascii="Times New Roman" w:hAnsi="Times New Roman" w:cs="Times New Roman"/>
          <w:shd w:val="clear" w:color="auto" w:fill="FFFFFF"/>
        </w:rPr>
        <w:t>paras 21, 23, 25, and Annex A of the judgment.</w:t>
      </w:r>
    </w:p>
  </w:footnote>
  <w:footnote w:id="123">
    <w:p w14:paraId="18CCB3A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28-30.</w:t>
      </w:r>
    </w:p>
  </w:footnote>
  <w:footnote w:id="124">
    <w:p w14:paraId="001581F0"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32.</w:t>
      </w:r>
    </w:p>
  </w:footnote>
  <w:footnote w:id="125">
    <w:p w14:paraId="54268D5B"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33-36.</w:t>
      </w:r>
    </w:p>
  </w:footnote>
  <w:footnote w:id="126">
    <w:p w14:paraId="6609CC9A"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37-38.</w:t>
      </w:r>
    </w:p>
  </w:footnote>
  <w:footnote w:id="127">
    <w:p w14:paraId="20FB10A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38-41.</w:t>
      </w:r>
    </w:p>
  </w:footnote>
  <w:footnote w:id="128">
    <w:p w14:paraId="5ABBA9CB"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shd w:val="clear" w:color="auto" w:fill="FFFFFF"/>
        </w:rPr>
        <w:t>Re EM</w:t>
      </w:r>
      <w:r w:rsidRPr="00F934F9">
        <w:rPr>
          <w:rFonts w:ascii="Times New Roman" w:hAnsi="Times New Roman" w:cs="Times New Roman"/>
          <w:shd w:val="clear" w:color="auto" w:fill="FFFFFF"/>
        </w:rPr>
        <w:t xml:space="preserve"> [2022] EWCOP 31 applied. Ibid, para 53.</w:t>
      </w:r>
    </w:p>
  </w:footnote>
  <w:footnote w:id="129">
    <w:p w14:paraId="6C6DAEA1"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50-52.</w:t>
      </w:r>
    </w:p>
  </w:footnote>
  <w:footnote w:id="130">
    <w:p w14:paraId="46D1472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[2020] EWCOP 47.</w:t>
      </w:r>
    </w:p>
  </w:footnote>
  <w:footnote w:id="131">
    <w:p w14:paraId="65A490B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[2020] EWCOP 47.</w:t>
      </w:r>
    </w:p>
  </w:footnote>
  <w:footnote w:id="132">
    <w:p w14:paraId="7551AB7A"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Re QD (Jurisdiction: Habitual Residence)</w:t>
      </w:r>
      <w:r w:rsidRPr="00F934F9">
        <w:rPr>
          <w:rFonts w:ascii="Times New Roman" w:hAnsi="Times New Roman" w:cs="Times New Roman"/>
        </w:rPr>
        <w:t xml:space="preserve"> [2019] EWCOP 56.</w:t>
      </w:r>
    </w:p>
  </w:footnote>
  <w:footnote w:id="133">
    <w:p w14:paraId="592C5B15"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M v AB</w:t>
      </w:r>
      <w:r w:rsidRPr="00F934F9">
        <w:rPr>
          <w:rFonts w:ascii="Times New Roman" w:hAnsi="Times New Roman" w:cs="Times New Roman"/>
        </w:rPr>
        <w:t xml:space="preserve"> </w:t>
      </w:r>
      <w:r w:rsidRPr="00F934F9">
        <w:rPr>
          <w:rFonts w:ascii="Times New Roman" w:hAnsi="Times New Roman" w:cs="Times New Roman"/>
          <w:lang w:val="en-US"/>
        </w:rPr>
        <w:t xml:space="preserve">[2020] EWCOP 47, </w:t>
      </w:r>
      <w:r w:rsidRPr="00F934F9">
        <w:rPr>
          <w:rFonts w:ascii="Times New Roman" w:hAnsi="Times New Roman" w:cs="Times New Roman"/>
        </w:rPr>
        <w:t>paras 49 and 83-88.</w:t>
      </w:r>
    </w:p>
  </w:footnote>
  <w:footnote w:id="134">
    <w:p w14:paraId="15AF26E6"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This requirement stemmed from the Mental Capacity Act 2005, </w:t>
      </w:r>
      <w:r w:rsidRPr="00F934F9">
        <w:rPr>
          <w:rFonts w:ascii="Times New Roman" w:hAnsi="Times New Roman" w:cs="Times New Roman"/>
          <w:shd w:val="clear" w:color="auto" w:fill="FFFFFF"/>
        </w:rPr>
        <w:t xml:space="preserve">Schedule 3, para.19(1) and the requirements to "work with the grain of [the] order" of a country whose legal systems, law and procedures were closely aligned to those in England, as set out in </w:t>
      </w:r>
      <w:r w:rsidRPr="00F934F9">
        <w:rPr>
          <w:rFonts w:ascii="Times New Roman" w:hAnsi="Times New Roman" w:cs="Times New Roman"/>
          <w:i/>
          <w:iCs/>
          <w:shd w:val="clear" w:color="auto" w:fill="FFFFFF"/>
        </w:rPr>
        <w:t>Re PA</w:t>
      </w:r>
      <w:r w:rsidRPr="00F934F9">
        <w:rPr>
          <w:rFonts w:ascii="Times New Roman" w:hAnsi="Times New Roman" w:cs="Times New Roman"/>
          <w:shd w:val="clear" w:color="auto" w:fill="FFFFFF"/>
        </w:rPr>
        <w:t xml:space="preserve"> [2015] EWCOP 38.</w:t>
      </w:r>
    </w:p>
  </w:footnote>
  <w:footnote w:id="135">
    <w:p w14:paraId="7B73F91A"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M v AB</w:t>
      </w:r>
      <w:r w:rsidRPr="00F934F9">
        <w:rPr>
          <w:rFonts w:ascii="Times New Roman" w:hAnsi="Times New Roman" w:cs="Times New Roman"/>
        </w:rPr>
        <w:t xml:space="preserve"> </w:t>
      </w:r>
      <w:r w:rsidRPr="00F934F9">
        <w:rPr>
          <w:rFonts w:ascii="Times New Roman" w:hAnsi="Times New Roman" w:cs="Times New Roman"/>
          <w:lang w:val="en-US"/>
        </w:rPr>
        <w:t xml:space="preserve">[2020] EWCOP 47, </w:t>
      </w:r>
      <w:r w:rsidRPr="00F934F9">
        <w:rPr>
          <w:rFonts w:ascii="Times New Roman" w:hAnsi="Times New Roman" w:cs="Times New Roman"/>
          <w:shd w:val="clear" w:color="auto" w:fill="FFFFFF"/>
        </w:rPr>
        <w:t xml:space="preserve">paras 49, 89, and 95-96. </w:t>
      </w:r>
      <w:r w:rsidRPr="00F934F9">
        <w:rPr>
          <w:rFonts w:ascii="Times New Roman" w:hAnsi="Times New Roman" w:cs="Times New Roman"/>
          <w:i/>
          <w:iCs/>
        </w:rPr>
        <w:t>Re MN</w:t>
      </w:r>
      <w:r w:rsidRPr="00F934F9">
        <w:rPr>
          <w:rFonts w:ascii="Times New Roman" w:hAnsi="Times New Roman" w:cs="Times New Roman"/>
        </w:rPr>
        <w:t xml:space="preserve"> [2010] EWHC 1926 (Fam) applied. </w:t>
      </w:r>
    </w:p>
  </w:footnote>
  <w:footnote w:id="136">
    <w:p w14:paraId="2B285973"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[2020] EWCOP 12.</w:t>
      </w:r>
    </w:p>
  </w:footnote>
  <w:footnote w:id="137">
    <w:p w14:paraId="45FC661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paras </w:t>
      </w:r>
      <w:r w:rsidRPr="00F934F9">
        <w:rPr>
          <w:rFonts w:ascii="Times New Roman" w:hAnsi="Times New Roman" w:cs="Times New Roman"/>
          <w:shd w:val="clear" w:color="auto" w:fill="FFFFFF"/>
        </w:rPr>
        <w:t>56-62.</w:t>
      </w:r>
    </w:p>
  </w:footnote>
  <w:footnote w:id="138">
    <w:p w14:paraId="7EE688D4"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[2010] EWHC1926 (Fam).</w:t>
      </w:r>
    </w:p>
  </w:footnote>
  <w:footnote w:id="139">
    <w:p w14:paraId="6D1C177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On the doctrine of necessity, see also </w:t>
      </w:r>
      <w:r w:rsidRPr="00F934F9">
        <w:rPr>
          <w:rFonts w:ascii="Times New Roman" w:hAnsi="Times New Roman" w:cs="Times New Roman"/>
          <w:i/>
          <w:iCs/>
          <w:lang w:val="en-US"/>
        </w:rPr>
        <w:t xml:space="preserve">Re O (Court of Protection: Jurisdiction) </w:t>
      </w:r>
      <w:r w:rsidRPr="00F934F9">
        <w:rPr>
          <w:rFonts w:ascii="Times New Roman" w:hAnsi="Times New Roman" w:cs="Times New Roman"/>
        </w:rPr>
        <w:t>[2013] EWHC 3932 (COP)</w:t>
      </w:r>
      <w:r w:rsidRPr="00F934F9">
        <w:rPr>
          <w:rFonts w:ascii="Times New Roman" w:hAnsi="Times New Roman" w:cs="Times New Roman"/>
          <w:lang w:val="en-US"/>
        </w:rPr>
        <w:t xml:space="preserve"> below.</w:t>
      </w:r>
    </w:p>
  </w:footnote>
  <w:footnote w:id="140">
    <w:p w14:paraId="69BDF498"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Re MN (Recognition and Enforcement of Foreign Protective Measures)</w:t>
      </w:r>
      <w:r w:rsidRPr="00F934F9">
        <w:rPr>
          <w:rFonts w:ascii="Times New Roman" w:hAnsi="Times New Roman" w:cs="Times New Roman"/>
        </w:rPr>
        <w:t xml:space="preserve"> [2010] EWHC1926 (Fam), </w:t>
      </w:r>
      <w:r w:rsidRPr="00F934F9">
        <w:rPr>
          <w:rFonts w:ascii="Times New Roman" w:hAnsi="Times New Roman" w:cs="Times New Roman"/>
          <w:lang w:val="en-US"/>
        </w:rPr>
        <w:t>para 18.</w:t>
      </w:r>
    </w:p>
  </w:footnote>
  <w:footnote w:id="141">
    <w:p w14:paraId="375D517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para 20. On the doctrine of necessity, see also </w:t>
      </w:r>
      <w:r w:rsidRPr="00F934F9">
        <w:rPr>
          <w:rFonts w:ascii="Times New Roman" w:hAnsi="Times New Roman" w:cs="Times New Roman"/>
          <w:i/>
          <w:iCs/>
          <w:lang w:val="en-US"/>
        </w:rPr>
        <w:t xml:space="preserve">Re O (Court of Protection: Jurisdiction) </w:t>
      </w:r>
      <w:r w:rsidRPr="00F934F9">
        <w:rPr>
          <w:rFonts w:ascii="Times New Roman" w:hAnsi="Times New Roman" w:cs="Times New Roman"/>
        </w:rPr>
        <w:t>[2013] EWHC 3932 (COP)</w:t>
      </w:r>
      <w:r w:rsidRPr="00F934F9">
        <w:rPr>
          <w:rFonts w:ascii="Times New Roman" w:hAnsi="Times New Roman" w:cs="Times New Roman"/>
          <w:lang w:val="en-US"/>
        </w:rPr>
        <w:t xml:space="preserve"> below.</w:t>
      </w:r>
    </w:p>
  </w:footnote>
  <w:footnote w:id="142">
    <w:p w14:paraId="120C4CA8"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[2015] EWCOP 38.</w:t>
      </w:r>
    </w:p>
  </w:footnote>
  <w:footnote w:id="143">
    <w:p w14:paraId="7CE5827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25.</w:t>
      </w:r>
    </w:p>
  </w:footnote>
  <w:footnote w:id="144">
    <w:p w14:paraId="0BCC4E8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52.</w:t>
      </w:r>
    </w:p>
  </w:footnote>
  <w:footnote w:id="145">
    <w:p w14:paraId="37EE6059"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55 and 58.</w:t>
      </w:r>
    </w:p>
  </w:footnote>
  <w:footnote w:id="146">
    <w:p w14:paraId="4EF30A1A"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paras 60-62. </w:t>
      </w:r>
      <w:r w:rsidRPr="00F934F9">
        <w:rPr>
          <w:rFonts w:ascii="Times New Roman" w:hAnsi="Times New Roman" w:cs="Times New Roman"/>
          <w:i/>
          <w:iCs/>
        </w:rPr>
        <w:t xml:space="preserve">Re </w:t>
      </w:r>
      <w:r w:rsidRPr="00F934F9">
        <w:rPr>
          <w:rFonts w:ascii="Times New Roman" w:hAnsi="Times New Roman" w:cs="Times New Roman"/>
          <w:i/>
          <w:iCs/>
          <w:shd w:val="clear" w:color="auto" w:fill="FFFFFF"/>
        </w:rPr>
        <w:t>M</w:t>
      </w:r>
      <w:r w:rsidRPr="00F934F9">
        <w:rPr>
          <w:rFonts w:ascii="Times New Roman" w:hAnsi="Times New Roman" w:cs="Times New Roman"/>
          <w:shd w:val="clear" w:color="auto" w:fill="FFFFFF"/>
        </w:rPr>
        <w:t xml:space="preserve"> [2011] EWHC 3590 (Fam) applied.</w:t>
      </w:r>
    </w:p>
  </w:footnote>
  <w:footnote w:id="147">
    <w:p w14:paraId="5CD76421"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shd w:val="clear" w:color="auto" w:fill="FFFFFF"/>
        </w:rPr>
        <w:t>Winterwerp v Netherlands</w:t>
      </w:r>
      <w:r w:rsidRPr="00F934F9">
        <w:rPr>
          <w:rFonts w:ascii="Times New Roman" w:hAnsi="Times New Roman" w:cs="Times New Roman"/>
          <w:shd w:val="clear" w:color="auto" w:fill="FFFFFF"/>
        </w:rPr>
        <w:t xml:space="preserve"> (A/33) (1979-80) 2 E.H.R.R. 387, [1979] 10 WLUK 201.</w:t>
      </w:r>
    </w:p>
  </w:footnote>
  <w:footnote w:id="148">
    <w:p w14:paraId="4E293A47"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Re PA; Re PB; Re PC</w:t>
      </w:r>
      <w:r w:rsidRPr="00F934F9">
        <w:rPr>
          <w:rFonts w:ascii="Times New Roman" w:hAnsi="Times New Roman" w:cs="Times New Roman"/>
        </w:rPr>
        <w:t xml:space="preserve"> [2015] EWCOP 38, </w:t>
      </w:r>
      <w:r w:rsidRPr="00F934F9">
        <w:rPr>
          <w:rFonts w:ascii="Times New Roman" w:hAnsi="Times New Roman" w:cs="Times New Roman"/>
          <w:shd w:val="clear" w:color="auto" w:fill="FFFFFF"/>
        </w:rPr>
        <w:t>paras 63-65, 92-96, and 98.</w:t>
      </w:r>
    </w:p>
  </w:footnote>
  <w:footnote w:id="149">
    <w:p w14:paraId="1EAD8C0A"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w:t>
      </w:r>
      <w:r w:rsidRPr="00F934F9">
        <w:rPr>
          <w:rFonts w:ascii="Times New Roman" w:hAnsi="Times New Roman" w:cs="Times New Roman"/>
          <w:shd w:val="clear" w:color="auto" w:fill="FFFFFF"/>
        </w:rPr>
        <w:t>paras 97 and 103.</w:t>
      </w:r>
    </w:p>
  </w:footnote>
  <w:footnote w:id="150">
    <w:p w14:paraId="02E211B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[2019] EWCOP 52.</w:t>
      </w:r>
    </w:p>
  </w:footnote>
  <w:footnote w:id="151">
    <w:p w14:paraId="35CF1251"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24(1).</w:t>
      </w:r>
    </w:p>
  </w:footnote>
  <w:footnote w:id="152">
    <w:p w14:paraId="63FE9008"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24(2).</w:t>
      </w:r>
    </w:p>
  </w:footnote>
  <w:footnote w:id="153">
    <w:p w14:paraId="37E8753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24(3).</w:t>
      </w:r>
    </w:p>
  </w:footnote>
  <w:footnote w:id="154">
    <w:p w14:paraId="6BE6D2C4"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24(4).</w:t>
      </w:r>
    </w:p>
  </w:footnote>
  <w:footnote w:id="155">
    <w:p w14:paraId="1130A417"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24(5).</w:t>
      </w:r>
    </w:p>
  </w:footnote>
  <w:footnote w:id="156">
    <w:p w14:paraId="1213B5A3"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Ibid, t</w:t>
      </w:r>
      <w:r w:rsidRPr="00F934F9">
        <w:rPr>
          <w:rFonts w:ascii="Times New Roman" w:hAnsi="Times New Roman" w:cs="Times New Roman"/>
          <w:lang w:val="en-US"/>
        </w:rPr>
        <w:t>itled ‘Recognition and Enforcement’.</w:t>
      </w:r>
    </w:p>
  </w:footnote>
  <w:footnote w:id="157">
    <w:p w14:paraId="192BF94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25-27 and 34. Schedule 3, para 19 contains provisions on recognition and provides:</w:t>
      </w:r>
      <w:r w:rsidRPr="00F934F9">
        <w:rPr>
          <w:rFonts w:ascii="Times New Roman" w:hAnsi="Times New Roman" w:cs="Times New Roman"/>
        </w:rPr>
        <w:t xml:space="preserve"> </w:t>
      </w:r>
      <w:r w:rsidRPr="00F934F9">
        <w:rPr>
          <w:rFonts w:ascii="Times New Roman" w:hAnsi="Times New Roman" w:cs="Times New Roman"/>
          <w:lang w:val="en-US"/>
        </w:rPr>
        <w:t>(1) A protective measure taken in relation to an adult under the law of a country other than England and Wales is to be recognised in England and Wales if it was taken on the ground that the adult is habitually resident in the other country. (2) A protective measure taken in relation to an adult under the law of a Convention country other than England and Wales is to be recognised in England and Wales if it was taken on a ground mentioned in Chapter 2 (jurisdiction). (3) But the court may disapply this paragraph in relation to a measure if it thinks that— (a) the case in which the measure was taken was not urgent, (b) the adult was not given an opportunity to be heard, and (c) that omission amounted to a breach of natural justice. (4) It may also disapply this paragraph in relation to a measure if it thinks that— (a) recognition of the measure would be manifestly contrary to public policy, (b) the measure would be inconsistent with a mandatory provision of the law of England and Wales, or (c) the measure is inconsistent with one subsequently taken, or recognised, in England and Wales in relation to the adult. (5) And the court may disapply this paragraph in relation to a measure taken under the law of a Convention country in a matter to which Article 33 applies, if the court thinks that that Article has not been complied with in connection with that matter.</w:t>
      </w:r>
    </w:p>
  </w:footnote>
  <w:footnote w:id="158">
    <w:p w14:paraId="47078C3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[2015] EWCOP 48.</w:t>
      </w:r>
    </w:p>
  </w:footnote>
  <w:footnote w:id="159">
    <w:p w14:paraId="079BB969"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31-35.</w:t>
      </w:r>
    </w:p>
  </w:footnote>
  <w:footnote w:id="160">
    <w:p w14:paraId="7C249BED"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36-37.</w:t>
      </w:r>
    </w:p>
  </w:footnote>
  <w:footnote w:id="161">
    <w:p w14:paraId="237EC870"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38.</w:t>
      </w:r>
    </w:p>
  </w:footnote>
  <w:footnote w:id="162">
    <w:p w14:paraId="51DC358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[2014] EWCOP 43.</w:t>
      </w:r>
    </w:p>
  </w:footnote>
  <w:footnote w:id="163">
    <w:p w14:paraId="07FF12E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shd w:val="clear" w:color="auto" w:fill="FFFFFF"/>
        </w:rPr>
        <w:t>A v A (Children) (Habitual Residence)</w:t>
      </w:r>
      <w:r w:rsidRPr="00F934F9">
        <w:rPr>
          <w:rFonts w:ascii="Times New Roman" w:hAnsi="Times New Roman" w:cs="Times New Roman"/>
          <w:shd w:val="clear" w:color="auto" w:fill="FFFFFF"/>
        </w:rPr>
        <w:t xml:space="preserve"> [2013] UKSC 60 and </w:t>
      </w:r>
      <w:r w:rsidRPr="00F934F9">
        <w:rPr>
          <w:rFonts w:ascii="Times New Roman" w:hAnsi="Times New Roman" w:cs="Times New Roman"/>
          <w:i/>
          <w:iCs/>
          <w:shd w:val="clear" w:color="auto" w:fill="FFFFFF"/>
        </w:rPr>
        <w:t>Proceedings Brought by A</w:t>
      </w:r>
      <w:r w:rsidRPr="00F934F9">
        <w:rPr>
          <w:rFonts w:ascii="Times New Roman" w:hAnsi="Times New Roman" w:cs="Times New Roman"/>
          <w:shd w:val="clear" w:color="auto" w:fill="FFFFFF"/>
        </w:rPr>
        <w:t xml:space="preserve"> (C-523/07) EU:C:2009:225 applied.</w:t>
      </w:r>
    </w:p>
  </w:footnote>
  <w:footnote w:id="164">
    <w:p w14:paraId="5F85EA7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An English Local Authority v SW</w:t>
      </w:r>
      <w:r w:rsidRPr="00F934F9">
        <w:rPr>
          <w:rFonts w:ascii="Times New Roman" w:hAnsi="Times New Roman" w:cs="Times New Roman"/>
        </w:rPr>
        <w:t xml:space="preserve"> </w:t>
      </w:r>
      <w:r w:rsidRPr="00F934F9">
        <w:rPr>
          <w:rFonts w:ascii="Times New Roman" w:hAnsi="Times New Roman" w:cs="Times New Roman"/>
          <w:lang w:val="en-US"/>
        </w:rPr>
        <w:t xml:space="preserve">[2014] EWCOP 43, </w:t>
      </w:r>
      <w:r w:rsidRPr="00F934F9">
        <w:rPr>
          <w:rFonts w:ascii="Times New Roman" w:hAnsi="Times New Roman" w:cs="Times New Roman"/>
        </w:rPr>
        <w:t>paras 64-68, and 71-72.</w:t>
      </w:r>
    </w:p>
  </w:footnote>
  <w:footnote w:id="165">
    <w:p w14:paraId="2F816F77"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paras 73-75. </w:t>
      </w:r>
      <w:r w:rsidRPr="00F934F9">
        <w:rPr>
          <w:rFonts w:ascii="Times New Roman" w:hAnsi="Times New Roman" w:cs="Times New Roman"/>
          <w:i/>
          <w:iCs/>
          <w:lang w:val="en-US"/>
        </w:rPr>
        <w:t>Proceedings Brought by A</w:t>
      </w:r>
      <w:r w:rsidRPr="00F934F9">
        <w:rPr>
          <w:rFonts w:ascii="Times New Roman" w:hAnsi="Times New Roman" w:cs="Times New Roman"/>
          <w:lang w:val="en-US"/>
        </w:rPr>
        <w:t xml:space="preserve"> (C-523/07) EU:C:2009:225 and </w:t>
      </w:r>
      <w:r w:rsidRPr="00F934F9">
        <w:rPr>
          <w:rFonts w:ascii="Times New Roman" w:hAnsi="Times New Roman" w:cs="Times New Roman"/>
          <w:i/>
          <w:iCs/>
          <w:lang w:val="en-US"/>
        </w:rPr>
        <w:t>Mercredi v Chaffe</w:t>
      </w:r>
      <w:r w:rsidRPr="00F934F9">
        <w:rPr>
          <w:rFonts w:ascii="Times New Roman" w:hAnsi="Times New Roman" w:cs="Times New Roman"/>
          <w:lang w:val="en-US"/>
        </w:rPr>
        <w:t xml:space="preserve"> (C-497/10 PPU) EU:C:2010:829 applied.</w:t>
      </w:r>
    </w:p>
  </w:footnote>
  <w:footnote w:id="166">
    <w:p w14:paraId="139DE899"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rPr>
        <w:t>An English Local Authority v SW</w:t>
      </w:r>
      <w:r w:rsidRPr="00F934F9">
        <w:rPr>
          <w:rFonts w:ascii="Times New Roman" w:hAnsi="Times New Roman" w:cs="Times New Roman"/>
        </w:rPr>
        <w:t xml:space="preserve"> </w:t>
      </w:r>
      <w:r w:rsidRPr="00F934F9">
        <w:rPr>
          <w:rFonts w:ascii="Times New Roman" w:hAnsi="Times New Roman" w:cs="Times New Roman"/>
          <w:lang w:val="en-US"/>
        </w:rPr>
        <w:t>[2014] EWCOP 43, paras 64-75.</w:t>
      </w:r>
    </w:p>
  </w:footnote>
  <w:footnote w:id="167">
    <w:p w14:paraId="2BF0EA2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 64.</w:t>
      </w:r>
    </w:p>
  </w:footnote>
  <w:footnote w:id="168">
    <w:p w14:paraId="5454D42E"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2019] EWCOP 56. The points made in </w:t>
      </w:r>
      <w:r w:rsidRPr="00F934F9">
        <w:rPr>
          <w:rFonts w:ascii="Times New Roman" w:hAnsi="Times New Roman" w:cs="Times New Roman"/>
          <w:i/>
          <w:iCs/>
          <w:lang w:val="en-US"/>
        </w:rPr>
        <w:t>An English Local Authority v SW</w:t>
      </w:r>
      <w:r w:rsidRPr="00F934F9">
        <w:rPr>
          <w:rFonts w:ascii="Times New Roman" w:hAnsi="Times New Roman" w:cs="Times New Roman"/>
          <w:lang w:val="en-US"/>
        </w:rPr>
        <w:t xml:space="preserve"> [2014] EWCOP 43 were authoritative in this case. Also, the points made by Hedley J, paras 22-23, in </w:t>
      </w:r>
      <w:r w:rsidRPr="00F934F9">
        <w:rPr>
          <w:rFonts w:ascii="Times New Roman" w:hAnsi="Times New Roman" w:cs="Times New Roman"/>
          <w:i/>
          <w:iCs/>
          <w:lang w:val="en-US"/>
        </w:rPr>
        <w:t>Re MN (Recognition and Enforcement of Foreign Protective Measures)</w:t>
      </w:r>
      <w:r w:rsidRPr="00F934F9">
        <w:rPr>
          <w:rFonts w:ascii="Times New Roman" w:hAnsi="Times New Roman" w:cs="Times New Roman"/>
          <w:lang w:val="en-US"/>
        </w:rPr>
        <w:t xml:space="preserve"> [2010] EWHC 1926 (Fam) were authoritative and applied in this case.</w:t>
      </w:r>
    </w:p>
  </w:footnote>
  <w:footnote w:id="169">
    <w:p w14:paraId="555CD103"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2019] EWCOP 56. The points made in </w:t>
      </w:r>
      <w:r w:rsidRPr="00F934F9">
        <w:rPr>
          <w:rFonts w:ascii="Times New Roman" w:hAnsi="Times New Roman" w:cs="Times New Roman"/>
          <w:i/>
          <w:iCs/>
          <w:lang w:val="en-US"/>
        </w:rPr>
        <w:t>An English Local Authority v SW</w:t>
      </w:r>
      <w:r w:rsidRPr="00F934F9">
        <w:rPr>
          <w:rFonts w:ascii="Times New Roman" w:hAnsi="Times New Roman" w:cs="Times New Roman"/>
          <w:lang w:val="en-US"/>
        </w:rPr>
        <w:t xml:space="preserve"> [2014] EWCOP 43 were authoritative in this case. Also, the points made by Hedley J, paras 22-23, in </w:t>
      </w:r>
      <w:r w:rsidRPr="00F934F9">
        <w:rPr>
          <w:rFonts w:ascii="Times New Roman" w:hAnsi="Times New Roman" w:cs="Times New Roman"/>
          <w:i/>
          <w:iCs/>
          <w:lang w:val="en-US"/>
        </w:rPr>
        <w:t>Re MN (Recognition and Enforcement of Foreign Protective Measures)</w:t>
      </w:r>
      <w:r w:rsidRPr="00F934F9">
        <w:rPr>
          <w:rFonts w:ascii="Times New Roman" w:hAnsi="Times New Roman" w:cs="Times New Roman"/>
          <w:lang w:val="en-US"/>
        </w:rPr>
        <w:t xml:space="preserve"> [2010] EWHC 1926 (Fam) were authoritative and applied in this case.</w:t>
      </w:r>
    </w:p>
  </w:footnote>
  <w:footnote w:id="170">
    <w:p w14:paraId="64CB33E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[2014] EWCOP 43.</w:t>
      </w:r>
    </w:p>
  </w:footnote>
  <w:footnote w:id="171">
    <w:p w14:paraId="62943B7A"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See </w:t>
      </w:r>
      <w:r w:rsidRPr="00F934F9">
        <w:rPr>
          <w:rFonts w:ascii="Times New Roman" w:hAnsi="Times New Roman" w:cs="Times New Roman"/>
          <w:i/>
          <w:iCs/>
        </w:rPr>
        <w:t>Re MN (Recognition and Enforcement of Foreign Protective Measures)</w:t>
      </w:r>
      <w:r w:rsidRPr="00F934F9">
        <w:rPr>
          <w:rFonts w:ascii="Times New Roman" w:hAnsi="Times New Roman" w:cs="Times New Roman"/>
        </w:rPr>
        <w:t xml:space="preserve"> [2010] EWHC1926 (Fam), </w:t>
      </w:r>
      <w:r w:rsidRPr="00F934F9">
        <w:rPr>
          <w:rFonts w:ascii="Times New Roman" w:hAnsi="Times New Roman" w:cs="Times New Roman"/>
          <w:lang w:val="en-US"/>
        </w:rPr>
        <w:t xml:space="preserve">para 18, above. See also </w:t>
      </w:r>
      <w:r w:rsidRPr="00F934F9">
        <w:rPr>
          <w:rFonts w:ascii="Times New Roman" w:hAnsi="Times New Roman" w:cs="Times New Roman"/>
          <w:i/>
          <w:iCs/>
          <w:lang w:val="en-US"/>
        </w:rPr>
        <w:t xml:space="preserve">Re O (Court of Protection: Jurisdiction) </w:t>
      </w:r>
      <w:r w:rsidRPr="00F934F9">
        <w:rPr>
          <w:rFonts w:ascii="Times New Roman" w:hAnsi="Times New Roman" w:cs="Times New Roman"/>
        </w:rPr>
        <w:t>[2013] EWHC 3932 (COP)</w:t>
      </w:r>
      <w:r w:rsidRPr="00F934F9">
        <w:rPr>
          <w:rFonts w:ascii="Times New Roman" w:hAnsi="Times New Roman" w:cs="Times New Roman"/>
          <w:lang w:val="en-US"/>
        </w:rPr>
        <w:t xml:space="preserve"> below.</w:t>
      </w:r>
    </w:p>
  </w:footnote>
  <w:footnote w:id="172">
    <w:p w14:paraId="6BBAA77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shd w:val="clear" w:color="auto" w:fill="FFFFFF"/>
        </w:rPr>
        <w:t>The court considered the meaning of "urgent" in the Mental Capacity Act 2005 Sch.3 Pt 2 para.7(1)(c).</w:t>
      </w:r>
    </w:p>
  </w:footnote>
  <w:footnote w:id="173">
    <w:p w14:paraId="72B83D06"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28-32.</w:t>
      </w:r>
    </w:p>
  </w:footnote>
  <w:footnote w:id="174">
    <w:p w14:paraId="210A0E7C"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[2013] EWHC 3932 (COP).</w:t>
      </w:r>
    </w:p>
  </w:footnote>
  <w:footnote w:id="175">
    <w:p w14:paraId="19DA75E7"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Ibid, </w:t>
      </w:r>
      <w:r w:rsidRPr="00F934F9">
        <w:rPr>
          <w:rFonts w:ascii="Times New Roman" w:hAnsi="Times New Roman" w:cs="Times New Roman"/>
          <w:i/>
          <w:iCs/>
          <w:color w:val="000000"/>
        </w:rPr>
        <w:t>A v A (Children) (Habitual Residence)</w:t>
      </w:r>
      <w:r w:rsidRPr="00F934F9">
        <w:rPr>
          <w:rFonts w:ascii="Times New Roman" w:hAnsi="Times New Roman" w:cs="Times New Roman"/>
          <w:color w:val="000000"/>
        </w:rPr>
        <w:t xml:space="preserve"> [2013] UKSC 60.</w:t>
      </w:r>
    </w:p>
  </w:footnote>
  <w:footnote w:id="176">
    <w:p w14:paraId="6CE9E400"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 xml:space="preserve">See </w:t>
      </w:r>
      <w:r w:rsidRPr="00F934F9">
        <w:rPr>
          <w:rFonts w:ascii="Times New Roman" w:hAnsi="Times New Roman" w:cs="Times New Roman"/>
          <w:i/>
          <w:iCs/>
        </w:rPr>
        <w:t>Re MN (Recognition and Enforcement of Foreign Protective Measures)</w:t>
      </w:r>
      <w:r w:rsidRPr="00F934F9">
        <w:rPr>
          <w:rFonts w:ascii="Times New Roman" w:hAnsi="Times New Roman" w:cs="Times New Roman"/>
        </w:rPr>
        <w:t xml:space="preserve"> [2010] EWHC1926 (Fam), </w:t>
      </w:r>
      <w:r w:rsidRPr="00F934F9">
        <w:rPr>
          <w:rFonts w:ascii="Times New Roman" w:hAnsi="Times New Roman" w:cs="Times New Roman"/>
          <w:lang w:val="en-US"/>
        </w:rPr>
        <w:t>para 18, above.</w:t>
      </w:r>
    </w:p>
  </w:footnote>
  <w:footnote w:id="177">
    <w:p w14:paraId="63DCBFF8"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i/>
          <w:iCs/>
          <w:shd w:val="clear" w:color="auto" w:fill="FFFFFF"/>
        </w:rPr>
        <w:t>Re O (Court of Protection: Jurisdiction)</w:t>
      </w:r>
      <w:r w:rsidRPr="00F934F9">
        <w:rPr>
          <w:rFonts w:ascii="Times New Roman" w:hAnsi="Times New Roman" w:cs="Times New Roman"/>
        </w:rPr>
        <w:t xml:space="preserve"> [2013] EWHC 3932 (COP), paras 7-21.</w:t>
      </w:r>
    </w:p>
  </w:footnote>
  <w:footnote w:id="178">
    <w:p w14:paraId="26BD838F"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23-28.</w:t>
      </w:r>
    </w:p>
  </w:footnote>
  <w:footnote w:id="179">
    <w:p w14:paraId="4F6CBF18"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29-39.</w:t>
      </w:r>
    </w:p>
  </w:footnote>
  <w:footnote w:id="180">
    <w:p w14:paraId="19EBD3C3"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7-21.</w:t>
      </w:r>
    </w:p>
  </w:footnote>
  <w:footnote w:id="181">
    <w:p w14:paraId="0727A3BB" w14:textId="77777777" w:rsidR="00544A2E" w:rsidRPr="00F934F9" w:rsidRDefault="00544A2E" w:rsidP="00544A2E">
      <w:pPr>
        <w:pStyle w:val="FootnoteText"/>
        <w:jc w:val="both"/>
        <w:rPr>
          <w:rFonts w:ascii="Times New Roman" w:hAnsi="Times New Roman" w:cs="Times New Roman"/>
          <w:lang w:val="en-US"/>
        </w:rPr>
      </w:pPr>
      <w:r w:rsidRPr="00F934F9">
        <w:rPr>
          <w:rStyle w:val="FootnoteReference"/>
          <w:rFonts w:ascii="Times New Roman" w:hAnsi="Times New Roman" w:cs="Times New Roman"/>
        </w:rPr>
        <w:footnoteRef/>
      </w:r>
      <w:r w:rsidRPr="00F934F9">
        <w:rPr>
          <w:rFonts w:ascii="Times New Roman" w:hAnsi="Times New Roman" w:cs="Times New Roman"/>
        </w:rPr>
        <w:t xml:space="preserve"> </w:t>
      </w:r>
      <w:r w:rsidRPr="00F934F9">
        <w:rPr>
          <w:rFonts w:ascii="Times New Roman" w:hAnsi="Times New Roman" w:cs="Times New Roman"/>
          <w:lang w:val="en-US"/>
        </w:rPr>
        <w:t>Ibid, paras. 29-39.</w:t>
      </w:r>
    </w:p>
  </w:footnote>
  <w:footnote w:id="182">
    <w:p w14:paraId="580BFA4A"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 xml:space="preserve">Art. 5 1996 Convention. </w:t>
      </w:r>
    </w:p>
  </w:footnote>
  <w:footnote w:id="183">
    <w:p w14:paraId="5E8DDAFF"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For further commentary on the concept of habitual residence, please see section on the 1980 Hague Abduction Convention above.</w:t>
      </w:r>
    </w:p>
  </w:footnote>
  <w:footnote w:id="184">
    <w:p w14:paraId="03175AFB"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[2013] UKSC 60</w:t>
      </w:r>
      <w:r w:rsidRPr="004C6B3E">
        <w:rPr>
          <w:rFonts w:ascii="Times New Roman" w:hAnsi="Times New Roman" w:cs="Times New Roman"/>
          <w:lang w:val="en-US"/>
        </w:rPr>
        <w:t>.</w:t>
      </w:r>
    </w:p>
  </w:footnote>
  <w:footnote w:id="185">
    <w:p w14:paraId="320A09B4"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[2021] EWFC 68</w:t>
      </w:r>
      <w:r w:rsidRPr="004C6B3E">
        <w:rPr>
          <w:rFonts w:ascii="Times New Roman" w:hAnsi="Times New Roman" w:cs="Times New Roman"/>
          <w:lang w:val="en-US"/>
        </w:rPr>
        <w:t>.</w:t>
      </w:r>
    </w:p>
  </w:footnote>
  <w:footnote w:id="186">
    <w:p w14:paraId="462312E9"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34.</w:t>
      </w:r>
    </w:p>
  </w:footnote>
  <w:footnote w:id="187">
    <w:p w14:paraId="4A99614A"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paras 41-42.</w:t>
      </w:r>
    </w:p>
  </w:footnote>
  <w:footnote w:id="188">
    <w:p w14:paraId="79363C41"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paras 44-46.</w:t>
      </w:r>
    </w:p>
  </w:footnote>
  <w:footnote w:id="189">
    <w:p w14:paraId="30B28ACA"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[2022] EWHC 3405 (Fam)</w:t>
      </w:r>
      <w:r w:rsidRPr="004C6B3E">
        <w:rPr>
          <w:rFonts w:ascii="Times New Roman" w:hAnsi="Times New Roman" w:cs="Times New Roman"/>
          <w:lang w:val="en-US"/>
        </w:rPr>
        <w:t>.</w:t>
      </w:r>
    </w:p>
  </w:footnote>
  <w:footnote w:id="190">
    <w:p w14:paraId="4C8346EA"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[2022] EWHC 1073.</w:t>
      </w:r>
    </w:p>
  </w:footnote>
  <w:footnote w:id="191">
    <w:p w14:paraId="63446F8C"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[2022] EWHC 1981 (Fam).</w:t>
      </w:r>
    </w:p>
  </w:footnote>
  <w:footnote w:id="192">
    <w:p w14:paraId="53784751"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 xml:space="preserve">See </w:t>
      </w:r>
      <w:r w:rsidRPr="004C6B3E">
        <w:rPr>
          <w:rFonts w:ascii="Times New Roman" w:hAnsi="Times New Roman" w:cs="Times New Roman"/>
          <w:i/>
          <w:iCs/>
        </w:rPr>
        <w:t>Derbyshire CC v Mother</w:t>
      </w:r>
      <w:r w:rsidRPr="004C6B3E">
        <w:rPr>
          <w:rFonts w:ascii="Times New Roman" w:hAnsi="Times New Roman" w:cs="Times New Roman"/>
        </w:rPr>
        <w:t xml:space="preserve"> [2022] EWHC 3405 (Fam)</w:t>
      </w:r>
      <w:r w:rsidRPr="004C6B3E">
        <w:rPr>
          <w:rFonts w:ascii="Times New Roman" w:hAnsi="Times New Roman" w:cs="Times New Roman"/>
          <w:lang w:val="en-US"/>
        </w:rPr>
        <w:t>, paras 11, 13, 18, and 20-26.</w:t>
      </w:r>
    </w:p>
  </w:footnote>
  <w:footnote w:id="193">
    <w:p w14:paraId="4854D920"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paras 29-35.</w:t>
      </w:r>
    </w:p>
  </w:footnote>
  <w:footnote w:id="194">
    <w:p w14:paraId="7A1A6D46"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[2023] EWFC 15</w:t>
      </w:r>
      <w:r w:rsidRPr="004C6B3E">
        <w:rPr>
          <w:rFonts w:ascii="Times New Roman" w:hAnsi="Times New Roman" w:cs="Times New Roman"/>
          <w:lang w:val="en-US"/>
        </w:rPr>
        <w:t>.</w:t>
      </w:r>
    </w:p>
  </w:footnote>
  <w:footnote w:id="195">
    <w:p w14:paraId="62DF0FA9"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[2022] EWHC 2215 (Fam)</w:t>
      </w:r>
      <w:r w:rsidRPr="004C6B3E">
        <w:rPr>
          <w:rFonts w:ascii="Times New Roman" w:hAnsi="Times New Roman" w:cs="Times New Roman"/>
          <w:lang w:val="en-US"/>
        </w:rPr>
        <w:t>.</w:t>
      </w:r>
    </w:p>
  </w:footnote>
  <w:footnote w:id="196">
    <w:p w14:paraId="2268C2B4"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50.</w:t>
      </w:r>
    </w:p>
  </w:footnote>
  <w:footnote w:id="197">
    <w:p w14:paraId="280233FB"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paras 51-55.</w:t>
      </w:r>
    </w:p>
  </w:footnote>
  <w:footnote w:id="198">
    <w:p w14:paraId="7790EDAF" w14:textId="77777777" w:rsidR="00FA76A2" w:rsidRPr="004C6B3E" w:rsidRDefault="00FA76A2" w:rsidP="00FA76A2">
      <w:pPr>
        <w:rPr>
          <w:rFonts w:ascii="Times New Roman" w:hAnsi="Times New Roman" w:cs="Times New Roman"/>
          <w:sz w:val="20"/>
          <w:szCs w:val="20"/>
          <w:lang w:val="en-US"/>
        </w:rPr>
      </w:pPr>
      <w:r w:rsidRPr="004C6B3E">
        <w:rPr>
          <w:rStyle w:val="FootnoteReference"/>
          <w:rFonts w:ascii="Times New Roman" w:hAnsi="Times New Roman" w:cs="Times New Roman"/>
          <w:sz w:val="20"/>
          <w:szCs w:val="20"/>
        </w:rPr>
        <w:footnoteRef/>
      </w:r>
      <w:r w:rsidRPr="004C6B3E">
        <w:rPr>
          <w:rFonts w:ascii="Times New Roman" w:hAnsi="Times New Roman" w:cs="Times New Roman"/>
          <w:sz w:val="20"/>
          <w:szCs w:val="20"/>
        </w:rPr>
        <w:t xml:space="preserve"> </w:t>
      </w:r>
      <w:r w:rsidRPr="004C6B3E">
        <w:rPr>
          <w:rFonts w:ascii="Times New Roman" w:hAnsi="Times New Roman" w:cs="Times New Roman"/>
          <w:sz w:val="20"/>
          <w:szCs w:val="20"/>
          <w:lang w:val="en-US"/>
        </w:rPr>
        <w:t>Ibid, paras 44-48 and 57- 60.</w:t>
      </w:r>
    </w:p>
  </w:footnote>
  <w:footnote w:id="199">
    <w:p w14:paraId="0DFB5A0C"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Precedents classed as ‘Guidance’ are landmark cases decided in the Supreme Court, which clarify a point of law and are used as a guide of application in lower courts.</w:t>
      </w:r>
    </w:p>
  </w:footnote>
  <w:footnote w:id="200">
    <w:p w14:paraId="7EBA416B"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[2016] UKSC 15.</w:t>
      </w:r>
    </w:p>
  </w:footnote>
  <w:footnote w:id="201">
    <w:p w14:paraId="4A6C9584"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13.</w:t>
      </w:r>
    </w:p>
  </w:footnote>
  <w:footnote w:id="202">
    <w:p w14:paraId="42B0B54E"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43.</w:t>
      </w:r>
    </w:p>
  </w:footnote>
  <w:footnote w:id="203">
    <w:p w14:paraId="10284EB3"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paras 44 and 57.</w:t>
      </w:r>
    </w:p>
  </w:footnote>
  <w:footnote w:id="204">
    <w:p w14:paraId="755FE8F0"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 xml:space="preserve">‘All other circumstances of the case’ is a term of art broadly intended to emphasise that the matter in question is essentially one of discretion and exists as a safeguard in achieving a fair and practicable result in accordance with common sense. </w:t>
      </w:r>
    </w:p>
  </w:footnote>
  <w:footnote w:id="205">
    <w:p w14:paraId="7B783D10"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[2021] EWHC 1970 (Fam).</w:t>
      </w:r>
    </w:p>
  </w:footnote>
  <w:footnote w:id="206">
    <w:p w14:paraId="4ECB9502"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68</w:t>
      </w:r>
    </w:p>
  </w:footnote>
  <w:footnote w:id="207">
    <w:p w14:paraId="732053DA"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 xml:space="preserve">See e.g., </w:t>
      </w:r>
      <w:r w:rsidRPr="004C6B3E">
        <w:rPr>
          <w:rFonts w:ascii="Times New Roman" w:hAnsi="Times New Roman" w:cs="Times New Roman"/>
          <w:i/>
          <w:iCs/>
        </w:rPr>
        <w:t>Re Y (A Child) (Abduction: Undertakings Given for Return of Child)</w:t>
      </w:r>
      <w:r w:rsidRPr="004C6B3E">
        <w:rPr>
          <w:rFonts w:ascii="Times New Roman" w:hAnsi="Times New Roman" w:cs="Times New Roman"/>
        </w:rPr>
        <w:t xml:space="preserve"> [2013] EWCA Civ 129; </w:t>
      </w:r>
      <w:r w:rsidRPr="004C6B3E">
        <w:rPr>
          <w:rFonts w:ascii="Times New Roman" w:hAnsi="Times New Roman" w:cs="Times New Roman"/>
          <w:i/>
          <w:iCs/>
        </w:rPr>
        <w:t>RD v DB</w:t>
      </w:r>
      <w:r w:rsidRPr="004C6B3E">
        <w:rPr>
          <w:rFonts w:ascii="Times New Roman" w:hAnsi="Times New Roman" w:cs="Times New Roman"/>
        </w:rPr>
        <w:t xml:space="preserve"> [2015] EWHC 1817 (Fam); </w:t>
      </w:r>
      <w:r w:rsidRPr="004C6B3E">
        <w:rPr>
          <w:rFonts w:ascii="Times New Roman" w:hAnsi="Times New Roman" w:cs="Times New Roman"/>
          <w:i/>
          <w:iCs/>
        </w:rPr>
        <w:t>In the Matter of A (A Child) (Hague Abduction; Art 13(b): Protective Measures)</w:t>
      </w:r>
      <w:r w:rsidRPr="004C6B3E">
        <w:rPr>
          <w:rFonts w:ascii="Times New Roman" w:hAnsi="Times New Roman" w:cs="Times New Roman"/>
        </w:rPr>
        <w:t xml:space="preserve"> [2019] EWHC 649 (Fam); </w:t>
      </w:r>
      <w:r w:rsidRPr="004C6B3E">
        <w:rPr>
          <w:rFonts w:ascii="Times New Roman" w:hAnsi="Times New Roman" w:cs="Times New Roman"/>
          <w:i/>
          <w:iCs/>
        </w:rPr>
        <w:t>In the Matter of S O D</w:t>
      </w:r>
      <w:r w:rsidRPr="004C6B3E">
        <w:rPr>
          <w:rFonts w:ascii="Times New Roman" w:hAnsi="Times New Roman" w:cs="Times New Roman"/>
        </w:rPr>
        <w:t xml:space="preserve">, High Court, 31 January 2019 (unreported); and </w:t>
      </w:r>
      <w:r w:rsidRPr="004C6B3E">
        <w:rPr>
          <w:rFonts w:ascii="Times New Roman" w:hAnsi="Times New Roman" w:cs="Times New Roman"/>
          <w:i/>
          <w:iCs/>
        </w:rPr>
        <w:t>AO v LA</w:t>
      </w:r>
      <w:r w:rsidRPr="004C6B3E">
        <w:rPr>
          <w:rFonts w:ascii="Times New Roman" w:hAnsi="Times New Roman" w:cs="Times New Roman"/>
        </w:rPr>
        <w:t xml:space="preserve"> [2023] EWHC 83 Fam.</w:t>
      </w:r>
    </w:p>
  </w:footnote>
  <w:footnote w:id="208">
    <w:p w14:paraId="3A3DC224" w14:textId="77777777" w:rsidR="00FA76A2" w:rsidRPr="004C6B3E" w:rsidRDefault="00FA76A2" w:rsidP="00FA76A2">
      <w:pPr>
        <w:pStyle w:val="FootnoteText"/>
        <w:jc w:val="both"/>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P Lagarde, ‘Explanatory Report on the Convention of 19 October 1996 on Jurisdiction, Applicable Law, Recognition, Enforcement and Co-operation in Respect of Parental Responsibility and Measures for the Protection of Children’, para 79.</w:t>
      </w:r>
    </w:p>
  </w:footnote>
  <w:footnote w:id="209">
    <w:p w14:paraId="6E4DA0F0"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HCCH, ‘Practical Handbook on the Operation of the 1996 Hague Child Protection Convention, para 4.32.</w:t>
      </w:r>
    </w:p>
  </w:footnote>
  <w:footnote w:id="210">
    <w:p w14:paraId="33240A6E" w14:textId="77777777" w:rsidR="00FA76A2" w:rsidRPr="004C6B3E" w:rsidRDefault="00FA76A2" w:rsidP="00FA76A2">
      <w:pPr>
        <w:spacing w:line="276" w:lineRule="auto"/>
        <w:jc w:val="both"/>
        <w:rPr>
          <w:rFonts w:ascii="Times New Roman" w:hAnsi="Times New Roman" w:cs="Times New Roman"/>
          <w:sz w:val="20"/>
          <w:szCs w:val="20"/>
          <w:lang w:val="en-US"/>
        </w:rPr>
      </w:pPr>
      <w:r w:rsidRPr="004C6B3E">
        <w:rPr>
          <w:rStyle w:val="FootnoteReference"/>
          <w:rFonts w:ascii="Times New Roman" w:hAnsi="Times New Roman" w:cs="Times New Roman"/>
          <w:sz w:val="20"/>
          <w:szCs w:val="20"/>
        </w:rPr>
        <w:footnoteRef/>
      </w:r>
      <w:r w:rsidRPr="004C6B3E">
        <w:rPr>
          <w:rFonts w:ascii="Times New Roman" w:hAnsi="Times New Roman" w:cs="Times New Roman"/>
          <w:sz w:val="20"/>
          <w:szCs w:val="20"/>
        </w:rPr>
        <w:t xml:space="preserve"> </w:t>
      </w:r>
      <w:r w:rsidRPr="004C6B3E">
        <w:rPr>
          <w:rFonts w:ascii="Times New Roman" w:hAnsi="Times New Roman" w:cs="Times New Roman"/>
          <w:sz w:val="20"/>
          <w:szCs w:val="20"/>
          <w:lang w:val="en-US"/>
        </w:rPr>
        <w:t>[2021] EWFC 107.</w:t>
      </w:r>
    </w:p>
  </w:footnote>
  <w:footnote w:id="211">
    <w:p w14:paraId="08B0DF87"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160.</w:t>
      </w:r>
    </w:p>
  </w:footnote>
  <w:footnote w:id="212">
    <w:p w14:paraId="047BEF0D"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88.</w:t>
      </w:r>
    </w:p>
  </w:footnote>
  <w:footnote w:id="213">
    <w:p w14:paraId="218E7142"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180: “The transferred care proceedings had, well before that date, in their new guise as the administrative Hungarian Guardianship Authority process, yielded a final ruling and come to an end.”</w:t>
      </w:r>
    </w:p>
  </w:footnote>
  <w:footnote w:id="214">
    <w:p w14:paraId="709BB8E8"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180.</w:t>
      </w:r>
    </w:p>
  </w:footnote>
  <w:footnote w:id="215">
    <w:p w14:paraId="21118482"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[2022] EWHC 2053 (Fam)</w:t>
      </w:r>
      <w:r w:rsidRPr="004C6B3E">
        <w:rPr>
          <w:rFonts w:ascii="Times New Roman" w:hAnsi="Times New Roman" w:cs="Times New Roman"/>
          <w:lang w:val="en-US"/>
        </w:rPr>
        <w:t>.</w:t>
      </w:r>
    </w:p>
  </w:footnote>
  <w:footnote w:id="216">
    <w:p w14:paraId="38153C2E"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21.</w:t>
      </w:r>
    </w:p>
  </w:footnote>
  <w:footnote w:id="217">
    <w:p w14:paraId="21B27918"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paras 28 and 31.</w:t>
      </w:r>
    </w:p>
  </w:footnote>
  <w:footnote w:id="218">
    <w:p w14:paraId="56DC5307"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Ibid, para 29.</w:t>
      </w:r>
    </w:p>
  </w:footnote>
  <w:footnote w:id="219">
    <w:p w14:paraId="5D6A0E0E"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[2021] EWCA Civ 1131</w:t>
      </w:r>
      <w:r w:rsidRPr="004C6B3E">
        <w:rPr>
          <w:rFonts w:ascii="Times New Roman" w:hAnsi="Times New Roman" w:cs="Times New Roman"/>
          <w:lang w:val="en-US"/>
        </w:rPr>
        <w:t>.</w:t>
      </w:r>
    </w:p>
  </w:footnote>
  <w:footnote w:id="220">
    <w:p w14:paraId="48AA191C"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[2022] EWCA Civ 1167.</w:t>
      </w:r>
    </w:p>
  </w:footnote>
  <w:footnote w:id="221">
    <w:p w14:paraId="409221D6"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sidRPr="004C6B3E">
        <w:rPr>
          <w:rFonts w:ascii="Times New Roman" w:hAnsi="Times New Roman" w:cs="Times New Roman"/>
          <w:lang w:val="en-US"/>
        </w:rPr>
        <w:t>[2021] EWHC 1970 (Fam).</w:t>
      </w:r>
    </w:p>
  </w:footnote>
  <w:footnote w:id="222">
    <w:p w14:paraId="4128E057" w14:textId="77777777"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Pr="004C6B3E">
        <w:rPr>
          <w:rFonts w:ascii="Times New Roman" w:hAnsi="Times New Roman" w:cs="Times New Roman"/>
        </w:rPr>
        <w:t xml:space="preserve"> </w:t>
      </w:r>
      <w:r>
        <w:rPr>
          <w:rFonts w:ascii="Times New Roman" w:hAnsi="Times New Roman" w:cs="Times New Roman"/>
          <w:lang w:val="en-US"/>
        </w:rPr>
        <w:t>Ibid, p</w:t>
      </w:r>
      <w:r w:rsidRPr="004C6B3E">
        <w:rPr>
          <w:rFonts w:ascii="Times New Roman" w:hAnsi="Times New Roman" w:cs="Times New Roman"/>
          <w:lang w:val="en-US"/>
        </w:rPr>
        <w:t xml:space="preserve">ara 82. </w:t>
      </w:r>
    </w:p>
  </w:footnote>
  <w:footnote w:id="223">
    <w:p w14:paraId="58333C07" w14:textId="02EFFD44" w:rsidR="00FA76A2" w:rsidRPr="004C6B3E" w:rsidRDefault="00FA76A2" w:rsidP="00FA76A2">
      <w:pPr>
        <w:pStyle w:val="FootnoteText"/>
        <w:rPr>
          <w:rFonts w:ascii="Times New Roman" w:hAnsi="Times New Roman" w:cs="Times New Roman"/>
          <w:lang w:val="en-US"/>
        </w:rPr>
      </w:pPr>
      <w:r w:rsidRPr="004C6B3E">
        <w:rPr>
          <w:rStyle w:val="FootnoteReference"/>
          <w:rFonts w:ascii="Times New Roman" w:hAnsi="Times New Roman" w:cs="Times New Roman"/>
        </w:rPr>
        <w:footnoteRef/>
      </w:r>
      <w:r w:rsidR="000E763E">
        <w:rPr>
          <w:rFonts w:ascii="Times New Roman" w:hAnsi="Times New Roman" w:cs="Times New Roman"/>
        </w:rPr>
        <w:t xml:space="preserve"> Ibid, p</w:t>
      </w:r>
      <w:r w:rsidRPr="004C6B3E">
        <w:rPr>
          <w:rFonts w:ascii="Times New Roman" w:hAnsi="Times New Roman" w:cs="Times New Roman"/>
          <w:lang w:val="en-US"/>
        </w:rPr>
        <w:t>ara 84</w:t>
      </w:r>
      <w:r w:rsidR="000E763E">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139B"/>
    <w:multiLevelType w:val="hybridMultilevel"/>
    <w:tmpl w:val="6A1E6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F0C52"/>
    <w:multiLevelType w:val="hybridMultilevel"/>
    <w:tmpl w:val="A5FE7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B96497"/>
    <w:multiLevelType w:val="hybridMultilevel"/>
    <w:tmpl w:val="0A2A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B4331"/>
    <w:multiLevelType w:val="hybridMultilevel"/>
    <w:tmpl w:val="A5FE7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D5108"/>
    <w:multiLevelType w:val="hybridMultilevel"/>
    <w:tmpl w:val="B07AB1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E21EE"/>
    <w:multiLevelType w:val="hybridMultilevel"/>
    <w:tmpl w:val="0C8C94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2557EE"/>
    <w:multiLevelType w:val="hybridMultilevel"/>
    <w:tmpl w:val="2DF44164"/>
    <w:lvl w:ilvl="0" w:tplc="076C2FF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4B3D8D"/>
    <w:multiLevelType w:val="hybridMultilevel"/>
    <w:tmpl w:val="FED4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95B3A"/>
    <w:multiLevelType w:val="hybridMultilevel"/>
    <w:tmpl w:val="A5FE7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2D0AD0"/>
    <w:multiLevelType w:val="hybridMultilevel"/>
    <w:tmpl w:val="8348C0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9F5CF2"/>
    <w:multiLevelType w:val="hybridMultilevel"/>
    <w:tmpl w:val="F3885C54"/>
    <w:lvl w:ilvl="0" w:tplc="1DD86E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95283"/>
    <w:multiLevelType w:val="hybridMultilevel"/>
    <w:tmpl w:val="A5FE7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A9351C"/>
    <w:multiLevelType w:val="hybridMultilevel"/>
    <w:tmpl w:val="9E86E4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4A1990"/>
    <w:multiLevelType w:val="hybridMultilevel"/>
    <w:tmpl w:val="DE8A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B5888"/>
    <w:multiLevelType w:val="hybridMultilevel"/>
    <w:tmpl w:val="A5FE7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C979A7"/>
    <w:multiLevelType w:val="hybridMultilevel"/>
    <w:tmpl w:val="96AC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469DF"/>
    <w:multiLevelType w:val="hybridMultilevel"/>
    <w:tmpl w:val="F496A652"/>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6C2059"/>
    <w:multiLevelType w:val="hybridMultilevel"/>
    <w:tmpl w:val="A5FE7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070969"/>
    <w:multiLevelType w:val="hybridMultilevel"/>
    <w:tmpl w:val="707A9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C0DDA"/>
    <w:multiLevelType w:val="hybridMultilevel"/>
    <w:tmpl w:val="3DA8A85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6F182D3E"/>
    <w:multiLevelType w:val="hybridMultilevel"/>
    <w:tmpl w:val="84C05BB0"/>
    <w:lvl w:ilvl="0" w:tplc="2D1CEFE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A064E"/>
    <w:multiLevelType w:val="hybridMultilevel"/>
    <w:tmpl w:val="95C079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F30649"/>
    <w:multiLevelType w:val="hybridMultilevel"/>
    <w:tmpl w:val="0A04C04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681124"/>
    <w:multiLevelType w:val="multilevel"/>
    <w:tmpl w:val="8564F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884091">
    <w:abstractNumId w:val="8"/>
  </w:num>
  <w:num w:numId="2" w16cid:durableId="1824738795">
    <w:abstractNumId w:val="3"/>
  </w:num>
  <w:num w:numId="3" w16cid:durableId="1210262606">
    <w:abstractNumId w:val="1"/>
  </w:num>
  <w:num w:numId="4" w16cid:durableId="833180274">
    <w:abstractNumId w:val="15"/>
  </w:num>
  <w:num w:numId="5" w16cid:durableId="661929322">
    <w:abstractNumId w:val="7"/>
  </w:num>
  <w:num w:numId="6" w16cid:durableId="1367632824">
    <w:abstractNumId w:val="2"/>
  </w:num>
  <w:num w:numId="7" w16cid:durableId="921257632">
    <w:abstractNumId w:val="6"/>
  </w:num>
  <w:num w:numId="8" w16cid:durableId="1058743153">
    <w:abstractNumId w:val="17"/>
  </w:num>
  <w:num w:numId="9" w16cid:durableId="360280396">
    <w:abstractNumId w:val="14"/>
  </w:num>
  <w:num w:numId="10" w16cid:durableId="1108308644">
    <w:abstractNumId w:val="23"/>
  </w:num>
  <w:num w:numId="11" w16cid:durableId="1589463682">
    <w:abstractNumId w:val="18"/>
  </w:num>
  <w:num w:numId="12" w16cid:durableId="744685678">
    <w:abstractNumId w:val="19"/>
  </w:num>
  <w:num w:numId="13" w16cid:durableId="441995473">
    <w:abstractNumId w:val="20"/>
  </w:num>
  <w:num w:numId="14" w16cid:durableId="800732451">
    <w:abstractNumId w:val="4"/>
  </w:num>
  <w:num w:numId="15" w16cid:durableId="861669071">
    <w:abstractNumId w:val="0"/>
  </w:num>
  <w:num w:numId="16" w16cid:durableId="1966887470">
    <w:abstractNumId w:val="21"/>
  </w:num>
  <w:num w:numId="17" w16cid:durableId="1813521438">
    <w:abstractNumId w:val="5"/>
  </w:num>
  <w:num w:numId="18" w16cid:durableId="1082876644">
    <w:abstractNumId w:val="13"/>
  </w:num>
  <w:num w:numId="19" w16cid:durableId="146554714">
    <w:abstractNumId w:val="9"/>
  </w:num>
  <w:num w:numId="20" w16cid:durableId="1136872669">
    <w:abstractNumId w:val="11"/>
  </w:num>
  <w:num w:numId="21" w16cid:durableId="1660570755">
    <w:abstractNumId w:val="22"/>
  </w:num>
  <w:num w:numId="22" w16cid:durableId="210767765">
    <w:abstractNumId w:val="16"/>
  </w:num>
  <w:num w:numId="23" w16cid:durableId="1884167680">
    <w:abstractNumId w:val="12"/>
  </w:num>
  <w:num w:numId="24" w16cid:durableId="327484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75"/>
    <w:rsid w:val="00020CE8"/>
    <w:rsid w:val="000359C5"/>
    <w:rsid w:val="000E763E"/>
    <w:rsid w:val="000E7D0C"/>
    <w:rsid w:val="00263C61"/>
    <w:rsid w:val="002D728B"/>
    <w:rsid w:val="00345894"/>
    <w:rsid w:val="003503D5"/>
    <w:rsid w:val="0045135A"/>
    <w:rsid w:val="00495112"/>
    <w:rsid w:val="004D412C"/>
    <w:rsid w:val="00544A2E"/>
    <w:rsid w:val="00566375"/>
    <w:rsid w:val="0058546B"/>
    <w:rsid w:val="005D10A5"/>
    <w:rsid w:val="005D2315"/>
    <w:rsid w:val="0068252B"/>
    <w:rsid w:val="006C6619"/>
    <w:rsid w:val="007274A1"/>
    <w:rsid w:val="0075670D"/>
    <w:rsid w:val="00A92C2F"/>
    <w:rsid w:val="00AB7023"/>
    <w:rsid w:val="00AC727C"/>
    <w:rsid w:val="00B30743"/>
    <w:rsid w:val="00BE41C7"/>
    <w:rsid w:val="00C14A37"/>
    <w:rsid w:val="00C25A51"/>
    <w:rsid w:val="00C36EE3"/>
    <w:rsid w:val="00DD4118"/>
    <w:rsid w:val="00E371A9"/>
    <w:rsid w:val="00E8309C"/>
    <w:rsid w:val="00EA717C"/>
    <w:rsid w:val="00EB0D1D"/>
    <w:rsid w:val="00F934F9"/>
    <w:rsid w:val="00FA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3491"/>
  <w15:chartTrackingRefBased/>
  <w15:docId w15:val="{3DE0F4BC-6F49-4DD4-94C1-7BE17D9D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0C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0CE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20CE8"/>
    <w:pPr>
      <w:ind w:left="720"/>
      <w:contextualSpacing/>
    </w:pPr>
    <w:rPr>
      <w:kern w:val="0"/>
      <w14:ligatures w14:val="none"/>
    </w:rPr>
  </w:style>
  <w:style w:type="paragraph" w:styleId="FootnoteText">
    <w:name w:val="footnote text"/>
    <w:basedOn w:val="Normal"/>
    <w:link w:val="FootnoteTextChar"/>
    <w:uiPriority w:val="99"/>
    <w:unhideWhenUsed/>
    <w:rsid w:val="00020CE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020CE8"/>
    <w:rPr>
      <w:kern w:val="0"/>
      <w:sz w:val="20"/>
      <w:szCs w:val="20"/>
      <w14:ligatures w14:val="none"/>
    </w:rPr>
  </w:style>
  <w:style w:type="character" w:styleId="FootnoteReference">
    <w:name w:val="footnote reference"/>
    <w:basedOn w:val="DefaultParagraphFont"/>
    <w:uiPriority w:val="99"/>
    <w:unhideWhenUsed/>
    <w:rsid w:val="00020CE8"/>
    <w:rPr>
      <w:vertAlign w:val="superscript"/>
    </w:rPr>
  </w:style>
  <w:style w:type="character" w:styleId="Hyperlink">
    <w:name w:val="Hyperlink"/>
    <w:basedOn w:val="DefaultParagraphFont"/>
    <w:uiPriority w:val="99"/>
    <w:unhideWhenUsed/>
    <w:rsid w:val="00020CE8"/>
    <w:rPr>
      <w:color w:val="0563C1" w:themeColor="hyperlink"/>
      <w:u w:val="single"/>
    </w:rPr>
  </w:style>
  <w:style w:type="character" w:styleId="IntenseReference">
    <w:name w:val="Intense Reference"/>
    <w:basedOn w:val="DefaultParagraphFont"/>
    <w:uiPriority w:val="32"/>
    <w:qFormat/>
    <w:rsid w:val="00020CE8"/>
    <w:rPr>
      <w:b/>
      <w:bCs/>
      <w:smallCaps/>
      <w:color w:val="4472C4" w:themeColor="accent1"/>
      <w:spacing w:val="5"/>
    </w:rPr>
  </w:style>
  <w:style w:type="character" w:styleId="IntenseEmphasis">
    <w:name w:val="Intense Emphasis"/>
    <w:basedOn w:val="DefaultParagraphFont"/>
    <w:uiPriority w:val="21"/>
    <w:qFormat/>
    <w:rsid w:val="00020CE8"/>
    <w:rPr>
      <w:i/>
      <w:iCs/>
      <w:color w:val="4472C4" w:themeColor="accent1"/>
    </w:rPr>
  </w:style>
  <w:style w:type="paragraph" w:styleId="NormalWeb">
    <w:name w:val="Normal (Web)"/>
    <w:basedOn w:val="Normal"/>
    <w:uiPriority w:val="99"/>
    <w:unhideWhenUsed/>
    <w:rsid w:val="000359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C2F"/>
  </w:style>
  <w:style w:type="paragraph" w:styleId="Footer">
    <w:name w:val="footer"/>
    <w:basedOn w:val="Normal"/>
    <w:link w:val="FooterChar"/>
    <w:uiPriority w:val="99"/>
    <w:unhideWhenUsed/>
    <w:rsid w:val="00A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estlaw.com/Link/Document/FullText?findType=Y&amp;serNum=0351259705&amp;pubNum=121177&amp;originatingDoc=IE332D3603A5A11ED8606AD731538590B&amp;refType=UL&amp;originationContext=document&amp;transitionType=CommentaryUKLink&amp;ppcid=aab882340347424a9c6348c12f0c9bca&amp;contextData=(sc.Catego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k.westlaw.com/Link/Document/FullText?findType=Y&amp;serNum=0292574772&amp;pubNum=121177&amp;originatingDoc=IE332D3603A5A11ED8606AD731538590B&amp;refType=UL&amp;originationContext=document&amp;transitionType=CommentaryUKLink&amp;ppcid=aab882340347424a9c6348c12f0c9bca&amp;contextData=(sc.Categor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lab.org.uk/" TargetMode="External"/><Relationship Id="rId3" Type="http://schemas.openxmlformats.org/officeDocument/2006/relationships/hyperlink" Target="https://www.hcch.net/en/publications-and-studies/details4/?pid=7059&amp;dtid=3" TargetMode="External"/><Relationship Id="rId7" Type="http://schemas.openxmlformats.org/officeDocument/2006/relationships/hyperlink" Target="https://www.webarchive.org.uk/wayback/archive/20170105194047mp_/http:/www.gov.scot/Publications/2008/02/01151101/0" TargetMode="External"/><Relationship Id="rId2" Type="http://schemas.openxmlformats.org/officeDocument/2006/relationships/hyperlink" Target="https://spice-spotlight.scot/2023/09/27/what-has-happened-to-the-children-scotland-act-2020/" TargetMode="External"/><Relationship Id="rId1" Type="http://schemas.openxmlformats.org/officeDocument/2006/relationships/hyperlink" Target="https://www.legislation.gov.uk/asp/2020/16/notes?view=plain" TargetMode="External"/><Relationship Id="rId6" Type="http://schemas.openxmlformats.org/officeDocument/2006/relationships/hyperlink" Target="https://www.hcch.net/en/instruments/conventions/status-table/notifications/?csid=46&amp;disp=resdn" TargetMode="External"/><Relationship Id="rId5" Type="http://schemas.openxmlformats.org/officeDocument/2006/relationships/hyperlink" Target="https://www.hcch.net/en/instruments/conventions/status-table/?cid=80" TargetMode="External"/><Relationship Id="rId4" Type="http://schemas.openxmlformats.org/officeDocument/2006/relationships/hyperlink" Target="https://assets.hcch.net/docs/5a56242c-ff06-42c4-8cf0-00e48da47ef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50</Pages>
  <Words>20519</Words>
  <Characters>116959</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Trimmings, Katarina</dc:creator>
  <cp:keywords/>
  <dc:description/>
  <cp:lastModifiedBy>Trimmings, Katarina</cp:lastModifiedBy>
  <cp:revision>26</cp:revision>
  <dcterms:created xsi:type="dcterms:W3CDTF">2023-09-30T22:26:00Z</dcterms:created>
  <dcterms:modified xsi:type="dcterms:W3CDTF">2024-11-28T10:41:00Z</dcterms:modified>
</cp:coreProperties>
</file>