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2B4A4" w14:textId="7427B44C" w:rsidR="00122E5B" w:rsidRPr="008F35B2" w:rsidRDefault="00A774E1" w:rsidP="00122E5B">
      <w:pPr>
        <w:jc w:val="center"/>
        <w:rPr>
          <w:rFonts w:ascii="Garamond" w:hAnsi="Garamond"/>
          <w:b/>
          <w:bCs/>
          <w:sz w:val="23"/>
          <w:szCs w:val="23"/>
          <w:u w:val="single"/>
        </w:rPr>
      </w:pPr>
      <w:r>
        <w:rPr>
          <w:rFonts w:ascii="Garamond" w:hAnsi="Garamond"/>
          <w:b/>
          <w:bCs/>
          <w:sz w:val="23"/>
          <w:szCs w:val="23"/>
          <w:u w:val="single"/>
        </w:rPr>
        <w:t xml:space="preserve">Law Commission – </w:t>
      </w:r>
      <w:r w:rsidR="00334B6A" w:rsidRPr="008F35B2">
        <w:rPr>
          <w:rFonts w:ascii="Garamond" w:hAnsi="Garamond"/>
          <w:b/>
          <w:bCs/>
          <w:sz w:val="23"/>
          <w:szCs w:val="23"/>
          <w:u w:val="single"/>
        </w:rPr>
        <w:t xml:space="preserve">Review of </w:t>
      </w:r>
      <w:r w:rsidR="00B76C43">
        <w:rPr>
          <w:rFonts w:ascii="Garamond" w:hAnsi="Garamond"/>
          <w:b/>
          <w:bCs/>
          <w:sz w:val="23"/>
          <w:szCs w:val="23"/>
          <w:u w:val="single"/>
        </w:rPr>
        <w:t>the Friendly Societies Acts 1974 and 1992</w:t>
      </w:r>
      <w:r w:rsidR="00122E5B">
        <w:rPr>
          <w:rFonts w:ascii="Garamond" w:hAnsi="Garamond"/>
          <w:b/>
          <w:bCs/>
          <w:sz w:val="23"/>
          <w:szCs w:val="23"/>
          <w:u w:val="single"/>
        </w:rPr>
        <w:t xml:space="preserve"> – Consultation Paper</w:t>
      </w:r>
    </w:p>
    <w:p w14:paraId="30F34549" w14:textId="562468E6" w:rsidR="00A14872" w:rsidRPr="00B63E89" w:rsidRDefault="00A14872" w:rsidP="00B63E89">
      <w:pPr>
        <w:jc w:val="both"/>
        <w:rPr>
          <w:rFonts w:ascii="Garamond" w:hAnsi="Garamond"/>
          <w:b/>
          <w:bCs/>
          <w:sz w:val="23"/>
          <w:szCs w:val="23"/>
        </w:rPr>
      </w:pPr>
      <w:r w:rsidRPr="00B63E89">
        <w:rPr>
          <w:rFonts w:ascii="Garamond" w:hAnsi="Garamond"/>
          <w:b/>
          <w:bCs/>
          <w:sz w:val="23"/>
          <w:szCs w:val="23"/>
        </w:rPr>
        <w:t>This response was prepared by Dr Alisdair MacPherson</w:t>
      </w:r>
      <w:r w:rsidR="00B76C43" w:rsidRPr="00B63E89">
        <w:rPr>
          <w:rFonts w:ascii="Garamond" w:hAnsi="Garamond"/>
          <w:b/>
          <w:bCs/>
          <w:sz w:val="23"/>
          <w:szCs w:val="23"/>
        </w:rPr>
        <w:t xml:space="preserve"> and</w:t>
      </w:r>
      <w:r w:rsidRPr="00B63E89">
        <w:rPr>
          <w:rFonts w:ascii="Garamond" w:hAnsi="Garamond"/>
          <w:b/>
          <w:bCs/>
          <w:sz w:val="23"/>
          <w:szCs w:val="23"/>
        </w:rPr>
        <w:t xml:space="preserve"> Professor Donna M</w:t>
      </w:r>
      <w:r w:rsidR="00110DC1" w:rsidRPr="00B63E89">
        <w:rPr>
          <w:rFonts w:ascii="Garamond" w:hAnsi="Garamond"/>
          <w:b/>
          <w:bCs/>
          <w:sz w:val="23"/>
          <w:szCs w:val="23"/>
        </w:rPr>
        <w:t>cKenzie Skene</w:t>
      </w:r>
      <w:r w:rsidR="00B76C43" w:rsidRPr="00B63E89">
        <w:rPr>
          <w:rFonts w:ascii="Garamond" w:hAnsi="Garamond"/>
          <w:b/>
          <w:bCs/>
          <w:sz w:val="23"/>
          <w:szCs w:val="23"/>
        </w:rPr>
        <w:t>, who are both</w:t>
      </w:r>
      <w:r w:rsidR="00C54AF8" w:rsidRPr="00B63E89">
        <w:rPr>
          <w:rFonts w:ascii="Garamond" w:hAnsi="Garamond"/>
          <w:b/>
          <w:bCs/>
          <w:sz w:val="23"/>
          <w:szCs w:val="23"/>
        </w:rPr>
        <w:t xml:space="preserve"> members of the University of Aberdeen’s Centre for Scots Law.</w:t>
      </w:r>
    </w:p>
    <w:p w14:paraId="7667DAB9" w14:textId="77777777" w:rsidR="008F35B2" w:rsidRPr="008F35B2" w:rsidRDefault="008F35B2" w:rsidP="00A61E67">
      <w:pPr>
        <w:jc w:val="both"/>
        <w:rPr>
          <w:rFonts w:ascii="Garamond" w:hAnsi="Garamond"/>
          <w:b/>
          <w:bCs/>
          <w:sz w:val="23"/>
          <w:szCs w:val="23"/>
        </w:rPr>
      </w:pPr>
    </w:p>
    <w:p w14:paraId="04868DC7" w14:textId="28C3B0F1" w:rsidR="00C37DE8" w:rsidRPr="008F35B2" w:rsidRDefault="00574068" w:rsidP="00A61E67">
      <w:pPr>
        <w:jc w:val="both"/>
        <w:rPr>
          <w:rFonts w:ascii="Garamond" w:hAnsi="Garamond"/>
          <w:b/>
          <w:bCs/>
          <w:sz w:val="23"/>
          <w:szCs w:val="23"/>
          <w:u w:val="single"/>
        </w:rPr>
      </w:pPr>
      <w:r w:rsidRPr="008F35B2">
        <w:rPr>
          <w:rFonts w:ascii="Garamond" w:hAnsi="Garamond"/>
          <w:b/>
          <w:bCs/>
          <w:sz w:val="23"/>
          <w:szCs w:val="23"/>
          <w:u w:val="single"/>
        </w:rPr>
        <w:t xml:space="preserve">General Comments: </w:t>
      </w:r>
    </w:p>
    <w:p w14:paraId="0055BEC6" w14:textId="3BEAFB00" w:rsidR="001C3143" w:rsidRPr="008F35B2" w:rsidRDefault="00F05C26" w:rsidP="001C3143">
      <w:pPr>
        <w:jc w:val="both"/>
        <w:rPr>
          <w:rFonts w:ascii="Garamond" w:hAnsi="Garamond"/>
          <w:sz w:val="23"/>
          <w:szCs w:val="23"/>
        </w:rPr>
      </w:pPr>
      <w:r>
        <w:rPr>
          <w:rFonts w:ascii="Garamond" w:hAnsi="Garamond"/>
          <w:sz w:val="23"/>
          <w:szCs w:val="23"/>
        </w:rPr>
        <w:t>We support the reform</w:t>
      </w:r>
      <w:r w:rsidR="000924B5">
        <w:rPr>
          <w:rFonts w:ascii="Garamond" w:hAnsi="Garamond"/>
          <w:sz w:val="23"/>
          <w:szCs w:val="23"/>
        </w:rPr>
        <w:t xml:space="preserve"> of</w:t>
      </w:r>
      <w:r>
        <w:rPr>
          <w:rFonts w:ascii="Garamond" w:hAnsi="Garamond"/>
          <w:sz w:val="23"/>
          <w:szCs w:val="23"/>
        </w:rPr>
        <w:t xml:space="preserve"> the law relating to friendly societies </w:t>
      </w:r>
      <w:r w:rsidR="000924B5">
        <w:rPr>
          <w:rFonts w:ascii="Garamond" w:hAnsi="Garamond"/>
          <w:sz w:val="23"/>
          <w:szCs w:val="23"/>
        </w:rPr>
        <w:t>and generally agree with the Law Commission’s proposals in the Consultation Paper</w:t>
      </w:r>
      <w:r w:rsidR="00AF7F4A">
        <w:rPr>
          <w:rFonts w:ascii="Garamond" w:hAnsi="Garamond"/>
          <w:sz w:val="23"/>
          <w:szCs w:val="23"/>
        </w:rPr>
        <w:t>, which we expect would have a positive impact</w:t>
      </w:r>
      <w:r w:rsidR="000924B5">
        <w:rPr>
          <w:rFonts w:ascii="Garamond" w:hAnsi="Garamond"/>
          <w:sz w:val="23"/>
          <w:szCs w:val="23"/>
        </w:rPr>
        <w:t>.</w:t>
      </w:r>
      <w:r w:rsidR="00B63E89">
        <w:rPr>
          <w:rFonts w:ascii="Garamond" w:hAnsi="Garamond"/>
          <w:sz w:val="23"/>
          <w:szCs w:val="23"/>
        </w:rPr>
        <w:t xml:space="preserve"> </w:t>
      </w:r>
      <w:r w:rsidR="001C3143" w:rsidRPr="008F35B2">
        <w:rPr>
          <w:rFonts w:ascii="Garamond" w:hAnsi="Garamond"/>
          <w:sz w:val="23"/>
          <w:szCs w:val="23"/>
        </w:rPr>
        <w:t xml:space="preserve">As a general observation, we think </w:t>
      </w:r>
      <w:r w:rsidR="001C3143">
        <w:rPr>
          <w:rFonts w:ascii="Garamond" w:hAnsi="Garamond"/>
          <w:sz w:val="23"/>
          <w:szCs w:val="23"/>
        </w:rPr>
        <w:t>it would be helpful t</w:t>
      </w:r>
      <w:r w:rsidR="001C3143" w:rsidRPr="008F35B2">
        <w:rPr>
          <w:rFonts w:ascii="Garamond" w:hAnsi="Garamond"/>
          <w:sz w:val="23"/>
          <w:szCs w:val="23"/>
        </w:rPr>
        <w:t xml:space="preserve">o raise awareness among stakeholders and the public about </w:t>
      </w:r>
      <w:r w:rsidR="001C3143">
        <w:rPr>
          <w:rFonts w:ascii="Garamond" w:hAnsi="Garamond"/>
          <w:sz w:val="23"/>
          <w:szCs w:val="23"/>
        </w:rPr>
        <w:t xml:space="preserve">what friendly societies </w:t>
      </w:r>
      <w:r w:rsidR="001C3143" w:rsidRPr="008F35B2">
        <w:rPr>
          <w:rFonts w:ascii="Garamond" w:hAnsi="Garamond"/>
          <w:sz w:val="23"/>
          <w:szCs w:val="23"/>
        </w:rPr>
        <w:t xml:space="preserve">are and what they do, as well as about how </w:t>
      </w:r>
      <w:r w:rsidR="001C3143">
        <w:rPr>
          <w:rFonts w:ascii="Garamond" w:hAnsi="Garamond"/>
          <w:sz w:val="23"/>
          <w:szCs w:val="23"/>
        </w:rPr>
        <w:t>they</w:t>
      </w:r>
      <w:r w:rsidR="001C3143" w:rsidRPr="008F35B2">
        <w:rPr>
          <w:rFonts w:ascii="Garamond" w:hAnsi="Garamond"/>
          <w:sz w:val="23"/>
          <w:szCs w:val="23"/>
        </w:rPr>
        <w:t xml:space="preserve"> differ from, e.g., </w:t>
      </w:r>
      <w:r w:rsidR="001C3143" w:rsidRPr="001C3143">
        <w:rPr>
          <w:rFonts w:ascii="Garamond" w:hAnsi="Garamond"/>
          <w:sz w:val="23"/>
          <w:szCs w:val="23"/>
        </w:rPr>
        <w:t xml:space="preserve">co-operative and community benefit societies </w:t>
      </w:r>
      <w:r w:rsidR="001C3143">
        <w:rPr>
          <w:rFonts w:ascii="Garamond" w:hAnsi="Garamond"/>
          <w:sz w:val="23"/>
          <w:szCs w:val="23"/>
        </w:rPr>
        <w:t xml:space="preserve">and </w:t>
      </w:r>
      <w:r w:rsidR="001C3143" w:rsidRPr="008F35B2">
        <w:rPr>
          <w:rFonts w:ascii="Garamond" w:hAnsi="Garamond"/>
          <w:sz w:val="23"/>
          <w:szCs w:val="23"/>
        </w:rPr>
        <w:t xml:space="preserve">community interest companies. </w:t>
      </w:r>
    </w:p>
    <w:p w14:paraId="20D38EA8" w14:textId="77777777" w:rsidR="00C13C59" w:rsidRDefault="00C13C59" w:rsidP="00C13C59">
      <w:pPr>
        <w:jc w:val="both"/>
        <w:rPr>
          <w:rFonts w:ascii="Garamond" w:hAnsi="Garamond"/>
          <w:sz w:val="23"/>
          <w:szCs w:val="23"/>
        </w:rPr>
      </w:pPr>
      <w:r>
        <w:rPr>
          <w:rFonts w:ascii="Garamond" w:hAnsi="Garamond"/>
          <w:sz w:val="23"/>
          <w:szCs w:val="23"/>
        </w:rPr>
        <w:t xml:space="preserve">The law relating to friendly societies should be aligned as far as possible with the law relating to co-operative and community benefit societies and other entities, with differences adopted only where the nature of friendly societies or other appropriate reasons justify them. For our response to the recent consultation on co-operative and community benefit societies, please see </w:t>
      </w:r>
      <w:hyperlink r:id="rId7" w:anchor="panel73374" w:history="1">
        <w:r w:rsidRPr="007435DE">
          <w:rPr>
            <w:rStyle w:val="Hyperlink"/>
            <w:rFonts w:ascii="Garamond" w:hAnsi="Garamond"/>
            <w:sz w:val="23"/>
            <w:szCs w:val="23"/>
          </w:rPr>
          <w:t>https://www.abdn.ac.uk/law/research/centres/centre-for-scots-law/law-reform--public-policy-engagement/#panel73374</w:t>
        </w:r>
      </w:hyperlink>
      <w:r>
        <w:rPr>
          <w:rFonts w:ascii="Garamond" w:hAnsi="Garamond"/>
          <w:sz w:val="23"/>
          <w:szCs w:val="23"/>
        </w:rPr>
        <w:t xml:space="preserve">. </w:t>
      </w:r>
    </w:p>
    <w:p w14:paraId="52C4B2CD" w14:textId="129AABD0" w:rsidR="00C37DE8" w:rsidRPr="008F35B2" w:rsidRDefault="00F66089" w:rsidP="00A61E67">
      <w:pPr>
        <w:jc w:val="both"/>
        <w:rPr>
          <w:rFonts w:ascii="Garamond" w:hAnsi="Garamond"/>
          <w:sz w:val="23"/>
          <w:szCs w:val="23"/>
        </w:rPr>
      </w:pPr>
      <w:r>
        <w:rPr>
          <w:rFonts w:ascii="Garamond" w:hAnsi="Garamond"/>
          <w:sz w:val="23"/>
          <w:szCs w:val="23"/>
        </w:rPr>
        <w:t xml:space="preserve">Given the applicability of </w:t>
      </w:r>
      <w:r w:rsidR="00D90C5A">
        <w:rPr>
          <w:rFonts w:ascii="Garamond" w:hAnsi="Garamond"/>
          <w:sz w:val="23"/>
          <w:szCs w:val="23"/>
        </w:rPr>
        <w:t xml:space="preserve">the legislation to the UK, </w:t>
      </w:r>
      <w:r w:rsidR="00AC7050">
        <w:rPr>
          <w:rFonts w:ascii="Garamond" w:hAnsi="Garamond"/>
          <w:sz w:val="23"/>
          <w:szCs w:val="23"/>
        </w:rPr>
        <w:t xml:space="preserve">we would recommend </w:t>
      </w:r>
      <w:r w:rsidR="00D90C5A">
        <w:rPr>
          <w:rFonts w:ascii="Garamond" w:hAnsi="Garamond"/>
          <w:sz w:val="23"/>
          <w:szCs w:val="23"/>
        </w:rPr>
        <w:t>seek</w:t>
      </w:r>
      <w:r w:rsidR="00AC7050">
        <w:rPr>
          <w:rFonts w:ascii="Garamond" w:hAnsi="Garamond"/>
          <w:sz w:val="23"/>
          <w:szCs w:val="23"/>
        </w:rPr>
        <w:t>ing</w:t>
      </w:r>
      <w:r w:rsidR="00D90C5A">
        <w:rPr>
          <w:rFonts w:ascii="Garamond" w:hAnsi="Garamond"/>
          <w:sz w:val="23"/>
          <w:szCs w:val="23"/>
        </w:rPr>
        <w:t xml:space="preserve"> input from the Scottish Law Commission and the </w:t>
      </w:r>
      <w:r w:rsidR="00AC7050">
        <w:rPr>
          <w:rFonts w:ascii="Garamond" w:hAnsi="Garamond"/>
          <w:sz w:val="23"/>
          <w:szCs w:val="23"/>
        </w:rPr>
        <w:t xml:space="preserve">Northern Ireland Law Commission. </w:t>
      </w:r>
    </w:p>
    <w:p w14:paraId="6352BDF2" w14:textId="47963477" w:rsidR="00DB0FD9" w:rsidRDefault="00B737AF" w:rsidP="00A61E67">
      <w:pPr>
        <w:jc w:val="both"/>
        <w:rPr>
          <w:rFonts w:ascii="Garamond" w:hAnsi="Garamond"/>
          <w:sz w:val="23"/>
          <w:szCs w:val="23"/>
        </w:rPr>
      </w:pPr>
      <w:r>
        <w:rPr>
          <w:rFonts w:ascii="Garamond" w:hAnsi="Garamond"/>
          <w:sz w:val="23"/>
          <w:szCs w:val="23"/>
        </w:rPr>
        <w:t xml:space="preserve">We have </w:t>
      </w:r>
      <w:r w:rsidR="009A3C73">
        <w:rPr>
          <w:rFonts w:ascii="Garamond" w:hAnsi="Garamond"/>
          <w:sz w:val="23"/>
          <w:szCs w:val="23"/>
        </w:rPr>
        <w:t>confined our detailed responses to the</w:t>
      </w:r>
      <w:r>
        <w:rPr>
          <w:rFonts w:ascii="Garamond" w:hAnsi="Garamond"/>
          <w:sz w:val="23"/>
          <w:szCs w:val="23"/>
        </w:rPr>
        <w:t xml:space="preserve"> </w:t>
      </w:r>
      <w:r w:rsidR="00C13C59">
        <w:rPr>
          <w:rFonts w:ascii="Garamond" w:hAnsi="Garamond"/>
          <w:sz w:val="23"/>
          <w:szCs w:val="23"/>
        </w:rPr>
        <w:t>handful of questions below</w:t>
      </w:r>
      <w:r w:rsidR="00F12AC6">
        <w:rPr>
          <w:rFonts w:ascii="Garamond" w:hAnsi="Garamond"/>
          <w:sz w:val="23"/>
          <w:szCs w:val="23"/>
        </w:rPr>
        <w:t xml:space="preserve">, which most closely correspond with our areas of expertise. </w:t>
      </w:r>
    </w:p>
    <w:p w14:paraId="227D160C" w14:textId="77777777" w:rsidR="008F1CD0" w:rsidRPr="008F35B2" w:rsidRDefault="008F1CD0" w:rsidP="00A61E67">
      <w:pPr>
        <w:jc w:val="both"/>
        <w:rPr>
          <w:rFonts w:ascii="Garamond" w:hAnsi="Garamond"/>
          <w:sz w:val="23"/>
          <w:szCs w:val="23"/>
        </w:rPr>
      </w:pPr>
    </w:p>
    <w:p w14:paraId="3948EFEC" w14:textId="77777777" w:rsidR="00E8475F" w:rsidRPr="00E8475F" w:rsidRDefault="00E8475F" w:rsidP="00E8475F">
      <w:pPr>
        <w:jc w:val="both"/>
        <w:rPr>
          <w:rFonts w:ascii="Garamond" w:hAnsi="Garamond"/>
          <w:b/>
          <w:bCs/>
          <w:sz w:val="23"/>
          <w:szCs w:val="23"/>
          <w:u w:val="single"/>
        </w:rPr>
      </w:pPr>
      <w:r w:rsidRPr="00E8475F">
        <w:rPr>
          <w:rFonts w:ascii="Garamond" w:hAnsi="Garamond"/>
          <w:b/>
          <w:bCs/>
          <w:sz w:val="23"/>
          <w:szCs w:val="23"/>
          <w:u w:val="single"/>
        </w:rPr>
        <w:t>Consultation Question 63.</w:t>
      </w:r>
    </w:p>
    <w:p w14:paraId="45DB2E58" w14:textId="6959981C" w:rsidR="00E8475F" w:rsidRPr="00E8475F" w:rsidRDefault="00E8475F" w:rsidP="00E8475F">
      <w:pPr>
        <w:jc w:val="both"/>
        <w:rPr>
          <w:rFonts w:ascii="Garamond" w:hAnsi="Garamond"/>
          <w:b/>
          <w:bCs/>
          <w:sz w:val="23"/>
          <w:szCs w:val="23"/>
          <w:u w:val="single"/>
        </w:rPr>
      </w:pPr>
      <w:r w:rsidRPr="00E8475F">
        <w:rPr>
          <w:rFonts w:ascii="Garamond" w:hAnsi="Garamond"/>
          <w:b/>
          <w:bCs/>
          <w:sz w:val="23"/>
          <w:szCs w:val="23"/>
          <w:u w:val="single"/>
        </w:rPr>
        <w:t>We invite consultees’ views on whether existing mechanisms for solvent exit under</w:t>
      </w:r>
      <w:r w:rsidR="003B4C55">
        <w:rPr>
          <w:rFonts w:ascii="Garamond" w:hAnsi="Garamond"/>
          <w:b/>
          <w:bCs/>
          <w:sz w:val="23"/>
          <w:szCs w:val="23"/>
          <w:u w:val="single"/>
        </w:rPr>
        <w:t xml:space="preserve"> </w:t>
      </w:r>
      <w:r w:rsidRPr="00E8475F">
        <w:rPr>
          <w:rFonts w:ascii="Garamond" w:hAnsi="Garamond"/>
          <w:b/>
          <w:bCs/>
          <w:sz w:val="23"/>
          <w:szCs w:val="23"/>
          <w:u w:val="single"/>
        </w:rPr>
        <w:t>the 1974 Act and 1992 Act are sufficient or whether reform is needed.</w:t>
      </w:r>
    </w:p>
    <w:p w14:paraId="6AFBB0A7" w14:textId="2F21FD29" w:rsidR="003B4C55" w:rsidRPr="00AD3A54" w:rsidRDefault="00660821" w:rsidP="00E8475F">
      <w:pPr>
        <w:jc w:val="both"/>
        <w:rPr>
          <w:rFonts w:ascii="Garamond" w:hAnsi="Garamond"/>
          <w:sz w:val="23"/>
          <w:szCs w:val="23"/>
        </w:rPr>
      </w:pPr>
      <w:r>
        <w:rPr>
          <w:rFonts w:ascii="Garamond" w:hAnsi="Garamond"/>
          <w:sz w:val="23"/>
          <w:szCs w:val="23"/>
        </w:rPr>
        <w:t xml:space="preserve">Based on the information available to us, </w:t>
      </w:r>
      <w:r w:rsidR="009A3C73">
        <w:rPr>
          <w:rFonts w:ascii="Garamond" w:hAnsi="Garamond"/>
          <w:sz w:val="23"/>
          <w:szCs w:val="23"/>
        </w:rPr>
        <w:t xml:space="preserve">we consider that </w:t>
      </w:r>
      <w:r w:rsidR="00AD3A54">
        <w:rPr>
          <w:rFonts w:ascii="Garamond" w:hAnsi="Garamond"/>
          <w:sz w:val="23"/>
          <w:szCs w:val="23"/>
        </w:rPr>
        <w:t xml:space="preserve">the </w:t>
      </w:r>
      <w:r>
        <w:rPr>
          <w:rFonts w:ascii="Garamond" w:hAnsi="Garamond"/>
          <w:sz w:val="23"/>
          <w:szCs w:val="23"/>
        </w:rPr>
        <w:t>mechanisms for solvent exit are sufficient.</w:t>
      </w:r>
    </w:p>
    <w:p w14:paraId="2C0FE547" w14:textId="77777777" w:rsidR="00943EDD" w:rsidRDefault="00943EDD" w:rsidP="00E8475F">
      <w:pPr>
        <w:jc w:val="both"/>
        <w:rPr>
          <w:rFonts w:ascii="Garamond" w:hAnsi="Garamond"/>
          <w:b/>
          <w:bCs/>
          <w:sz w:val="23"/>
          <w:szCs w:val="23"/>
          <w:u w:val="single"/>
        </w:rPr>
      </w:pPr>
    </w:p>
    <w:p w14:paraId="4CFB9A42" w14:textId="19D712DF" w:rsidR="00E8475F" w:rsidRPr="00E8475F" w:rsidRDefault="00E8475F" w:rsidP="00E8475F">
      <w:pPr>
        <w:jc w:val="both"/>
        <w:rPr>
          <w:rFonts w:ascii="Garamond" w:hAnsi="Garamond"/>
          <w:b/>
          <w:bCs/>
          <w:sz w:val="23"/>
          <w:szCs w:val="23"/>
          <w:u w:val="single"/>
        </w:rPr>
      </w:pPr>
      <w:r w:rsidRPr="00E8475F">
        <w:rPr>
          <w:rFonts w:ascii="Garamond" w:hAnsi="Garamond"/>
          <w:b/>
          <w:bCs/>
          <w:sz w:val="23"/>
          <w:szCs w:val="23"/>
          <w:u w:val="single"/>
        </w:rPr>
        <w:t>Consultation Question 64.</w:t>
      </w:r>
    </w:p>
    <w:p w14:paraId="15B7A9AA" w14:textId="4B26762F" w:rsidR="00E8475F" w:rsidRDefault="00E8475F" w:rsidP="00E8475F">
      <w:pPr>
        <w:jc w:val="both"/>
        <w:rPr>
          <w:rFonts w:ascii="Garamond" w:hAnsi="Garamond"/>
          <w:b/>
          <w:bCs/>
          <w:sz w:val="23"/>
          <w:szCs w:val="23"/>
          <w:u w:val="single"/>
        </w:rPr>
      </w:pPr>
      <w:r w:rsidRPr="00E8475F">
        <w:rPr>
          <w:rFonts w:ascii="Garamond" w:hAnsi="Garamond"/>
          <w:b/>
          <w:bCs/>
          <w:sz w:val="23"/>
          <w:szCs w:val="23"/>
          <w:u w:val="single"/>
        </w:rPr>
        <w:t>Assuming that the 1974 Act is retained, we provisionally propose that a creditor of a registered society should have the right to petition the court to wind up an insolvent society. Do consultees agree?</w:t>
      </w:r>
    </w:p>
    <w:p w14:paraId="0D09F140" w14:textId="7997769C" w:rsidR="00540C86" w:rsidRPr="00540C86" w:rsidRDefault="00540C86" w:rsidP="00E8475F">
      <w:pPr>
        <w:jc w:val="both"/>
        <w:rPr>
          <w:rFonts w:ascii="Garamond" w:hAnsi="Garamond"/>
          <w:sz w:val="23"/>
          <w:szCs w:val="23"/>
        </w:rPr>
      </w:pPr>
      <w:r>
        <w:rPr>
          <w:rFonts w:ascii="Garamond" w:hAnsi="Garamond"/>
          <w:sz w:val="23"/>
          <w:szCs w:val="23"/>
        </w:rPr>
        <w:t>This seems reasonable</w:t>
      </w:r>
      <w:r w:rsidR="00231661">
        <w:rPr>
          <w:rFonts w:ascii="Garamond" w:hAnsi="Garamond"/>
          <w:sz w:val="23"/>
          <w:szCs w:val="23"/>
        </w:rPr>
        <w:t>, including with fairness to creditors in mind. It</w:t>
      </w:r>
      <w:r>
        <w:rPr>
          <w:rFonts w:ascii="Garamond" w:hAnsi="Garamond"/>
          <w:sz w:val="23"/>
          <w:szCs w:val="23"/>
        </w:rPr>
        <w:t xml:space="preserve"> </w:t>
      </w:r>
      <w:r w:rsidR="002B4A21">
        <w:rPr>
          <w:rFonts w:ascii="Garamond" w:hAnsi="Garamond"/>
          <w:sz w:val="23"/>
          <w:szCs w:val="23"/>
        </w:rPr>
        <w:t xml:space="preserve">seems appropriate to </w:t>
      </w:r>
      <w:proofErr w:type="spellStart"/>
      <w:r w:rsidR="002B4A21">
        <w:rPr>
          <w:rFonts w:ascii="Garamond" w:hAnsi="Garamond"/>
          <w:sz w:val="23"/>
          <w:szCs w:val="23"/>
        </w:rPr>
        <w:t>equiparate</w:t>
      </w:r>
      <w:proofErr w:type="spellEnd"/>
      <w:r w:rsidR="002B4A21">
        <w:rPr>
          <w:rFonts w:ascii="Garamond" w:hAnsi="Garamond"/>
          <w:sz w:val="23"/>
          <w:szCs w:val="23"/>
        </w:rPr>
        <w:t xml:space="preserve"> the position of societies under the 1974 Act and the 1992 Act in this respect and</w:t>
      </w:r>
      <w:r w:rsidR="00BC422F">
        <w:rPr>
          <w:rFonts w:ascii="Garamond" w:hAnsi="Garamond"/>
          <w:sz w:val="23"/>
          <w:szCs w:val="23"/>
        </w:rPr>
        <w:t xml:space="preserve"> it</w:t>
      </w:r>
      <w:r w:rsidR="002B4A21">
        <w:rPr>
          <w:rFonts w:ascii="Garamond" w:hAnsi="Garamond"/>
          <w:sz w:val="23"/>
          <w:szCs w:val="23"/>
        </w:rPr>
        <w:t xml:space="preserve"> </w:t>
      </w:r>
      <w:r>
        <w:rPr>
          <w:rFonts w:ascii="Garamond" w:hAnsi="Garamond"/>
          <w:sz w:val="23"/>
          <w:szCs w:val="23"/>
        </w:rPr>
        <w:t xml:space="preserve">would </w:t>
      </w:r>
      <w:r w:rsidR="00231661">
        <w:rPr>
          <w:rFonts w:ascii="Garamond" w:hAnsi="Garamond"/>
          <w:sz w:val="23"/>
          <w:szCs w:val="23"/>
        </w:rPr>
        <w:t xml:space="preserve">also </w:t>
      </w:r>
      <w:r>
        <w:rPr>
          <w:rFonts w:ascii="Garamond" w:hAnsi="Garamond"/>
          <w:sz w:val="23"/>
          <w:szCs w:val="23"/>
        </w:rPr>
        <w:t xml:space="preserve">be consistent with the </w:t>
      </w:r>
      <w:r w:rsidR="00231661">
        <w:rPr>
          <w:rFonts w:ascii="Garamond" w:hAnsi="Garamond"/>
          <w:sz w:val="23"/>
          <w:szCs w:val="23"/>
        </w:rPr>
        <w:t xml:space="preserve">law in relation to other types of legal entity. </w:t>
      </w:r>
    </w:p>
    <w:p w14:paraId="16A57DB7" w14:textId="0E884596" w:rsidR="00E8475F" w:rsidRDefault="00E8475F" w:rsidP="00E8475F">
      <w:pPr>
        <w:jc w:val="both"/>
        <w:rPr>
          <w:rFonts w:ascii="Garamond" w:hAnsi="Garamond"/>
          <w:b/>
          <w:bCs/>
          <w:sz w:val="23"/>
          <w:szCs w:val="23"/>
          <w:u w:val="single"/>
        </w:rPr>
      </w:pPr>
      <w:r w:rsidRPr="00E8475F">
        <w:rPr>
          <w:rFonts w:ascii="Garamond" w:hAnsi="Garamond"/>
          <w:b/>
          <w:bCs/>
          <w:sz w:val="23"/>
          <w:szCs w:val="23"/>
          <w:u w:val="single"/>
        </w:rPr>
        <w:t xml:space="preserve">We invite consultees’ views on whether members of a society registered under that Act should be permitted to petition the court for a winding up of the society, and if so under what circumstances should this be possible. </w:t>
      </w:r>
    </w:p>
    <w:p w14:paraId="488F2F21" w14:textId="58349CD6" w:rsidR="00897E80" w:rsidRPr="00897E80" w:rsidRDefault="00897E80" w:rsidP="00E8475F">
      <w:pPr>
        <w:jc w:val="both"/>
        <w:rPr>
          <w:rFonts w:ascii="Garamond" w:hAnsi="Garamond"/>
          <w:sz w:val="23"/>
          <w:szCs w:val="23"/>
        </w:rPr>
      </w:pPr>
      <w:r>
        <w:rPr>
          <w:rFonts w:ascii="Garamond" w:hAnsi="Garamond"/>
          <w:sz w:val="23"/>
          <w:szCs w:val="23"/>
        </w:rPr>
        <w:t>This is also reasonable</w:t>
      </w:r>
      <w:r w:rsidR="00E40ECE">
        <w:rPr>
          <w:rFonts w:ascii="Garamond" w:hAnsi="Garamond"/>
          <w:sz w:val="23"/>
          <w:szCs w:val="23"/>
        </w:rPr>
        <w:t xml:space="preserve">. </w:t>
      </w:r>
      <w:r w:rsidR="00A820FB">
        <w:rPr>
          <w:rFonts w:ascii="Garamond" w:hAnsi="Garamond"/>
          <w:sz w:val="23"/>
          <w:szCs w:val="23"/>
        </w:rPr>
        <w:t>W</w:t>
      </w:r>
      <w:r w:rsidR="002A5555">
        <w:rPr>
          <w:rFonts w:ascii="Garamond" w:hAnsi="Garamond"/>
          <w:sz w:val="23"/>
          <w:szCs w:val="23"/>
        </w:rPr>
        <w:t>e think that a special resolution seeking this should ordinarily be required</w:t>
      </w:r>
      <w:r w:rsidR="004226AB">
        <w:rPr>
          <w:rFonts w:ascii="Garamond" w:hAnsi="Garamond"/>
          <w:sz w:val="23"/>
          <w:szCs w:val="23"/>
        </w:rPr>
        <w:t xml:space="preserve">. </w:t>
      </w:r>
    </w:p>
    <w:p w14:paraId="71A16BC7" w14:textId="63B448B8" w:rsidR="00E8475F" w:rsidRPr="00E8475F" w:rsidRDefault="00E8475F" w:rsidP="00E8475F">
      <w:pPr>
        <w:jc w:val="both"/>
        <w:rPr>
          <w:rFonts w:ascii="Garamond" w:hAnsi="Garamond"/>
          <w:b/>
          <w:bCs/>
          <w:sz w:val="23"/>
          <w:szCs w:val="23"/>
          <w:u w:val="single"/>
        </w:rPr>
      </w:pPr>
      <w:r w:rsidRPr="00E8475F">
        <w:rPr>
          <w:rFonts w:ascii="Garamond" w:hAnsi="Garamond"/>
          <w:b/>
          <w:bCs/>
          <w:sz w:val="23"/>
          <w:szCs w:val="23"/>
          <w:u w:val="single"/>
        </w:rPr>
        <w:lastRenderedPageBreak/>
        <w:t>We invite consultees’ views on whether it is necessary to clarify that section 95 of the 1974 Act applies only to registered societies other than registered friendly societies.</w:t>
      </w:r>
    </w:p>
    <w:p w14:paraId="6137B811" w14:textId="5AE2C140" w:rsidR="00943EDD" w:rsidRPr="00E32F65" w:rsidRDefault="00E32F65" w:rsidP="00E8475F">
      <w:pPr>
        <w:jc w:val="both"/>
        <w:rPr>
          <w:rFonts w:ascii="Garamond" w:hAnsi="Garamond"/>
          <w:sz w:val="23"/>
          <w:szCs w:val="23"/>
        </w:rPr>
      </w:pPr>
      <w:r>
        <w:rPr>
          <w:rFonts w:ascii="Garamond" w:hAnsi="Garamond"/>
          <w:sz w:val="23"/>
          <w:szCs w:val="23"/>
        </w:rPr>
        <w:t xml:space="preserve">If there will be a legislative opportunity to make the amendment, </w:t>
      </w:r>
      <w:r w:rsidR="00046053">
        <w:rPr>
          <w:rFonts w:ascii="Garamond" w:hAnsi="Garamond"/>
          <w:sz w:val="23"/>
          <w:szCs w:val="23"/>
        </w:rPr>
        <w:t xml:space="preserve">it would make sense to do so in order to clarify the legal position. </w:t>
      </w:r>
    </w:p>
    <w:p w14:paraId="1E331119" w14:textId="77777777" w:rsidR="00660821" w:rsidRDefault="00660821" w:rsidP="00E8475F">
      <w:pPr>
        <w:jc w:val="both"/>
        <w:rPr>
          <w:rFonts w:ascii="Garamond" w:hAnsi="Garamond"/>
          <w:b/>
          <w:bCs/>
          <w:sz w:val="23"/>
          <w:szCs w:val="23"/>
          <w:u w:val="single"/>
        </w:rPr>
      </w:pPr>
    </w:p>
    <w:p w14:paraId="0DB8A556" w14:textId="14981C98" w:rsidR="00E8475F" w:rsidRPr="00E8475F" w:rsidRDefault="00E8475F" w:rsidP="00E8475F">
      <w:pPr>
        <w:jc w:val="both"/>
        <w:rPr>
          <w:rFonts w:ascii="Garamond" w:hAnsi="Garamond"/>
          <w:b/>
          <w:bCs/>
          <w:sz w:val="23"/>
          <w:szCs w:val="23"/>
          <w:u w:val="single"/>
        </w:rPr>
      </w:pPr>
      <w:r w:rsidRPr="00E8475F">
        <w:rPr>
          <w:rFonts w:ascii="Garamond" w:hAnsi="Garamond"/>
          <w:b/>
          <w:bCs/>
          <w:sz w:val="23"/>
          <w:szCs w:val="23"/>
          <w:u w:val="single"/>
        </w:rPr>
        <w:t>Consultation Question 65.</w:t>
      </w:r>
    </w:p>
    <w:p w14:paraId="71D31767" w14:textId="65F04B27" w:rsidR="00E8475F" w:rsidRPr="00E8475F" w:rsidRDefault="00E8475F" w:rsidP="00E8475F">
      <w:pPr>
        <w:jc w:val="both"/>
        <w:rPr>
          <w:rFonts w:ascii="Garamond" w:hAnsi="Garamond"/>
          <w:b/>
          <w:bCs/>
          <w:sz w:val="23"/>
          <w:szCs w:val="23"/>
          <w:u w:val="single"/>
        </w:rPr>
      </w:pPr>
      <w:r w:rsidRPr="00E8475F">
        <w:rPr>
          <w:rFonts w:ascii="Garamond" w:hAnsi="Garamond"/>
          <w:b/>
          <w:bCs/>
          <w:sz w:val="23"/>
          <w:szCs w:val="23"/>
          <w:u w:val="single"/>
        </w:rPr>
        <w:t>We seek consultees’ views on whether administration should be available to friendly societies.</w:t>
      </w:r>
    </w:p>
    <w:p w14:paraId="1AEB21F7" w14:textId="3BED9A28" w:rsidR="00145852" w:rsidRDefault="00046053" w:rsidP="00E8475F">
      <w:pPr>
        <w:jc w:val="both"/>
        <w:rPr>
          <w:rFonts w:ascii="Garamond" w:hAnsi="Garamond"/>
          <w:sz w:val="23"/>
          <w:szCs w:val="23"/>
        </w:rPr>
      </w:pPr>
      <w:r>
        <w:rPr>
          <w:rFonts w:ascii="Garamond" w:hAnsi="Garamond"/>
          <w:sz w:val="23"/>
          <w:szCs w:val="23"/>
        </w:rPr>
        <w:t xml:space="preserve">Yes, we agree. It is sensible to allow for a rescue mechanism such as administration to be </w:t>
      </w:r>
      <w:r w:rsidR="00145852">
        <w:rPr>
          <w:rFonts w:ascii="Garamond" w:hAnsi="Garamond"/>
          <w:sz w:val="23"/>
          <w:szCs w:val="23"/>
        </w:rPr>
        <w:t>made available to friendly societies. However, the form that administration takes will require some consideration. Should it simply be a lightly adapted version of the standard administration procedure in the Insolvency Act 1986, Sch B1? Alternatively, should it be a special administration regime</w:t>
      </w:r>
      <w:r w:rsidR="00CE53ED">
        <w:rPr>
          <w:rFonts w:ascii="Garamond" w:hAnsi="Garamond"/>
          <w:sz w:val="23"/>
          <w:szCs w:val="23"/>
        </w:rPr>
        <w:t xml:space="preserve"> (SAR)</w:t>
      </w:r>
      <w:r w:rsidR="009A3C73">
        <w:rPr>
          <w:rFonts w:ascii="Garamond" w:hAnsi="Garamond"/>
          <w:sz w:val="23"/>
          <w:szCs w:val="23"/>
        </w:rPr>
        <w:t>, perhaps</w:t>
      </w:r>
      <w:r w:rsidR="00CE53ED">
        <w:rPr>
          <w:rFonts w:ascii="Garamond" w:hAnsi="Garamond"/>
          <w:sz w:val="23"/>
          <w:szCs w:val="23"/>
        </w:rPr>
        <w:t xml:space="preserve"> modelled on one of the existing SAR</w:t>
      </w:r>
      <w:r w:rsidR="007310B9">
        <w:rPr>
          <w:rFonts w:ascii="Garamond" w:hAnsi="Garamond"/>
          <w:sz w:val="23"/>
          <w:szCs w:val="23"/>
        </w:rPr>
        <w:t xml:space="preserve">s? </w:t>
      </w:r>
      <w:r w:rsidR="00CE53ED">
        <w:rPr>
          <w:rFonts w:ascii="Garamond" w:hAnsi="Garamond"/>
          <w:sz w:val="23"/>
          <w:szCs w:val="23"/>
        </w:rPr>
        <w:t xml:space="preserve"> </w:t>
      </w:r>
    </w:p>
    <w:p w14:paraId="73C47047" w14:textId="4153AC4C" w:rsidR="00CE53ED" w:rsidRPr="00046053" w:rsidRDefault="00CE53ED" w:rsidP="00E8475F">
      <w:pPr>
        <w:jc w:val="both"/>
        <w:rPr>
          <w:rFonts w:ascii="Garamond" w:hAnsi="Garamond"/>
          <w:sz w:val="23"/>
          <w:szCs w:val="23"/>
        </w:rPr>
      </w:pPr>
      <w:r>
        <w:rPr>
          <w:rFonts w:ascii="Garamond" w:hAnsi="Garamond"/>
          <w:sz w:val="23"/>
          <w:szCs w:val="23"/>
        </w:rPr>
        <w:t xml:space="preserve">In </w:t>
      </w:r>
      <w:r w:rsidR="007310B9">
        <w:rPr>
          <w:rFonts w:ascii="Garamond" w:hAnsi="Garamond"/>
          <w:sz w:val="23"/>
          <w:szCs w:val="23"/>
        </w:rPr>
        <w:t xml:space="preserve">addition, some attention will need to be given to ensuring that differences in the law of administration </w:t>
      </w:r>
      <w:r w:rsidR="00F41B1F">
        <w:rPr>
          <w:rFonts w:ascii="Garamond" w:hAnsi="Garamond"/>
          <w:sz w:val="23"/>
          <w:szCs w:val="23"/>
        </w:rPr>
        <w:t xml:space="preserve">in Scotland are captured by the new regime in relation to Scottish friendly societies. For example, there are various provisions in Sch B1 of the 1986 Act that are only applicable to Scotland. </w:t>
      </w:r>
    </w:p>
    <w:p w14:paraId="2B19DC12" w14:textId="77777777" w:rsidR="00046053" w:rsidRDefault="00046053" w:rsidP="00E8475F">
      <w:pPr>
        <w:jc w:val="both"/>
        <w:rPr>
          <w:rFonts w:ascii="Garamond" w:hAnsi="Garamond"/>
          <w:b/>
          <w:bCs/>
          <w:sz w:val="23"/>
          <w:szCs w:val="23"/>
          <w:u w:val="single"/>
        </w:rPr>
      </w:pPr>
    </w:p>
    <w:p w14:paraId="0A0A65C6" w14:textId="20099806" w:rsidR="00E8475F" w:rsidRPr="00E8475F" w:rsidRDefault="00E8475F" w:rsidP="00E8475F">
      <w:pPr>
        <w:jc w:val="both"/>
        <w:rPr>
          <w:rFonts w:ascii="Garamond" w:hAnsi="Garamond"/>
          <w:b/>
          <w:bCs/>
          <w:sz w:val="23"/>
          <w:szCs w:val="23"/>
          <w:u w:val="single"/>
        </w:rPr>
      </w:pPr>
      <w:r w:rsidRPr="00E8475F">
        <w:rPr>
          <w:rFonts w:ascii="Garamond" w:hAnsi="Garamond"/>
          <w:b/>
          <w:bCs/>
          <w:sz w:val="23"/>
          <w:szCs w:val="23"/>
          <w:u w:val="single"/>
        </w:rPr>
        <w:t>Consultation Question 66.</w:t>
      </w:r>
    </w:p>
    <w:p w14:paraId="2F188326" w14:textId="74034CD6" w:rsidR="00E8475F" w:rsidRPr="00E8475F" w:rsidRDefault="00E8475F" w:rsidP="00E8475F">
      <w:pPr>
        <w:jc w:val="both"/>
        <w:rPr>
          <w:rFonts w:ascii="Garamond" w:hAnsi="Garamond"/>
          <w:b/>
          <w:bCs/>
          <w:sz w:val="23"/>
          <w:szCs w:val="23"/>
          <w:u w:val="single"/>
        </w:rPr>
      </w:pPr>
      <w:r w:rsidRPr="00E8475F">
        <w:rPr>
          <w:rFonts w:ascii="Garamond" w:hAnsi="Garamond"/>
          <w:b/>
          <w:bCs/>
          <w:sz w:val="23"/>
          <w:szCs w:val="23"/>
          <w:u w:val="single"/>
        </w:rPr>
        <w:t>We invite consultees’ views on the desirability of greater alignment between the position of regulated friendly societies and other insurers in respect of insolvency.</w:t>
      </w:r>
    </w:p>
    <w:p w14:paraId="01E78720" w14:textId="3C840DA9" w:rsidR="00F41B1F" w:rsidRPr="007C4F48" w:rsidRDefault="005D7781" w:rsidP="00B05999">
      <w:pPr>
        <w:jc w:val="both"/>
        <w:rPr>
          <w:rFonts w:ascii="Garamond" w:hAnsi="Garamond"/>
          <w:sz w:val="23"/>
          <w:szCs w:val="23"/>
        </w:rPr>
      </w:pPr>
      <w:r>
        <w:rPr>
          <w:rFonts w:ascii="Garamond" w:hAnsi="Garamond"/>
          <w:sz w:val="23"/>
          <w:szCs w:val="23"/>
        </w:rPr>
        <w:t xml:space="preserve">We recognise the desirability of greater alignment in the manner specified and </w:t>
      </w:r>
      <w:r w:rsidR="003D4376">
        <w:rPr>
          <w:rFonts w:ascii="Garamond" w:hAnsi="Garamond"/>
          <w:sz w:val="23"/>
          <w:szCs w:val="23"/>
        </w:rPr>
        <w:t xml:space="preserve">are provisionally supportive. However, we </w:t>
      </w:r>
      <w:r w:rsidR="009A3C73">
        <w:rPr>
          <w:rFonts w:ascii="Garamond" w:hAnsi="Garamond"/>
          <w:sz w:val="23"/>
          <w:szCs w:val="23"/>
        </w:rPr>
        <w:t xml:space="preserve">would </w:t>
      </w:r>
      <w:r w:rsidR="003D4376">
        <w:rPr>
          <w:rFonts w:ascii="Garamond" w:hAnsi="Garamond"/>
          <w:sz w:val="23"/>
          <w:szCs w:val="23"/>
        </w:rPr>
        <w:t xml:space="preserve">require further information as to what </w:t>
      </w:r>
      <w:r w:rsidR="009A3C73">
        <w:rPr>
          <w:rFonts w:ascii="Garamond" w:hAnsi="Garamond"/>
          <w:sz w:val="23"/>
          <w:szCs w:val="23"/>
        </w:rPr>
        <w:t xml:space="preserve">precisely </w:t>
      </w:r>
      <w:r w:rsidR="003D4376">
        <w:rPr>
          <w:rFonts w:ascii="Garamond" w:hAnsi="Garamond"/>
          <w:sz w:val="23"/>
          <w:szCs w:val="23"/>
        </w:rPr>
        <w:t xml:space="preserve">the regime would consist of before we can </w:t>
      </w:r>
      <w:r w:rsidR="009D68D0">
        <w:rPr>
          <w:rFonts w:ascii="Garamond" w:hAnsi="Garamond"/>
          <w:sz w:val="23"/>
          <w:szCs w:val="23"/>
        </w:rPr>
        <w:t>fully support it</w:t>
      </w:r>
      <w:r w:rsidR="003D4376">
        <w:rPr>
          <w:rFonts w:ascii="Garamond" w:hAnsi="Garamond"/>
          <w:sz w:val="23"/>
          <w:szCs w:val="23"/>
        </w:rPr>
        <w:t>.</w:t>
      </w:r>
    </w:p>
    <w:p w14:paraId="6A1A041E" w14:textId="77777777" w:rsidR="00F41B1F" w:rsidRDefault="00F41B1F" w:rsidP="00B05999">
      <w:pPr>
        <w:jc w:val="both"/>
        <w:rPr>
          <w:rFonts w:ascii="Garamond" w:hAnsi="Garamond"/>
          <w:b/>
          <w:bCs/>
          <w:sz w:val="23"/>
          <w:szCs w:val="23"/>
          <w:u w:val="single"/>
        </w:rPr>
      </w:pPr>
    </w:p>
    <w:p w14:paraId="40DD8467" w14:textId="77777777" w:rsidR="007E6127" w:rsidRDefault="007E6127" w:rsidP="00B05999">
      <w:pPr>
        <w:jc w:val="both"/>
        <w:rPr>
          <w:rFonts w:ascii="Garamond" w:hAnsi="Garamond"/>
          <w:b/>
          <w:bCs/>
          <w:sz w:val="23"/>
          <w:szCs w:val="23"/>
          <w:u w:val="single"/>
        </w:rPr>
      </w:pPr>
      <w:r>
        <w:rPr>
          <w:rFonts w:ascii="Garamond" w:hAnsi="Garamond"/>
          <w:b/>
          <w:bCs/>
          <w:sz w:val="23"/>
          <w:szCs w:val="23"/>
          <w:u w:val="single"/>
        </w:rPr>
        <w:t>C</w:t>
      </w:r>
      <w:r w:rsidRPr="007E6127">
        <w:rPr>
          <w:rFonts w:ascii="Garamond" w:hAnsi="Garamond"/>
          <w:b/>
          <w:bCs/>
          <w:sz w:val="23"/>
          <w:szCs w:val="23"/>
          <w:u w:val="single"/>
        </w:rPr>
        <w:t xml:space="preserve">onsultation Question 69. </w:t>
      </w:r>
    </w:p>
    <w:p w14:paraId="05514488" w14:textId="6F378B07" w:rsidR="00F41B1F" w:rsidRDefault="007E6127" w:rsidP="00B05999">
      <w:pPr>
        <w:jc w:val="both"/>
        <w:rPr>
          <w:rFonts w:ascii="Garamond" w:hAnsi="Garamond"/>
          <w:b/>
          <w:bCs/>
          <w:sz w:val="23"/>
          <w:szCs w:val="23"/>
          <w:u w:val="single"/>
        </w:rPr>
      </w:pPr>
      <w:r w:rsidRPr="007E6127">
        <w:rPr>
          <w:rFonts w:ascii="Garamond" w:hAnsi="Garamond"/>
          <w:b/>
          <w:bCs/>
          <w:sz w:val="23"/>
          <w:szCs w:val="23"/>
          <w:u w:val="single"/>
        </w:rPr>
        <w:t>Are there any factors unique to Scotland that we should know about?</w:t>
      </w:r>
    </w:p>
    <w:p w14:paraId="37D34604" w14:textId="39B9E5D7" w:rsidR="00362E38" w:rsidRDefault="00362E38" w:rsidP="00A61E67">
      <w:pPr>
        <w:jc w:val="both"/>
        <w:rPr>
          <w:rFonts w:ascii="Garamond" w:hAnsi="Garamond"/>
          <w:sz w:val="23"/>
          <w:szCs w:val="23"/>
        </w:rPr>
      </w:pPr>
      <w:r>
        <w:rPr>
          <w:rFonts w:ascii="Garamond" w:hAnsi="Garamond"/>
          <w:sz w:val="23"/>
          <w:szCs w:val="23"/>
        </w:rPr>
        <w:t>It should always be borne in mind that areas of law adjacent to the law of friendly societies</w:t>
      </w:r>
      <w:r w:rsidR="002E150D">
        <w:rPr>
          <w:rFonts w:ascii="Garamond" w:hAnsi="Garamond"/>
          <w:sz w:val="23"/>
          <w:szCs w:val="23"/>
        </w:rPr>
        <w:t xml:space="preserve"> in Scotland can differ </w:t>
      </w:r>
      <w:r w:rsidR="00D04227">
        <w:rPr>
          <w:rFonts w:ascii="Garamond" w:hAnsi="Garamond"/>
          <w:sz w:val="23"/>
          <w:szCs w:val="23"/>
        </w:rPr>
        <w:t>in various ways</w:t>
      </w:r>
      <w:r w:rsidR="002E150D">
        <w:rPr>
          <w:rFonts w:ascii="Garamond" w:hAnsi="Garamond"/>
          <w:sz w:val="23"/>
          <w:szCs w:val="23"/>
        </w:rPr>
        <w:t xml:space="preserve"> </w:t>
      </w:r>
      <w:r w:rsidR="00D04227">
        <w:rPr>
          <w:rFonts w:ascii="Garamond" w:hAnsi="Garamond"/>
          <w:sz w:val="23"/>
          <w:szCs w:val="23"/>
        </w:rPr>
        <w:t>from</w:t>
      </w:r>
      <w:r w:rsidR="002E150D">
        <w:rPr>
          <w:rFonts w:ascii="Garamond" w:hAnsi="Garamond"/>
          <w:sz w:val="23"/>
          <w:szCs w:val="23"/>
        </w:rPr>
        <w:t xml:space="preserve"> the law in England and Wales, including property law, security rights, trusts,</w:t>
      </w:r>
      <w:r w:rsidR="004B7B88">
        <w:rPr>
          <w:rFonts w:ascii="Garamond" w:hAnsi="Garamond"/>
          <w:sz w:val="23"/>
          <w:szCs w:val="23"/>
        </w:rPr>
        <w:t xml:space="preserve"> debt enforcement</w:t>
      </w:r>
      <w:r w:rsidR="007045A3">
        <w:rPr>
          <w:rFonts w:ascii="Garamond" w:hAnsi="Garamond"/>
          <w:sz w:val="23"/>
          <w:szCs w:val="23"/>
        </w:rPr>
        <w:t>, and aspects of insolvency law</w:t>
      </w:r>
      <w:r w:rsidR="004B7B88">
        <w:rPr>
          <w:rFonts w:ascii="Garamond" w:hAnsi="Garamond"/>
          <w:sz w:val="23"/>
          <w:szCs w:val="23"/>
        </w:rPr>
        <w:t>.</w:t>
      </w:r>
    </w:p>
    <w:p w14:paraId="6FF5E290" w14:textId="4568A078" w:rsidR="00D04227" w:rsidRDefault="007045A3" w:rsidP="00A61E67">
      <w:pPr>
        <w:jc w:val="both"/>
        <w:rPr>
          <w:rFonts w:ascii="Garamond" w:hAnsi="Garamond"/>
          <w:sz w:val="23"/>
          <w:szCs w:val="23"/>
        </w:rPr>
      </w:pPr>
      <w:r>
        <w:rPr>
          <w:rFonts w:ascii="Garamond" w:hAnsi="Garamond"/>
          <w:sz w:val="23"/>
          <w:szCs w:val="23"/>
        </w:rPr>
        <w:t xml:space="preserve">However, there are no </w:t>
      </w:r>
      <w:r w:rsidR="00D04227">
        <w:rPr>
          <w:rFonts w:ascii="Garamond" w:hAnsi="Garamond"/>
          <w:sz w:val="23"/>
          <w:szCs w:val="23"/>
        </w:rPr>
        <w:t>specific factors that we think are par</w:t>
      </w:r>
      <w:r w:rsidR="00455244">
        <w:rPr>
          <w:rFonts w:ascii="Garamond" w:hAnsi="Garamond"/>
          <w:sz w:val="23"/>
          <w:szCs w:val="23"/>
        </w:rPr>
        <w:t>ticularly worthwhile to raise here (beyond those identified above).</w:t>
      </w:r>
    </w:p>
    <w:p w14:paraId="33A64650" w14:textId="7278F942" w:rsidR="00C20DFD" w:rsidRPr="007E6127" w:rsidRDefault="00C20DFD" w:rsidP="00A61E67">
      <w:pPr>
        <w:jc w:val="both"/>
        <w:rPr>
          <w:rFonts w:ascii="Garamond" w:hAnsi="Garamond"/>
          <w:sz w:val="23"/>
          <w:szCs w:val="23"/>
        </w:rPr>
      </w:pPr>
    </w:p>
    <w:sectPr w:rsidR="00C20DFD" w:rsidRPr="007E612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BCC0" w14:textId="77777777" w:rsidR="00BC7E7D" w:rsidRDefault="00BC7E7D" w:rsidP="00C20D97">
      <w:pPr>
        <w:spacing w:after="0" w:line="240" w:lineRule="auto"/>
      </w:pPr>
      <w:r>
        <w:separator/>
      </w:r>
    </w:p>
  </w:endnote>
  <w:endnote w:type="continuationSeparator" w:id="0">
    <w:p w14:paraId="2A740763" w14:textId="77777777" w:rsidR="00BC7E7D" w:rsidRDefault="00BC7E7D" w:rsidP="00C20D97">
      <w:pPr>
        <w:spacing w:after="0" w:line="240" w:lineRule="auto"/>
      </w:pPr>
      <w:r>
        <w:continuationSeparator/>
      </w:r>
    </w:p>
  </w:endnote>
  <w:endnote w:type="continuationNotice" w:id="1">
    <w:p w14:paraId="428ADB48" w14:textId="77777777" w:rsidR="00BC7E7D" w:rsidRDefault="00BC7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307672"/>
      <w:docPartObj>
        <w:docPartGallery w:val="Page Numbers (Bottom of Page)"/>
        <w:docPartUnique/>
      </w:docPartObj>
    </w:sdtPr>
    <w:sdtEndPr>
      <w:rPr>
        <w:rFonts w:ascii="Garamond" w:hAnsi="Garamond"/>
        <w:noProof/>
        <w:sz w:val="24"/>
        <w:szCs w:val="24"/>
      </w:rPr>
    </w:sdtEndPr>
    <w:sdtContent>
      <w:p w14:paraId="4B8E4AE8" w14:textId="21E6FA0A" w:rsidR="00C20D97" w:rsidRPr="00401366" w:rsidRDefault="00C20D97">
        <w:pPr>
          <w:pStyle w:val="Footer"/>
          <w:jc w:val="center"/>
          <w:rPr>
            <w:rFonts w:ascii="Garamond" w:hAnsi="Garamond"/>
            <w:sz w:val="24"/>
            <w:szCs w:val="24"/>
          </w:rPr>
        </w:pPr>
        <w:r w:rsidRPr="00401366">
          <w:rPr>
            <w:rFonts w:ascii="Garamond" w:hAnsi="Garamond"/>
            <w:sz w:val="24"/>
            <w:szCs w:val="24"/>
          </w:rPr>
          <w:fldChar w:fldCharType="begin"/>
        </w:r>
        <w:r w:rsidRPr="00401366">
          <w:rPr>
            <w:rFonts w:ascii="Garamond" w:hAnsi="Garamond"/>
            <w:sz w:val="24"/>
            <w:szCs w:val="24"/>
          </w:rPr>
          <w:instrText xml:space="preserve"> PAGE   \* MERGEFORMAT </w:instrText>
        </w:r>
        <w:r w:rsidRPr="00401366">
          <w:rPr>
            <w:rFonts w:ascii="Garamond" w:hAnsi="Garamond"/>
            <w:sz w:val="24"/>
            <w:szCs w:val="24"/>
          </w:rPr>
          <w:fldChar w:fldCharType="separate"/>
        </w:r>
        <w:r w:rsidRPr="00401366">
          <w:rPr>
            <w:rFonts w:ascii="Garamond" w:hAnsi="Garamond"/>
            <w:noProof/>
            <w:sz w:val="24"/>
            <w:szCs w:val="24"/>
          </w:rPr>
          <w:t>2</w:t>
        </w:r>
        <w:r w:rsidRPr="00401366">
          <w:rPr>
            <w:rFonts w:ascii="Garamond" w:hAnsi="Garamond"/>
            <w:noProof/>
            <w:sz w:val="24"/>
            <w:szCs w:val="24"/>
          </w:rPr>
          <w:fldChar w:fldCharType="end"/>
        </w:r>
      </w:p>
    </w:sdtContent>
  </w:sdt>
  <w:p w14:paraId="69A71267" w14:textId="77777777" w:rsidR="00C20D97" w:rsidRDefault="00C20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14F2" w14:textId="77777777" w:rsidR="00BC7E7D" w:rsidRDefault="00BC7E7D" w:rsidP="00C20D97">
      <w:pPr>
        <w:spacing w:after="0" w:line="240" w:lineRule="auto"/>
      </w:pPr>
      <w:r>
        <w:separator/>
      </w:r>
    </w:p>
  </w:footnote>
  <w:footnote w:type="continuationSeparator" w:id="0">
    <w:p w14:paraId="6DA65717" w14:textId="77777777" w:rsidR="00BC7E7D" w:rsidRDefault="00BC7E7D" w:rsidP="00C20D97">
      <w:pPr>
        <w:spacing w:after="0" w:line="240" w:lineRule="auto"/>
      </w:pPr>
      <w:r>
        <w:continuationSeparator/>
      </w:r>
    </w:p>
  </w:footnote>
  <w:footnote w:type="continuationNotice" w:id="1">
    <w:p w14:paraId="2C116469" w14:textId="77777777" w:rsidR="00BC7E7D" w:rsidRDefault="00BC7E7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A"/>
    <w:rsid w:val="0000114E"/>
    <w:rsid w:val="000046DE"/>
    <w:rsid w:val="00004BE2"/>
    <w:rsid w:val="00023A81"/>
    <w:rsid w:val="00026B08"/>
    <w:rsid w:val="00027737"/>
    <w:rsid w:val="00030C79"/>
    <w:rsid w:val="000313ED"/>
    <w:rsid w:val="00033A86"/>
    <w:rsid w:val="00035782"/>
    <w:rsid w:val="000365CC"/>
    <w:rsid w:val="00043F98"/>
    <w:rsid w:val="00046053"/>
    <w:rsid w:val="00053976"/>
    <w:rsid w:val="00053C9B"/>
    <w:rsid w:val="0005531B"/>
    <w:rsid w:val="0005781D"/>
    <w:rsid w:val="00064C63"/>
    <w:rsid w:val="000661F1"/>
    <w:rsid w:val="00077F6B"/>
    <w:rsid w:val="000924B5"/>
    <w:rsid w:val="00096FD2"/>
    <w:rsid w:val="000A3A12"/>
    <w:rsid w:val="000A4809"/>
    <w:rsid w:val="000A4A0E"/>
    <w:rsid w:val="000A4CE2"/>
    <w:rsid w:val="000A7543"/>
    <w:rsid w:val="000B1010"/>
    <w:rsid w:val="000B1D92"/>
    <w:rsid w:val="000C2B2C"/>
    <w:rsid w:val="000C2F0A"/>
    <w:rsid w:val="000C3A08"/>
    <w:rsid w:val="000C7EB6"/>
    <w:rsid w:val="000D6235"/>
    <w:rsid w:val="000E007E"/>
    <w:rsid w:val="000E6D8C"/>
    <w:rsid w:val="000F0FED"/>
    <w:rsid w:val="000F7FD3"/>
    <w:rsid w:val="0010231B"/>
    <w:rsid w:val="0010364B"/>
    <w:rsid w:val="00105C65"/>
    <w:rsid w:val="00110DC1"/>
    <w:rsid w:val="00111131"/>
    <w:rsid w:val="00113FB2"/>
    <w:rsid w:val="0011687A"/>
    <w:rsid w:val="00120681"/>
    <w:rsid w:val="00122E5B"/>
    <w:rsid w:val="00130381"/>
    <w:rsid w:val="00133831"/>
    <w:rsid w:val="00142055"/>
    <w:rsid w:val="00145852"/>
    <w:rsid w:val="00146C76"/>
    <w:rsid w:val="00152057"/>
    <w:rsid w:val="00152AE3"/>
    <w:rsid w:val="00154270"/>
    <w:rsid w:val="00156723"/>
    <w:rsid w:val="0016365E"/>
    <w:rsid w:val="00187E34"/>
    <w:rsid w:val="00194080"/>
    <w:rsid w:val="001A186C"/>
    <w:rsid w:val="001A2AD9"/>
    <w:rsid w:val="001A3122"/>
    <w:rsid w:val="001B02FF"/>
    <w:rsid w:val="001B3D13"/>
    <w:rsid w:val="001B62AA"/>
    <w:rsid w:val="001C1260"/>
    <w:rsid w:val="001C3143"/>
    <w:rsid w:val="001C6F91"/>
    <w:rsid w:val="001D5A64"/>
    <w:rsid w:val="001D6C23"/>
    <w:rsid w:val="001D7F50"/>
    <w:rsid w:val="001D7FEF"/>
    <w:rsid w:val="001E26BE"/>
    <w:rsid w:val="001E36B2"/>
    <w:rsid w:val="001F2AE9"/>
    <w:rsid w:val="001F49DB"/>
    <w:rsid w:val="001F4FB9"/>
    <w:rsid w:val="001F5A2D"/>
    <w:rsid w:val="00207581"/>
    <w:rsid w:val="002127C2"/>
    <w:rsid w:val="00216879"/>
    <w:rsid w:val="00221B56"/>
    <w:rsid w:val="00221FAE"/>
    <w:rsid w:val="00231661"/>
    <w:rsid w:val="00235BDC"/>
    <w:rsid w:val="002459FB"/>
    <w:rsid w:val="002507EB"/>
    <w:rsid w:val="00251098"/>
    <w:rsid w:val="00251A45"/>
    <w:rsid w:val="002569A4"/>
    <w:rsid w:val="002601A7"/>
    <w:rsid w:val="00264C5A"/>
    <w:rsid w:val="00266DBF"/>
    <w:rsid w:val="00272848"/>
    <w:rsid w:val="002823ED"/>
    <w:rsid w:val="00282E5E"/>
    <w:rsid w:val="00284452"/>
    <w:rsid w:val="00285FD1"/>
    <w:rsid w:val="0028708B"/>
    <w:rsid w:val="002877D0"/>
    <w:rsid w:val="00294FFA"/>
    <w:rsid w:val="00297529"/>
    <w:rsid w:val="002A5555"/>
    <w:rsid w:val="002A72B1"/>
    <w:rsid w:val="002B26CF"/>
    <w:rsid w:val="002B4A21"/>
    <w:rsid w:val="002B5680"/>
    <w:rsid w:val="002C0297"/>
    <w:rsid w:val="002C095D"/>
    <w:rsid w:val="002C50C4"/>
    <w:rsid w:val="002C5DEE"/>
    <w:rsid w:val="002D0212"/>
    <w:rsid w:val="002D0DB3"/>
    <w:rsid w:val="002D30F2"/>
    <w:rsid w:val="002D4B36"/>
    <w:rsid w:val="002E036D"/>
    <w:rsid w:val="002E06F0"/>
    <w:rsid w:val="002E150D"/>
    <w:rsid w:val="002E59DE"/>
    <w:rsid w:val="002F3016"/>
    <w:rsid w:val="002F3129"/>
    <w:rsid w:val="00303B2F"/>
    <w:rsid w:val="00304CCD"/>
    <w:rsid w:val="00310938"/>
    <w:rsid w:val="00313FFE"/>
    <w:rsid w:val="00315E48"/>
    <w:rsid w:val="00322519"/>
    <w:rsid w:val="00322762"/>
    <w:rsid w:val="003237B6"/>
    <w:rsid w:val="0032682F"/>
    <w:rsid w:val="0033058D"/>
    <w:rsid w:val="003327D3"/>
    <w:rsid w:val="00334902"/>
    <w:rsid w:val="00334B6A"/>
    <w:rsid w:val="0033616F"/>
    <w:rsid w:val="00340CE0"/>
    <w:rsid w:val="00343C72"/>
    <w:rsid w:val="003534AA"/>
    <w:rsid w:val="00357667"/>
    <w:rsid w:val="00362E38"/>
    <w:rsid w:val="003637B7"/>
    <w:rsid w:val="00375F01"/>
    <w:rsid w:val="003847DB"/>
    <w:rsid w:val="00385A28"/>
    <w:rsid w:val="00385B91"/>
    <w:rsid w:val="00391594"/>
    <w:rsid w:val="003A1E9B"/>
    <w:rsid w:val="003A27B6"/>
    <w:rsid w:val="003A58E9"/>
    <w:rsid w:val="003A59B2"/>
    <w:rsid w:val="003A5B84"/>
    <w:rsid w:val="003B1644"/>
    <w:rsid w:val="003B199E"/>
    <w:rsid w:val="003B1A6F"/>
    <w:rsid w:val="003B358D"/>
    <w:rsid w:val="003B3754"/>
    <w:rsid w:val="003B4C55"/>
    <w:rsid w:val="003B7E78"/>
    <w:rsid w:val="003C1D0A"/>
    <w:rsid w:val="003C40D1"/>
    <w:rsid w:val="003D326A"/>
    <w:rsid w:val="003D3291"/>
    <w:rsid w:val="003D4376"/>
    <w:rsid w:val="003D4579"/>
    <w:rsid w:val="003D5985"/>
    <w:rsid w:val="003D7AB5"/>
    <w:rsid w:val="003E31A6"/>
    <w:rsid w:val="003E6069"/>
    <w:rsid w:val="003F2F3C"/>
    <w:rsid w:val="003F6D41"/>
    <w:rsid w:val="00401366"/>
    <w:rsid w:val="004022D6"/>
    <w:rsid w:val="004022E4"/>
    <w:rsid w:val="0040426E"/>
    <w:rsid w:val="00405763"/>
    <w:rsid w:val="00405B31"/>
    <w:rsid w:val="00414280"/>
    <w:rsid w:val="0041556B"/>
    <w:rsid w:val="004226AB"/>
    <w:rsid w:val="00425930"/>
    <w:rsid w:val="004263B1"/>
    <w:rsid w:val="0042705C"/>
    <w:rsid w:val="00442479"/>
    <w:rsid w:val="0044348B"/>
    <w:rsid w:val="00443951"/>
    <w:rsid w:val="004459BB"/>
    <w:rsid w:val="00447F55"/>
    <w:rsid w:val="00450953"/>
    <w:rsid w:val="00452D14"/>
    <w:rsid w:val="0045403B"/>
    <w:rsid w:val="00455244"/>
    <w:rsid w:val="00456E8B"/>
    <w:rsid w:val="00464A10"/>
    <w:rsid w:val="00465230"/>
    <w:rsid w:val="00465282"/>
    <w:rsid w:val="0047484C"/>
    <w:rsid w:val="00477F31"/>
    <w:rsid w:val="0048690E"/>
    <w:rsid w:val="0049557F"/>
    <w:rsid w:val="004958FF"/>
    <w:rsid w:val="004968D3"/>
    <w:rsid w:val="004A0F14"/>
    <w:rsid w:val="004A1B03"/>
    <w:rsid w:val="004A1ED3"/>
    <w:rsid w:val="004A64FF"/>
    <w:rsid w:val="004B0F7F"/>
    <w:rsid w:val="004B7B88"/>
    <w:rsid w:val="004C1F88"/>
    <w:rsid w:val="004C6B78"/>
    <w:rsid w:val="004D4831"/>
    <w:rsid w:val="004D6AA1"/>
    <w:rsid w:val="004E5F62"/>
    <w:rsid w:val="004E787F"/>
    <w:rsid w:val="00507775"/>
    <w:rsid w:val="0051163B"/>
    <w:rsid w:val="00523E19"/>
    <w:rsid w:val="00524313"/>
    <w:rsid w:val="00527FCE"/>
    <w:rsid w:val="00540C86"/>
    <w:rsid w:val="0054226E"/>
    <w:rsid w:val="00545E4F"/>
    <w:rsid w:val="005473F5"/>
    <w:rsid w:val="00555DDD"/>
    <w:rsid w:val="0055724D"/>
    <w:rsid w:val="00567731"/>
    <w:rsid w:val="005700C4"/>
    <w:rsid w:val="00570338"/>
    <w:rsid w:val="00572D59"/>
    <w:rsid w:val="00574068"/>
    <w:rsid w:val="00575BF4"/>
    <w:rsid w:val="00581C13"/>
    <w:rsid w:val="0058223C"/>
    <w:rsid w:val="005823BD"/>
    <w:rsid w:val="00585D2E"/>
    <w:rsid w:val="005861B7"/>
    <w:rsid w:val="005866DE"/>
    <w:rsid w:val="005873B6"/>
    <w:rsid w:val="005873F9"/>
    <w:rsid w:val="005969AA"/>
    <w:rsid w:val="005B09B3"/>
    <w:rsid w:val="005B146B"/>
    <w:rsid w:val="005B44D3"/>
    <w:rsid w:val="005B6AED"/>
    <w:rsid w:val="005C5F4B"/>
    <w:rsid w:val="005D15B4"/>
    <w:rsid w:val="005D39D3"/>
    <w:rsid w:val="005D452B"/>
    <w:rsid w:val="005D7781"/>
    <w:rsid w:val="005E39A9"/>
    <w:rsid w:val="005E408E"/>
    <w:rsid w:val="005E42C5"/>
    <w:rsid w:val="005F1C5A"/>
    <w:rsid w:val="005F3760"/>
    <w:rsid w:val="005F4211"/>
    <w:rsid w:val="005F65F1"/>
    <w:rsid w:val="005F6994"/>
    <w:rsid w:val="005F70E6"/>
    <w:rsid w:val="006060A3"/>
    <w:rsid w:val="00606455"/>
    <w:rsid w:val="00615E05"/>
    <w:rsid w:val="00621A4B"/>
    <w:rsid w:val="00623F25"/>
    <w:rsid w:val="006248D8"/>
    <w:rsid w:val="0062576E"/>
    <w:rsid w:val="00631FAE"/>
    <w:rsid w:val="00642F7E"/>
    <w:rsid w:val="0064621C"/>
    <w:rsid w:val="006528EB"/>
    <w:rsid w:val="00660821"/>
    <w:rsid w:val="00666130"/>
    <w:rsid w:val="00666438"/>
    <w:rsid w:val="00666A1E"/>
    <w:rsid w:val="00667DB0"/>
    <w:rsid w:val="00674D23"/>
    <w:rsid w:val="00675A4E"/>
    <w:rsid w:val="00680882"/>
    <w:rsid w:val="0068091D"/>
    <w:rsid w:val="00684BC4"/>
    <w:rsid w:val="0068780C"/>
    <w:rsid w:val="00692960"/>
    <w:rsid w:val="00694BCA"/>
    <w:rsid w:val="006A168C"/>
    <w:rsid w:val="006A2F5C"/>
    <w:rsid w:val="006A556C"/>
    <w:rsid w:val="006B064D"/>
    <w:rsid w:val="006B35C4"/>
    <w:rsid w:val="006C4A87"/>
    <w:rsid w:val="006C4BC3"/>
    <w:rsid w:val="006C5DB7"/>
    <w:rsid w:val="006C66EA"/>
    <w:rsid w:val="006C786D"/>
    <w:rsid w:val="006D3BE7"/>
    <w:rsid w:val="006D6507"/>
    <w:rsid w:val="006E5AF1"/>
    <w:rsid w:val="006E61EF"/>
    <w:rsid w:val="006E6ACC"/>
    <w:rsid w:val="006F604D"/>
    <w:rsid w:val="0070353A"/>
    <w:rsid w:val="007045A3"/>
    <w:rsid w:val="00711E29"/>
    <w:rsid w:val="00713D3B"/>
    <w:rsid w:val="00716B3E"/>
    <w:rsid w:val="00721F19"/>
    <w:rsid w:val="007240BE"/>
    <w:rsid w:val="0072724F"/>
    <w:rsid w:val="007310B9"/>
    <w:rsid w:val="00732326"/>
    <w:rsid w:val="0073612C"/>
    <w:rsid w:val="0074502A"/>
    <w:rsid w:val="00745A4E"/>
    <w:rsid w:val="00745D72"/>
    <w:rsid w:val="0075773A"/>
    <w:rsid w:val="00763328"/>
    <w:rsid w:val="00764152"/>
    <w:rsid w:val="00766856"/>
    <w:rsid w:val="0077071D"/>
    <w:rsid w:val="007742B6"/>
    <w:rsid w:val="0078466E"/>
    <w:rsid w:val="00793D95"/>
    <w:rsid w:val="00794EB2"/>
    <w:rsid w:val="007A147F"/>
    <w:rsid w:val="007B2D14"/>
    <w:rsid w:val="007B5D13"/>
    <w:rsid w:val="007C0F3B"/>
    <w:rsid w:val="007C4F48"/>
    <w:rsid w:val="007C7776"/>
    <w:rsid w:val="007D0048"/>
    <w:rsid w:val="007D76F3"/>
    <w:rsid w:val="007E07B7"/>
    <w:rsid w:val="007E1B5C"/>
    <w:rsid w:val="007E6127"/>
    <w:rsid w:val="007F5BE2"/>
    <w:rsid w:val="007F7FEE"/>
    <w:rsid w:val="0080015B"/>
    <w:rsid w:val="008006F4"/>
    <w:rsid w:val="008024C7"/>
    <w:rsid w:val="00812A09"/>
    <w:rsid w:val="008169E3"/>
    <w:rsid w:val="0082500D"/>
    <w:rsid w:val="008254D5"/>
    <w:rsid w:val="00825650"/>
    <w:rsid w:val="00832A07"/>
    <w:rsid w:val="00836FBD"/>
    <w:rsid w:val="00845730"/>
    <w:rsid w:val="00847BBB"/>
    <w:rsid w:val="00851F4D"/>
    <w:rsid w:val="00854538"/>
    <w:rsid w:val="0086059A"/>
    <w:rsid w:val="0086096F"/>
    <w:rsid w:val="00870991"/>
    <w:rsid w:val="00874786"/>
    <w:rsid w:val="00874F1B"/>
    <w:rsid w:val="008766DF"/>
    <w:rsid w:val="008770F5"/>
    <w:rsid w:val="0087733C"/>
    <w:rsid w:val="0088367D"/>
    <w:rsid w:val="0088693D"/>
    <w:rsid w:val="008902C8"/>
    <w:rsid w:val="008910BC"/>
    <w:rsid w:val="00892C7C"/>
    <w:rsid w:val="00897313"/>
    <w:rsid w:val="00897598"/>
    <w:rsid w:val="00897E80"/>
    <w:rsid w:val="008A4E85"/>
    <w:rsid w:val="008B3BF5"/>
    <w:rsid w:val="008B4B9D"/>
    <w:rsid w:val="008B5394"/>
    <w:rsid w:val="008B6CFF"/>
    <w:rsid w:val="008B6E8E"/>
    <w:rsid w:val="008C0D24"/>
    <w:rsid w:val="008D297F"/>
    <w:rsid w:val="008E32ED"/>
    <w:rsid w:val="008E7CA9"/>
    <w:rsid w:val="008F1CD0"/>
    <w:rsid w:val="008F277A"/>
    <w:rsid w:val="008F295B"/>
    <w:rsid w:val="008F35B2"/>
    <w:rsid w:val="008F67B4"/>
    <w:rsid w:val="008F7D53"/>
    <w:rsid w:val="0090026B"/>
    <w:rsid w:val="00916365"/>
    <w:rsid w:val="00916EEB"/>
    <w:rsid w:val="00920A13"/>
    <w:rsid w:val="00924F6A"/>
    <w:rsid w:val="0093250F"/>
    <w:rsid w:val="00943083"/>
    <w:rsid w:val="00943EDD"/>
    <w:rsid w:val="0095439F"/>
    <w:rsid w:val="00954535"/>
    <w:rsid w:val="00954C0E"/>
    <w:rsid w:val="009617E3"/>
    <w:rsid w:val="009633BF"/>
    <w:rsid w:val="0097087E"/>
    <w:rsid w:val="00971296"/>
    <w:rsid w:val="00981F36"/>
    <w:rsid w:val="00991C3A"/>
    <w:rsid w:val="00991D8D"/>
    <w:rsid w:val="009A32ED"/>
    <w:rsid w:val="009A3C73"/>
    <w:rsid w:val="009A7889"/>
    <w:rsid w:val="009B2B2A"/>
    <w:rsid w:val="009B36B0"/>
    <w:rsid w:val="009C0C17"/>
    <w:rsid w:val="009D27DB"/>
    <w:rsid w:val="009D5A72"/>
    <w:rsid w:val="009D68D0"/>
    <w:rsid w:val="009E0B12"/>
    <w:rsid w:val="009F027C"/>
    <w:rsid w:val="009F2D47"/>
    <w:rsid w:val="009F36F2"/>
    <w:rsid w:val="00A14872"/>
    <w:rsid w:val="00A155A1"/>
    <w:rsid w:val="00A15ECC"/>
    <w:rsid w:val="00A1696D"/>
    <w:rsid w:val="00A278D4"/>
    <w:rsid w:val="00A27B7C"/>
    <w:rsid w:val="00A31BB4"/>
    <w:rsid w:val="00A42AE4"/>
    <w:rsid w:val="00A44D68"/>
    <w:rsid w:val="00A453A2"/>
    <w:rsid w:val="00A47EDF"/>
    <w:rsid w:val="00A51944"/>
    <w:rsid w:val="00A53D05"/>
    <w:rsid w:val="00A5624C"/>
    <w:rsid w:val="00A61E67"/>
    <w:rsid w:val="00A62D77"/>
    <w:rsid w:val="00A65EB7"/>
    <w:rsid w:val="00A725B7"/>
    <w:rsid w:val="00A774E1"/>
    <w:rsid w:val="00A811EF"/>
    <w:rsid w:val="00A81C32"/>
    <w:rsid w:val="00A820FB"/>
    <w:rsid w:val="00A83D9B"/>
    <w:rsid w:val="00A83FEE"/>
    <w:rsid w:val="00A958BD"/>
    <w:rsid w:val="00AA1A63"/>
    <w:rsid w:val="00AA70DB"/>
    <w:rsid w:val="00AB4DBB"/>
    <w:rsid w:val="00AB52F4"/>
    <w:rsid w:val="00AB6428"/>
    <w:rsid w:val="00AB74A1"/>
    <w:rsid w:val="00AC1957"/>
    <w:rsid w:val="00AC7050"/>
    <w:rsid w:val="00AD3A54"/>
    <w:rsid w:val="00AD7B7F"/>
    <w:rsid w:val="00AE325B"/>
    <w:rsid w:val="00AE6A0F"/>
    <w:rsid w:val="00AF049F"/>
    <w:rsid w:val="00AF7F4A"/>
    <w:rsid w:val="00B01681"/>
    <w:rsid w:val="00B0235A"/>
    <w:rsid w:val="00B05999"/>
    <w:rsid w:val="00B060E0"/>
    <w:rsid w:val="00B14A4B"/>
    <w:rsid w:val="00B165A2"/>
    <w:rsid w:val="00B26C4E"/>
    <w:rsid w:val="00B3182B"/>
    <w:rsid w:val="00B3200C"/>
    <w:rsid w:val="00B35D34"/>
    <w:rsid w:val="00B37E61"/>
    <w:rsid w:val="00B402CB"/>
    <w:rsid w:val="00B42165"/>
    <w:rsid w:val="00B44EFC"/>
    <w:rsid w:val="00B50DBB"/>
    <w:rsid w:val="00B51A5C"/>
    <w:rsid w:val="00B51B27"/>
    <w:rsid w:val="00B5371F"/>
    <w:rsid w:val="00B63E89"/>
    <w:rsid w:val="00B64C64"/>
    <w:rsid w:val="00B66CB9"/>
    <w:rsid w:val="00B737AF"/>
    <w:rsid w:val="00B76C43"/>
    <w:rsid w:val="00B77974"/>
    <w:rsid w:val="00B86E75"/>
    <w:rsid w:val="00B87B43"/>
    <w:rsid w:val="00B95B03"/>
    <w:rsid w:val="00B966AD"/>
    <w:rsid w:val="00BA068F"/>
    <w:rsid w:val="00BA06D1"/>
    <w:rsid w:val="00BA1A7A"/>
    <w:rsid w:val="00BA3D8D"/>
    <w:rsid w:val="00BB0FF4"/>
    <w:rsid w:val="00BB11EF"/>
    <w:rsid w:val="00BB1383"/>
    <w:rsid w:val="00BB5625"/>
    <w:rsid w:val="00BC422F"/>
    <w:rsid w:val="00BC43D7"/>
    <w:rsid w:val="00BC6BD7"/>
    <w:rsid w:val="00BC7E7D"/>
    <w:rsid w:val="00BD6DE2"/>
    <w:rsid w:val="00BE2708"/>
    <w:rsid w:val="00BE3017"/>
    <w:rsid w:val="00BE5CC7"/>
    <w:rsid w:val="00BE7FB1"/>
    <w:rsid w:val="00BF012D"/>
    <w:rsid w:val="00BF4E08"/>
    <w:rsid w:val="00BF53D5"/>
    <w:rsid w:val="00BF5586"/>
    <w:rsid w:val="00BF5BC6"/>
    <w:rsid w:val="00C01710"/>
    <w:rsid w:val="00C07423"/>
    <w:rsid w:val="00C13C59"/>
    <w:rsid w:val="00C20D97"/>
    <w:rsid w:val="00C20DFD"/>
    <w:rsid w:val="00C2331B"/>
    <w:rsid w:val="00C23809"/>
    <w:rsid w:val="00C253FB"/>
    <w:rsid w:val="00C278DF"/>
    <w:rsid w:val="00C30C7B"/>
    <w:rsid w:val="00C37DE8"/>
    <w:rsid w:val="00C40D7F"/>
    <w:rsid w:val="00C4128E"/>
    <w:rsid w:val="00C514C7"/>
    <w:rsid w:val="00C52ACA"/>
    <w:rsid w:val="00C54AF8"/>
    <w:rsid w:val="00C66251"/>
    <w:rsid w:val="00C74BDB"/>
    <w:rsid w:val="00C8070D"/>
    <w:rsid w:val="00C855AB"/>
    <w:rsid w:val="00C951BC"/>
    <w:rsid w:val="00CA24A1"/>
    <w:rsid w:val="00CA3F2E"/>
    <w:rsid w:val="00CA4C51"/>
    <w:rsid w:val="00CB2E6E"/>
    <w:rsid w:val="00CB3FF3"/>
    <w:rsid w:val="00CB4820"/>
    <w:rsid w:val="00CB4D38"/>
    <w:rsid w:val="00CC3515"/>
    <w:rsid w:val="00CC371B"/>
    <w:rsid w:val="00CC44AD"/>
    <w:rsid w:val="00CC57FD"/>
    <w:rsid w:val="00CD452E"/>
    <w:rsid w:val="00CD5CF6"/>
    <w:rsid w:val="00CE3128"/>
    <w:rsid w:val="00CE513E"/>
    <w:rsid w:val="00CE53ED"/>
    <w:rsid w:val="00CE5CAC"/>
    <w:rsid w:val="00CF30AC"/>
    <w:rsid w:val="00CF4257"/>
    <w:rsid w:val="00CF4F20"/>
    <w:rsid w:val="00D01FB2"/>
    <w:rsid w:val="00D02839"/>
    <w:rsid w:val="00D030EB"/>
    <w:rsid w:val="00D04227"/>
    <w:rsid w:val="00D0634B"/>
    <w:rsid w:val="00D14BF0"/>
    <w:rsid w:val="00D21C53"/>
    <w:rsid w:val="00D25DDB"/>
    <w:rsid w:val="00D3344D"/>
    <w:rsid w:val="00D37C3E"/>
    <w:rsid w:val="00D463C0"/>
    <w:rsid w:val="00D51282"/>
    <w:rsid w:val="00D556A0"/>
    <w:rsid w:val="00D576B6"/>
    <w:rsid w:val="00D624A5"/>
    <w:rsid w:val="00D71921"/>
    <w:rsid w:val="00D71974"/>
    <w:rsid w:val="00D75592"/>
    <w:rsid w:val="00D7616A"/>
    <w:rsid w:val="00D83243"/>
    <w:rsid w:val="00D83EE7"/>
    <w:rsid w:val="00D90C5A"/>
    <w:rsid w:val="00D9529A"/>
    <w:rsid w:val="00DA244B"/>
    <w:rsid w:val="00DA63D2"/>
    <w:rsid w:val="00DA71C8"/>
    <w:rsid w:val="00DA71EF"/>
    <w:rsid w:val="00DB0FD9"/>
    <w:rsid w:val="00DB129F"/>
    <w:rsid w:val="00DF45BD"/>
    <w:rsid w:val="00E045F2"/>
    <w:rsid w:val="00E2023D"/>
    <w:rsid w:val="00E23BE2"/>
    <w:rsid w:val="00E275AE"/>
    <w:rsid w:val="00E308DE"/>
    <w:rsid w:val="00E32F65"/>
    <w:rsid w:val="00E33841"/>
    <w:rsid w:val="00E352EA"/>
    <w:rsid w:val="00E40ECE"/>
    <w:rsid w:val="00E43EDA"/>
    <w:rsid w:val="00E43F27"/>
    <w:rsid w:val="00E61672"/>
    <w:rsid w:val="00E725BF"/>
    <w:rsid w:val="00E772D7"/>
    <w:rsid w:val="00E8475F"/>
    <w:rsid w:val="00E90271"/>
    <w:rsid w:val="00E93AD1"/>
    <w:rsid w:val="00E9778C"/>
    <w:rsid w:val="00EA410A"/>
    <w:rsid w:val="00EA6860"/>
    <w:rsid w:val="00EA6B39"/>
    <w:rsid w:val="00EB3728"/>
    <w:rsid w:val="00EB3803"/>
    <w:rsid w:val="00EB76EE"/>
    <w:rsid w:val="00EC51AA"/>
    <w:rsid w:val="00ED4355"/>
    <w:rsid w:val="00ED62DA"/>
    <w:rsid w:val="00ED6DB6"/>
    <w:rsid w:val="00EF30F7"/>
    <w:rsid w:val="00EF702B"/>
    <w:rsid w:val="00EF72D2"/>
    <w:rsid w:val="00F0154D"/>
    <w:rsid w:val="00F05C26"/>
    <w:rsid w:val="00F07DAB"/>
    <w:rsid w:val="00F07DAF"/>
    <w:rsid w:val="00F11B0D"/>
    <w:rsid w:val="00F12AC6"/>
    <w:rsid w:val="00F15CD1"/>
    <w:rsid w:val="00F24168"/>
    <w:rsid w:val="00F31168"/>
    <w:rsid w:val="00F344D4"/>
    <w:rsid w:val="00F417EA"/>
    <w:rsid w:val="00F41B1F"/>
    <w:rsid w:val="00F47C74"/>
    <w:rsid w:val="00F549F4"/>
    <w:rsid w:val="00F55BF2"/>
    <w:rsid w:val="00F55E66"/>
    <w:rsid w:val="00F60EF7"/>
    <w:rsid w:val="00F655BF"/>
    <w:rsid w:val="00F66089"/>
    <w:rsid w:val="00F718D7"/>
    <w:rsid w:val="00F73428"/>
    <w:rsid w:val="00F73FA3"/>
    <w:rsid w:val="00F849D0"/>
    <w:rsid w:val="00F84E5B"/>
    <w:rsid w:val="00F859CB"/>
    <w:rsid w:val="00F91165"/>
    <w:rsid w:val="00FB351A"/>
    <w:rsid w:val="00FB79FA"/>
    <w:rsid w:val="00FC0080"/>
    <w:rsid w:val="00FD36CB"/>
    <w:rsid w:val="00FD3974"/>
    <w:rsid w:val="00FD5A7D"/>
    <w:rsid w:val="00FE080F"/>
    <w:rsid w:val="00FE18C5"/>
    <w:rsid w:val="00FE38D1"/>
    <w:rsid w:val="00FE4BFE"/>
    <w:rsid w:val="00FE6CAE"/>
    <w:rsid w:val="00FF1933"/>
    <w:rsid w:val="00FF73E8"/>
    <w:rsid w:val="010537FC"/>
    <w:rsid w:val="022AD27D"/>
    <w:rsid w:val="049B4EBE"/>
    <w:rsid w:val="04CDB2DF"/>
    <w:rsid w:val="05C31271"/>
    <w:rsid w:val="05ED5830"/>
    <w:rsid w:val="0853388E"/>
    <w:rsid w:val="091198E2"/>
    <w:rsid w:val="09873CE6"/>
    <w:rsid w:val="0993A913"/>
    <w:rsid w:val="0D499F0B"/>
    <w:rsid w:val="0ED0BA2A"/>
    <w:rsid w:val="0EFEADC1"/>
    <w:rsid w:val="10A51ABA"/>
    <w:rsid w:val="11D62C38"/>
    <w:rsid w:val="149ED96F"/>
    <w:rsid w:val="15783670"/>
    <w:rsid w:val="174C7E20"/>
    <w:rsid w:val="19726B1A"/>
    <w:rsid w:val="1B2CBFC4"/>
    <w:rsid w:val="1BA7BA8E"/>
    <w:rsid w:val="1E02C30F"/>
    <w:rsid w:val="1E31FCC5"/>
    <w:rsid w:val="22DBD834"/>
    <w:rsid w:val="2354D78F"/>
    <w:rsid w:val="25A04AD2"/>
    <w:rsid w:val="28FBC875"/>
    <w:rsid w:val="2A170F94"/>
    <w:rsid w:val="2B4AF9DE"/>
    <w:rsid w:val="2B598654"/>
    <w:rsid w:val="2BAB64FD"/>
    <w:rsid w:val="2C33F385"/>
    <w:rsid w:val="2D4FC2ED"/>
    <w:rsid w:val="2E0CEB69"/>
    <w:rsid w:val="2E4AAF08"/>
    <w:rsid w:val="2F15D0DF"/>
    <w:rsid w:val="2F893C8A"/>
    <w:rsid w:val="2FB58208"/>
    <w:rsid w:val="30E06FAB"/>
    <w:rsid w:val="3190E99D"/>
    <w:rsid w:val="3416A328"/>
    <w:rsid w:val="350A848D"/>
    <w:rsid w:val="35FADFED"/>
    <w:rsid w:val="366F7B26"/>
    <w:rsid w:val="3D80523A"/>
    <w:rsid w:val="3E868898"/>
    <w:rsid w:val="411F897C"/>
    <w:rsid w:val="4167E9EF"/>
    <w:rsid w:val="42FD1E38"/>
    <w:rsid w:val="434239E1"/>
    <w:rsid w:val="43CD2A4A"/>
    <w:rsid w:val="44286D6A"/>
    <w:rsid w:val="4720591E"/>
    <w:rsid w:val="477023A0"/>
    <w:rsid w:val="47F5A5C9"/>
    <w:rsid w:val="49E274E1"/>
    <w:rsid w:val="4AB0A5F6"/>
    <w:rsid w:val="4B19CEBF"/>
    <w:rsid w:val="4C1A8D47"/>
    <w:rsid w:val="4E5FD391"/>
    <w:rsid w:val="4EA056EA"/>
    <w:rsid w:val="52514ABF"/>
    <w:rsid w:val="55C22FE2"/>
    <w:rsid w:val="5605B3AA"/>
    <w:rsid w:val="57196699"/>
    <w:rsid w:val="5AB1C55F"/>
    <w:rsid w:val="5B617D30"/>
    <w:rsid w:val="5C31798D"/>
    <w:rsid w:val="5D14AD71"/>
    <w:rsid w:val="5D8B0CF0"/>
    <w:rsid w:val="5DDB4395"/>
    <w:rsid w:val="5E2E193A"/>
    <w:rsid w:val="5F00ADF2"/>
    <w:rsid w:val="600F52F8"/>
    <w:rsid w:val="607E5BC0"/>
    <w:rsid w:val="626792E5"/>
    <w:rsid w:val="635D2AEC"/>
    <w:rsid w:val="6595C97D"/>
    <w:rsid w:val="66F9C84D"/>
    <w:rsid w:val="6839D23B"/>
    <w:rsid w:val="6998F13B"/>
    <w:rsid w:val="6BC9607C"/>
    <w:rsid w:val="6BCAF256"/>
    <w:rsid w:val="6C628FB1"/>
    <w:rsid w:val="6C922969"/>
    <w:rsid w:val="6C949FF3"/>
    <w:rsid w:val="6EAE4678"/>
    <w:rsid w:val="6F34A1E9"/>
    <w:rsid w:val="6F55D01B"/>
    <w:rsid w:val="707FB02D"/>
    <w:rsid w:val="70B3B354"/>
    <w:rsid w:val="70FF17AD"/>
    <w:rsid w:val="73F16087"/>
    <w:rsid w:val="753B0F9C"/>
    <w:rsid w:val="7572A307"/>
    <w:rsid w:val="76CA208C"/>
    <w:rsid w:val="77905BD8"/>
    <w:rsid w:val="7B3B24FC"/>
    <w:rsid w:val="7CEFB83A"/>
    <w:rsid w:val="7D28BCEA"/>
    <w:rsid w:val="7DB4D6BA"/>
    <w:rsid w:val="7DE7E1CB"/>
    <w:rsid w:val="7E1FD38A"/>
    <w:rsid w:val="7EEE41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43D3"/>
  <w15:chartTrackingRefBased/>
  <w15:docId w15:val="{34D979B0-51D7-40CA-A475-3343C4C0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A"/>
    <w:rPr>
      <w:rFonts w:eastAsiaTheme="majorEastAsia" w:cstheme="majorBidi"/>
      <w:color w:val="272727" w:themeColor="text1" w:themeTint="D8"/>
    </w:rPr>
  </w:style>
  <w:style w:type="paragraph" w:styleId="Title">
    <w:name w:val="Title"/>
    <w:basedOn w:val="Normal"/>
    <w:next w:val="Normal"/>
    <w:link w:val="TitleChar"/>
    <w:uiPriority w:val="10"/>
    <w:qFormat/>
    <w:rsid w:val="00334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A"/>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A"/>
    <w:rPr>
      <w:i/>
      <w:iCs/>
      <w:color w:val="404040" w:themeColor="text1" w:themeTint="BF"/>
    </w:rPr>
  </w:style>
  <w:style w:type="paragraph" w:styleId="ListParagraph">
    <w:name w:val="List Paragraph"/>
    <w:basedOn w:val="Normal"/>
    <w:uiPriority w:val="34"/>
    <w:qFormat/>
    <w:rsid w:val="00334B6A"/>
    <w:pPr>
      <w:ind w:left="720"/>
      <w:contextualSpacing/>
    </w:pPr>
  </w:style>
  <w:style w:type="character" w:styleId="IntenseEmphasis">
    <w:name w:val="Intense Emphasis"/>
    <w:basedOn w:val="DefaultParagraphFont"/>
    <w:uiPriority w:val="21"/>
    <w:qFormat/>
    <w:rsid w:val="00334B6A"/>
    <w:rPr>
      <w:i/>
      <w:iCs/>
      <w:color w:val="0F4761" w:themeColor="accent1" w:themeShade="BF"/>
    </w:rPr>
  </w:style>
  <w:style w:type="paragraph" w:styleId="IntenseQuote">
    <w:name w:val="Intense Quote"/>
    <w:basedOn w:val="Normal"/>
    <w:next w:val="Normal"/>
    <w:link w:val="IntenseQuoteChar"/>
    <w:uiPriority w:val="30"/>
    <w:qFormat/>
    <w:rsid w:val="00334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A"/>
    <w:rPr>
      <w:i/>
      <w:iCs/>
      <w:color w:val="0F4761" w:themeColor="accent1" w:themeShade="BF"/>
    </w:rPr>
  </w:style>
  <w:style w:type="character" w:styleId="IntenseReference">
    <w:name w:val="Intense Reference"/>
    <w:basedOn w:val="DefaultParagraphFont"/>
    <w:uiPriority w:val="32"/>
    <w:qFormat/>
    <w:rsid w:val="00334B6A"/>
    <w:rPr>
      <w:b/>
      <w:bCs/>
      <w:smallCaps/>
      <w:color w:val="0F4761" w:themeColor="accent1" w:themeShade="BF"/>
      <w:spacing w:val="5"/>
    </w:rPr>
  </w:style>
  <w:style w:type="paragraph" w:styleId="Header">
    <w:name w:val="header"/>
    <w:basedOn w:val="Normal"/>
    <w:link w:val="HeaderChar"/>
    <w:uiPriority w:val="99"/>
    <w:unhideWhenUsed/>
    <w:rsid w:val="00C20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D97"/>
  </w:style>
  <w:style w:type="paragraph" w:styleId="Footer">
    <w:name w:val="footer"/>
    <w:basedOn w:val="Normal"/>
    <w:link w:val="FooterChar"/>
    <w:uiPriority w:val="99"/>
    <w:unhideWhenUsed/>
    <w:rsid w:val="00C20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D97"/>
  </w:style>
  <w:style w:type="character" w:styleId="CommentReference">
    <w:name w:val="annotation reference"/>
    <w:basedOn w:val="DefaultParagraphFont"/>
    <w:uiPriority w:val="99"/>
    <w:semiHidden/>
    <w:unhideWhenUsed/>
    <w:rsid w:val="002601A7"/>
    <w:rPr>
      <w:sz w:val="16"/>
      <w:szCs w:val="16"/>
    </w:rPr>
  </w:style>
  <w:style w:type="paragraph" w:styleId="CommentText">
    <w:name w:val="annotation text"/>
    <w:basedOn w:val="Normal"/>
    <w:link w:val="CommentTextChar"/>
    <w:uiPriority w:val="99"/>
    <w:unhideWhenUsed/>
    <w:rsid w:val="002601A7"/>
    <w:pPr>
      <w:spacing w:line="240" w:lineRule="auto"/>
    </w:pPr>
    <w:rPr>
      <w:sz w:val="20"/>
      <w:szCs w:val="20"/>
    </w:rPr>
  </w:style>
  <w:style w:type="character" w:customStyle="1" w:styleId="CommentTextChar">
    <w:name w:val="Comment Text Char"/>
    <w:basedOn w:val="DefaultParagraphFont"/>
    <w:link w:val="CommentText"/>
    <w:uiPriority w:val="99"/>
    <w:rsid w:val="002601A7"/>
    <w:rPr>
      <w:sz w:val="20"/>
      <w:szCs w:val="20"/>
    </w:rPr>
  </w:style>
  <w:style w:type="paragraph" w:styleId="CommentSubject">
    <w:name w:val="annotation subject"/>
    <w:basedOn w:val="CommentText"/>
    <w:next w:val="CommentText"/>
    <w:link w:val="CommentSubjectChar"/>
    <w:uiPriority w:val="99"/>
    <w:semiHidden/>
    <w:unhideWhenUsed/>
    <w:rsid w:val="002601A7"/>
    <w:rPr>
      <w:b/>
      <w:bCs/>
    </w:rPr>
  </w:style>
  <w:style w:type="character" w:customStyle="1" w:styleId="CommentSubjectChar">
    <w:name w:val="Comment Subject Char"/>
    <w:basedOn w:val="CommentTextChar"/>
    <w:link w:val="CommentSubject"/>
    <w:uiPriority w:val="99"/>
    <w:semiHidden/>
    <w:rsid w:val="002601A7"/>
    <w:rPr>
      <w:b/>
      <w:bCs/>
      <w:sz w:val="20"/>
      <w:szCs w:val="20"/>
    </w:rPr>
  </w:style>
  <w:style w:type="paragraph" w:styleId="Revision">
    <w:name w:val="Revision"/>
    <w:hidden/>
    <w:uiPriority w:val="99"/>
    <w:semiHidden/>
    <w:rsid w:val="00053976"/>
    <w:pPr>
      <w:spacing w:after="0" w:line="240" w:lineRule="auto"/>
    </w:pPr>
  </w:style>
  <w:style w:type="character" w:styleId="Mention">
    <w:name w:val="Mention"/>
    <w:basedOn w:val="DefaultParagraphFont"/>
    <w:uiPriority w:val="99"/>
    <w:unhideWhenUsed/>
    <w:rsid w:val="0016365E"/>
    <w:rPr>
      <w:color w:val="2B579A"/>
      <w:shd w:val="clear" w:color="auto" w:fill="E1DFDD"/>
    </w:rPr>
  </w:style>
  <w:style w:type="character" w:styleId="Hyperlink">
    <w:name w:val="Hyperlink"/>
    <w:basedOn w:val="DefaultParagraphFont"/>
    <w:uiPriority w:val="99"/>
    <w:unhideWhenUsed/>
    <w:rsid w:val="00C13C59"/>
    <w:rPr>
      <w:color w:val="467886" w:themeColor="hyperlink"/>
      <w:u w:val="single"/>
    </w:rPr>
  </w:style>
  <w:style w:type="character" w:styleId="UnresolvedMention">
    <w:name w:val="Unresolved Mention"/>
    <w:basedOn w:val="DefaultParagraphFont"/>
    <w:uiPriority w:val="99"/>
    <w:semiHidden/>
    <w:unhideWhenUsed/>
    <w:rsid w:val="00C1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01203">
      <w:bodyDiv w:val="1"/>
      <w:marLeft w:val="0"/>
      <w:marRight w:val="0"/>
      <w:marTop w:val="0"/>
      <w:marBottom w:val="0"/>
      <w:divBdr>
        <w:top w:val="none" w:sz="0" w:space="0" w:color="auto"/>
        <w:left w:val="none" w:sz="0" w:space="0" w:color="auto"/>
        <w:bottom w:val="none" w:sz="0" w:space="0" w:color="auto"/>
        <w:right w:val="none" w:sz="0" w:space="0" w:color="auto"/>
      </w:divBdr>
      <w:divsChild>
        <w:div w:id="760874461">
          <w:marLeft w:val="0"/>
          <w:marRight w:val="0"/>
          <w:marTop w:val="0"/>
          <w:marBottom w:val="0"/>
          <w:divBdr>
            <w:top w:val="none" w:sz="0" w:space="0" w:color="auto"/>
            <w:left w:val="none" w:sz="0" w:space="0" w:color="auto"/>
            <w:bottom w:val="none" w:sz="0" w:space="0" w:color="auto"/>
            <w:right w:val="none" w:sz="0" w:space="0" w:color="auto"/>
          </w:divBdr>
          <w:divsChild>
            <w:div w:id="178737692">
              <w:marLeft w:val="0"/>
              <w:marRight w:val="0"/>
              <w:marTop w:val="0"/>
              <w:marBottom w:val="0"/>
              <w:divBdr>
                <w:top w:val="none" w:sz="0" w:space="0" w:color="auto"/>
                <w:left w:val="none" w:sz="0" w:space="0" w:color="auto"/>
                <w:bottom w:val="none" w:sz="0" w:space="0" w:color="auto"/>
                <w:right w:val="none" w:sz="0" w:space="0" w:color="auto"/>
              </w:divBdr>
            </w:div>
          </w:divsChild>
        </w:div>
        <w:div w:id="1661930157">
          <w:marLeft w:val="-15"/>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bdn.ac.uk/law/research/centres/centre-for-scots-law/law-reform--public-policy-engageme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50B5D-A6D7-4181-9695-F1EB107B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731</Words>
  <Characters>4167</Characters>
  <Application>Microsoft Office Word</Application>
  <DocSecurity>0</DocSecurity>
  <Lines>34</Lines>
  <Paragraphs>9</Paragraphs>
  <ScaleCrop>false</ScaleCrop>
  <Company>University of Aberdeen</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Macpherson, Alisdair</dc:creator>
  <cp:keywords/>
  <dc:description/>
  <cp:lastModifiedBy>Macpherson, Alisdair</cp:lastModifiedBy>
  <cp:revision>3</cp:revision>
  <dcterms:created xsi:type="dcterms:W3CDTF">2025-06-11T10:47:00Z</dcterms:created>
  <dcterms:modified xsi:type="dcterms:W3CDTF">2025-06-11T18:52:00Z</dcterms:modified>
</cp:coreProperties>
</file>