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0662" w14:textId="77777777" w:rsidR="00D216C2" w:rsidRPr="00663711" w:rsidRDefault="00D216C2" w:rsidP="00F0140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RoA_ClaimDescription"/>
      <w:r w:rsidRPr="00663711">
        <w:rPr>
          <w:rFonts w:ascii="Arial" w:hAnsi="Arial" w:cs="Arial"/>
          <w:b/>
          <w:bCs/>
          <w:sz w:val="24"/>
          <w:szCs w:val="24"/>
        </w:rPr>
        <w:t>Moveable Transactions (Scotland) Act 2023</w:t>
      </w:r>
    </w:p>
    <w:p w14:paraId="39C2BD7B" w14:textId="64D46714" w:rsidR="00D216C2" w:rsidRDefault="00D216C2" w:rsidP="00F014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3711">
        <w:rPr>
          <w:rFonts w:ascii="Arial" w:hAnsi="Arial" w:cs="Arial"/>
          <w:b/>
          <w:bCs/>
          <w:sz w:val="24"/>
          <w:szCs w:val="24"/>
        </w:rPr>
        <w:t>Consultation – Claim and Property Categories</w:t>
      </w:r>
    </w:p>
    <w:p w14:paraId="5AACA470" w14:textId="7B40FD6A" w:rsidR="00EA1F25" w:rsidRPr="00663711" w:rsidRDefault="00EA1F25" w:rsidP="00F014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Response – November 2023</w:t>
      </w:r>
    </w:p>
    <w:bookmarkEnd w:id="0"/>
    <w:p w14:paraId="42326F38" w14:textId="2D723623" w:rsidR="16A1E4C2" w:rsidRDefault="16A1E4C2" w:rsidP="008D21A2">
      <w:pPr>
        <w:jc w:val="both"/>
        <w:rPr>
          <w:rFonts w:ascii="Arial" w:eastAsia="Arial" w:hAnsi="Arial" w:cs="Arial"/>
          <w:sz w:val="24"/>
          <w:szCs w:val="24"/>
        </w:rPr>
      </w:pPr>
    </w:p>
    <w:p w14:paraId="544F589C" w14:textId="4098EACC" w:rsidR="00636534" w:rsidRDefault="00636534" w:rsidP="008D21A2">
      <w:pPr>
        <w:jc w:val="both"/>
        <w:rPr>
          <w:rFonts w:ascii="Arial" w:eastAsia="Arial" w:hAnsi="Arial" w:cs="Arial"/>
          <w:sz w:val="24"/>
          <w:szCs w:val="24"/>
        </w:rPr>
      </w:pPr>
      <w:r w:rsidRPr="00636534">
        <w:rPr>
          <w:rFonts w:ascii="Arial" w:eastAsia="Arial" w:hAnsi="Arial" w:cs="Arial"/>
          <w:sz w:val="24"/>
          <w:szCs w:val="24"/>
        </w:rPr>
        <w:t xml:space="preserve">This response is provided by Dr Alisdair MacPherson, </w:t>
      </w:r>
      <w:r w:rsidR="00FD61AD" w:rsidRPr="00636534">
        <w:rPr>
          <w:rFonts w:ascii="Arial" w:eastAsia="Arial" w:hAnsi="Arial" w:cs="Arial"/>
          <w:sz w:val="24"/>
          <w:szCs w:val="24"/>
        </w:rPr>
        <w:t xml:space="preserve">Professor Donna McKenzie </w:t>
      </w:r>
      <w:proofErr w:type="gramStart"/>
      <w:r w:rsidR="00FD61AD" w:rsidRPr="00636534">
        <w:rPr>
          <w:rFonts w:ascii="Arial" w:eastAsia="Arial" w:hAnsi="Arial" w:cs="Arial"/>
          <w:sz w:val="24"/>
          <w:szCs w:val="24"/>
        </w:rPr>
        <w:t>Skene</w:t>
      </w:r>
      <w:proofErr w:type="gramEnd"/>
      <w:r w:rsidR="00FD61AD"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>Dr Chike Emedosi</w:t>
      </w:r>
      <w:r w:rsidRPr="00636534">
        <w:rPr>
          <w:rFonts w:ascii="Arial" w:eastAsia="Arial" w:hAnsi="Arial" w:cs="Arial"/>
          <w:sz w:val="24"/>
          <w:szCs w:val="24"/>
        </w:rPr>
        <w:t>. We are all members of the Centre for Scots Law at the University of Aberdeen.</w:t>
      </w:r>
    </w:p>
    <w:p w14:paraId="49A4B52C" w14:textId="77777777" w:rsidR="00636534" w:rsidRPr="006B0BCD" w:rsidRDefault="00636534" w:rsidP="008D21A2">
      <w:pPr>
        <w:jc w:val="both"/>
        <w:rPr>
          <w:rFonts w:ascii="Arial" w:eastAsia="Arial" w:hAnsi="Arial" w:cs="Arial"/>
          <w:sz w:val="24"/>
          <w:szCs w:val="24"/>
        </w:rPr>
      </w:pPr>
    </w:p>
    <w:p w14:paraId="39679C55" w14:textId="5B000C29" w:rsidR="16A1E4C2" w:rsidRPr="00AD5885" w:rsidRDefault="7279FB8B" w:rsidP="008D21A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D5885">
        <w:rPr>
          <w:rFonts w:ascii="Arial" w:eastAsia="Arial" w:hAnsi="Arial" w:cs="Arial"/>
          <w:b/>
          <w:bCs/>
          <w:sz w:val="24"/>
          <w:szCs w:val="24"/>
        </w:rPr>
        <w:t>Q1.</w:t>
      </w:r>
      <w:r w:rsidR="16A1E4C2" w:rsidRPr="00AD5885">
        <w:rPr>
          <w:b/>
          <w:bCs/>
        </w:rPr>
        <w:tab/>
      </w:r>
      <w:r w:rsidR="16A1E4C2" w:rsidRPr="00AD5885">
        <w:rPr>
          <w:rFonts w:ascii="Arial" w:eastAsia="Arial" w:hAnsi="Arial" w:cs="Arial"/>
          <w:b/>
          <w:bCs/>
          <w:sz w:val="24"/>
          <w:szCs w:val="24"/>
        </w:rPr>
        <w:t xml:space="preserve">Are there any categories which are missing?  </w:t>
      </w:r>
      <w:r w:rsidR="3CC3BB7C" w:rsidRPr="00AD5885">
        <w:rPr>
          <w:rFonts w:ascii="Arial" w:eastAsia="Arial" w:hAnsi="Arial" w:cs="Arial"/>
          <w:b/>
          <w:bCs/>
          <w:sz w:val="24"/>
          <w:szCs w:val="24"/>
        </w:rPr>
        <w:t xml:space="preserve"> If yes, please set out the categories.</w:t>
      </w:r>
    </w:p>
    <w:p w14:paraId="74E3E37F" w14:textId="6CC0D443" w:rsidR="00AD5885" w:rsidRDefault="00AF2325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 w:rsidR="00982D49">
        <w:rPr>
          <w:rFonts w:ascii="Arial" w:eastAsia="Arial" w:hAnsi="Arial" w:cs="Arial"/>
          <w:sz w:val="24"/>
          <w:szCs w:val="24"/>
        </w:rPr>
        <w:t>e</w:t>
      </w:r>
      <w:r w:rsidR="00D845C3">
        <w:rPr>
          <w:rFonts w:ascii="Arial" w:eastAsia="Arial" w:hAnsi="Arial" w:cs="Arial"/>
          <w:sz w:val="24"/>
          <w:szCs w:val="24"/>
        </w:rPr>
        <w:t xml:space="preserve"> </w:t>
      </w:r>
      <w:r w:rsidR="00D2491F">
        <w:rPr>
          <w:rFonts w:ascii="Arial" w:eastAsia="Arial" w:hAnsi="Arial" w:cs="Arial"/>
          <w:sz w:val="24"/>
          <w:szCs w:val="24"/>
        </w:rPr>
        <w:t>consider</w:t>
      </w:r>
      <w:r w:rsidR="00D845C3">
        <w:rPr>
          <w:rFonts w:ascii="Arial" w:eastAsia="Arial" w:hAnsi="Arial" w:cs="Arial"/>
          <w:sz w:val="24"/>
          <w:szCs w:val="24"/>
        </w:rPr>
        <w:t xml:space="preserve"> th</w:t>
      </w:r>
      <w:r w:rsidR="00EE53C7">
        <w:rPr>
          <w:rFonts w:ascii="Arial" w:eastAsia="Arial" w:hAnsi="Arial" w:cs="Arial"/>
          <w:sz w:val="24"/>
          <w:szCs w:val="24"/>
        </w:rPr>
        <w:t xml:space="preserve">at the inclusion of </w:t>
      </w:r>
      <w:r w:rsidR="00D845C3">
        <w:rPr>
          <w:rFonts w:ascii="Arial" w:eastAsia="Arial" w:hAnsi="Arial" w:cs="Arial"/>
          <w:sz w:val="24"/>
          <w:szCs w:val="24"/>
        </w:rPr>
        <w:t>asset categories</w:t>
      </w:r>
      <w:r w:rsidR="00EE53C7">
        <w:rPr>
          <w:rFonts w:ascii="Arial" w:eastAsia="Arial" w:hAnsi="Arial" w:cs="Arial"/>
          <w:sz w:val="24"/>
          <w:szCs w:val="24"/>
        </w:rPr>
        <w:t xml:space="preserve"> will</w:t>
      </w:r>
      <w:r w:rsidR="00D845C3">
        <w:rPr>
          <w:rFonts w:ascii="Arial" w:eastAsia="Arial" w:hAnsi="Arial" w:cs="Arial"/>
          <w:sz w:val="24"/>
          <w:szCs w:val="24"/>
        </w:rPr>
        <w:t xml:space="preserve"> </w:t>
      </w:r>
      <w:r w:rsidR="00B23817">
        <w:rPr>
          <w:rFonts w:ascii="Arial" w:eastAsia="Arial" w:hAnsi="Arial" w:cs="Arial"/>
          <w:sz w:val="24"/>
          <w:szCs w:val="24"/>
        </w:rPr>
        <w:t>assist third parties examining the register and considering entering into transactions w</w:t>
      </w:r>
      <w:r w:rsidR="00982D49">
        <w:rPr>
          <w:rFonts w:ascii="Arial" w:eastAsia="Arial" w:hAnsi="Arial" w:cs="Arial"/>
          <w:sz w:val="24"/>
          <w:szCs w:val="24"/>
        </w:rPr>
        <w:t xml:space="preserve">ith a particular </w:t>
      </w:r>
      <w:proofErr w:type="gramStart"/>
      <w:r w:rsidR="00982D49">
        <w:rPr>
          <w:rFonts w:ascii="Arial" w:eastAsia="Arial" w:hAnsi="Arial" w:cs="Arial"/>
          <w:sz w:val="24"/>
          <w:szCs w:val="24"/>
        </w:rPr>
        <w:t>party</w:t>
      </w:r>
      <w:r w:rsidR="0073528F">
        <w:rPr>
          <w:rFonts w:ascii="Arial" w:eastAsia="Arial" w:hAnsi="Arial" w:cs="Arial"/>
          <w:sz w:val="24"/>
          <w:szCs w:val="24"/>
        </w:rPr>
        <w:t>,</w:t>
      </w:r>
      <w:r w:rsidR="00E43357">
        <w:rPr>
          <w:rFonts w:ascii="Arial" w:eastAsia="Arial" w:hAnsi="Arial" w:cs="Arial"/>
          <w:sz w:val="24"/>
          <w:szCs w:val="24"/>
        </w:rPr>
        <w:t xml:space="preserve"> </w:t>
      </w:r>
      <w:r w:rsidR="0073528F">
        <w:rPr>
          <w:rFonts w:ascii="Arial" w:eastAsia="Arial" w:hAnsi="Arial" w:cs="Arial"/>
          <w:sz w:val="24"/>
          <w:szCs w:val="24"/>
        </w:rPr>
        <w:t>and</w:t>
      </w:r>
      <w:proofErr w:type="gramEnd"/>
      <w:r w:rsidR="0073528F">
        <w:rPr>
          <w:rFonts w:ascii="Arial" w:eastAsia="Arial" w:hAnsi="Arial" w:cs="Arial"/>
          <w:sz w:val="24"/>
          <w:szCs w:val="24"/>
        </w:rPr>
        <w:t xml:space="preserve"> </w:t>
      </w:r>
      <w:r w:rsidR="005B3A7E">
        <w:rPr>
          <w:rFonts w:ascii="Arial" w:eastAsia="Arial" w:hAnsi="Arial" w:cs="Arial"/>
          <w:sz w:val="24"/>
          <w:szCs w:val="24"/>
        </w:rPr>
        <w:t>will</w:t>
      </w:r>
      <w:r w:rsidR="0073528F">
        <w:rPr>
          <w:rFonts w:ascii="Arial" w:eastAsia="Arial" w:hAnsi="Arial" w:cs="Arial"/>
          <w:sz w:val="24"/>
          <w:szCs w:val="24"/>
        </w:rPr>
        <w:t xml:space="preserve"> support future data gathering and research regarding the types of property affected.</w:t>
      </w:r>
      <w:r w:rsidR="005B3A7E">
        <w:rPr>
          <w:rFonts w:ascii="Arial" w:eastAsia="Arial" w:hAnsi="Arial" w:cs="Arial"/>
          <w:sz w:val="24"/>
          <w:szCs w:val="24"/>
        </w:rPr>
        <w:t xml:space="preserve"> </w:t>
      </w:r>
      <w:r w:rsidR="008D21A2">
        <w:rPr>
          <w:rFonts w:ascii="Arial" w:eastAsia="Arial" w:hAnsi="Arial" w:cs="Arial"/>
          <w:sz w:val="24"/>
          <w:szCs w:val="24"/>
        </w:rPr>
        <w:t>However, the current categories do not necessarily cover all types of relevant assets. W</w:t>
      </w:r>
      <w:r w:rsidR="005B3A7E">
        <w:rPr>
          <w:rFonts w:ascii="Arial" w:eastAsia="Arial" w:hAnsi="Arial" w:cs="Arial"/>
          <w:sz w:val="24"/>
          <w:szCs w:val="24"/>
        </w:rPr>
        <w:t xml:space="preserve">e favour </w:t>
      </w:r>
      <w:r w:rsidR="00FE7F76">
        <w:rPr>
          <w:rFonts w:ascii="Arial" w:eastAsia="Arial" w:hAnsi="Arial" w:cs="Arial"/>
          <w:sz w:val="24"/>
          <w:szCs w:val="24"/>
        </w:rPr>
        <w:t xml:space="preserve">a </w:t>
      </w:r>
      <w:r w:rsidR="00F94D9B">
        <w:rPr>
          <w:rFonts w:ascii="Arial" w:eastAsia="Arial" w:hAnsi="Arial" w:cs="Arial"/>
          <w:sz w:val="24"/>
          <w:szCs w:val="24"/>
        </w:rPr>
        <w:t xml:space="preserve">broader </w:t>
      </w:r>
      <w:r w:rsidR="00FE7F76">
        <w:rPr>
          <w:rFonts w:ascii="Arial" w:eastAsia="Arial" w:hAnsi="Arial" w:cs="Arial"/>
          <w:sz w:val="24"/>
          <w:szCs w:val="24"/>
        </w:rPr>
        <w:t xml:space="preserve">range of </w:t>
      </w:r>
      <w:r w:rsidR="00F94D9B">
        <w:rPr>
          <w:rFonts w:ascii="Arial" w:eastAsia="Arial" w:hAnsi="Arial" w:cs="Arial"/>
          <w:sz w:val="24"/>
          <w:szCs w:val="24"/>
        </w:rPr>
        <w:t>categories than those currently proposed, to minimise ambiguities and overlaps</w:t>
      </w:r>
      <w:r w:rsidR="00E4489E">
        <w:rPr>
          <w:rFonts w:ascii="Arial" w:eastAsia="Arial" w:hAnsi="Arial" w:cs="Arial"/>
          <w:sz w:val="24"/>
          <w:szCs w:val="24"/>
        </w:rPr>
        <w:t xml:space="preserve"> that may lead to </w:t>
      </w:r>
      <w:r w:rsidR="00D277BB">
        <w:rPr>
          <w:rFonts w:ascii="Arial" w:eastAsia="Arial" w:hAnsi="Arial" w:cs="Arial"/>
          <w:sz w:val="24"/>
          <w:szCs w:val="24"/>
        </w:rPr>
        <w:t xml:space="preserve">errors and inaccuracies and thus </w:t>
      </w:r>
      <w:r w:rsidR="0004086E">
        <w:rPr>
          <w:rFonts w:ascii="Arial" w:eastAsia="Arial" w:hAnsi="Arial" w:cs="Arial"/>
          <w:sz w:val="24"/>
          <w:szCs w:val="24"/>
        </w:rPr>
        <w:t>i</w:t>
      </w:r>
      <w:r w:rsidR="00453C27">
        <w:rPr>
          <w:rFonts w:ascii="Arial" w:eastAsia="Arial" w:hAnsi="Arial" w:cs="Arial"/>
          <w:sz w:val="24"/>
          <w:szCs w:val="24"/>
        </w:rPr>
        <w:t>neffectiveness</w:t>
      </w:r>
      <w:r w:rsidR="0004086E">
        <w:rPr>
          <w:rFonts w:ascii="Arial" w:eastAsia="Arial" w:hAnsi="Arial" w:cs="Arial"/>
          <w:sz w:val="24"/>
          <w:szCs w:val="24"/>
        </w:rPr>
        <w:t xml:space="preserve"> </w:t>
      </w:r>
      <w:r w:rsidR="00453C27">
        <w:rPr>
          <w:rFonts w:ascii="Arial" w:eastAsia="Arial" w:hAnsi="Arial" w:cs="Arial"/>
          <w:sz w:val="24"/>
          <w:szCs w:val="24"/>
        </w:rPr>
        <w:t xml:space="preserve">(see e.g. </w:t>
      </w:r>
      <w:r w:rsidR="00EA3596">
        <w:rPr>
          <w:rFonts w:ascii="Arial" w:eastAsia="Arial" w:hAnsi="Arial" w:cs="Arial"/>
          <w:sz w:val="24"/>
          <w:szCs w:val="24"/>
        </w:rPr>
        <w:t xml:space="preserve">Moveable Transactions (Scotland) Act 2023, ss </w:t>
      </w:r>
      <w:r w:rsidR="00CD76B8">
        <w:rPr>
          <w:rFonts w:ascii="Arial" w:eastAsia="Arial" w:hAnsi="Arial" w:cs="Arial"/>
          <w:sz w:val="24"/>
          <w:szCs w:val="24"/>
        </w:rPr>
        <w:t>27-28</w:t>
      </w:r>
      <w:r w:rsidR="0066065B">
        <w:rPr>
          <w:rFonts w:ascii="Arial" w:eastAsia="Arial" w:hAnsi="Arial" w:cs="Arial"/>
          <w:sz w:val="24"/>
          <w:szCs w:val="24"/>
        </w:rPr>
        <w:t>, 92 and 94)</w:t>
      </w:r>
      <w:r w:rsidR="00F94D9B">
        <w:rPr>
          <w:rFonts w:ascii="Arial" w:eastAsia="Arial" w:hAnsi="Arial" w:cs="Arial"/>
          <w:sz w:val="24"/>
          <w:szCs w:val="24"/>
        </w:rPr>
        <w:t xml:space="preserve"> and to ensure that all relevant </w:t>
      </w:r>
      <w:r w:rsidR="00E4489E">
        <w:rPr>
          <w:rFonts w:ascii="Arial" w:eastAsia="Arial" w:hAnsi="Arial" w:cs="Arial"/>
          <w:sz w:val="24"/>
          <w:szCs w:val="24"/>
        </w:rPr>
        <w:t xml:space="preserve">types of </w:t>
      </w:r>
      <w:r w:rsidR="00F94D9B">
        <w:rPr>
          <w:rFonts w:ascii="Arial" w:eastAsia="Arial" w:hAnsi="Arial" w:cs="Arial"/>
          <w:sz w:val="24"/>
          <w:szCs w:val="24"/>
        </w:rPr>
        <w:t xml:space="preserve">assets are </w:t>
      </w:r>
      <w:r w:rsidR="00E4489E">
        <w:rPr>
          <w:rFonts w:ascii="Arial" w:eastAsia="Arial" w:hAnsi="Arial" w:cs="Arial"/>
          <w:sz w:val="24"/>
          <w:szCs w:val="24"/>
        </w:rPr>
        <w:t xml:space="preserve">appropriately </w:t>
      </w:r>
      <w:r w:rsidR="00F94D9B">
        <w:rPr>
          <w:rFonts w:ascii="Arial" w:eastAsia="Arial" w:hAnsi="Arial" w:cs="Arial"/>
          <w:sz w:val="24"/>
          <w:szCs w:val="24"/>
        </w:rPr>
        <w:t xml:space="preserve">covered. </w:t>
      </w:r>
      <w:r w:rsidR="008D21A2">
        <w:rPr>
          <w:rFonts w:ascii="Arial" w:eastAsia="Arial" w:hAnsi="Arial" w:cs="Arial"/>
          <w:sz w:val="24"/>
          <w:szCs w:val="24"/>
        </w:rPr>
        <w:t>With</w:t>
      </w:r>
      <w:r w:rsidR="00411C9A">
        <w:rPr>
          <w:rFonts w:ascii="Arial" w:eastAsia="Arial" w:hAnsi="Arial" w:cs="Arial"/>
          <w:sz w:val="24"/>
          <w:szCs w:val="24"/>
        </w:rPr>
        <w:t xml:space="preserve"> narrower </w:t>
      </w:r>
      <w:r w:rsidR="00FE7F76">
        <w:rPr>
          <w:rFonts w:ascii="Arial" w:eastAsia="Arial" w:hAnsi="Arial" w:cs="Arial"/>
          <w:sz w:val="24"/>
          <w:szCs w:val="24"/>
        </w:rPr>
        <w:t xml:space="preserve">and incomplete </w:t>
      </w:r>
      <w:r w:rsidR="008D21A2">
        <w:rPr>
          <w:rFonts w:ascii="Arial" w:eastAsia="Arial" w:hAnsi="Arial" w:cs="Arial"/>
          <w:sz w:val="24"/>
          <w:szCs w:val="24"/>
        </w:rPr>
        <w:t xml:space="preserve">categories there is a risk of uncertainty as to which </w:t>
      </w:r>
      <w:r w:rsidR="00421831">
        <w:rPr>
          <w:rFonts w:ascii="Arial" w:eastAsia="Arial" w:hAnsi="Arial" w:cs="Arial"/>
          <w:sz w:val="24"/>
          <w:szCs w:val="24"/>
        </w:rPr>
        <w:t>of them</w:t>
      </w:r>
      <w:r w:rsidR="00C938BC">
        <w:rPr>
          <w:rFonts w:ascii="Arial" w:eastAsia="Arial" w:hAnsi="Arial" w:cs="Arial"/>
          <w:sz w:val="24"/>
          <w:szCs w:val="24"/>
        </w:rPr>
        <w:t>, if any,</w:t>
      </w:r>
      <w:r w:rsidR="00421831">
        <w:rPr>
          <w:rFonts w:ascii="Arial" w:eastAsia="Arial" w:hAnsi="Arial" w:cs="Arial"/>
          <w:sz w:val="24"/>
          <w:szCs w:val="24"/>
        </w:rPr>
        <w:t xml:space="preserve"> are applicable to </w:t>
      </w:r>
      <w:proofErr w:type="gramStart"/>
      <w:r w:rsidR="00421831">
        <w:rPr>
          <w:rFonts w:ascii="Arial" w:eastAsia="Arial" w:hAnsi="Arial" w:cs="Arial"/>
          <w:sz w:val="24"/>
          <w:szCs w:val="24"/>
        </w:rPr>
        <w:t>particular types</w:t>
      </w:r>
      <w:proofErr w:type="gramEnd"/>
      <w:r w:rsidR="00421831">
        <w:rPr>
          <w:rFonts w:ascii="Arial" w:eastAsia="Arial" w:hAnsi="Arial" w:cs="Arial"/>
          <w:sz w:val="24"/>
          <w:szCs w:val="24"/>
        </w:rPr>
        <w:t xml:space="preserve"> of property and this may increase costs</w:t>
      </w:r>
      <w:r w:rsidR="00D277BB">
        <w:rPr>
          <w:rFonts w:ascii="Arial" w:eastAsia="Arial" w:hAnsi="Arial" w:cs="Arial"/>
          <w:sz w:val="24"/>
          <w:szCs w:val="24"/>
        </w:rPr>
        <w:t xml:space="preserve"> and errors</w:t>
      </w:r>
      <w:r w:rsidR="00421831">
        <w:rPr>
          <w:rFonts w:ascii="Arial" w:eastAsia="Arial" w:hAnsi="Arial" w:cs="Arial"/>
          <w:sz w:val="24"/>
          <w:szCs w:val="24"/>
        </w:rPr>
        <w:t xml:space="preserve">. </w:t>
      </w:r>
      <w:r w:rsidR="009205BD">
        <w:rPr>
          <w:rFonts w:ascii="Arial" w:eastAsia="Arial" w:hAnsi="Arial" w:cs="Arial"/>
          <w:sz w:val="24"/>
          <w:szCs w:val="24"/>
        </w:rPr>
        <w:t xml:space="preserve">Parties using the register will ordinarily have to carry out further enquiries or investigations if </w:t>
      </w:r>
      <w:r w:rsidR="00B05D2B">
        <w:rPr>
          <w:rFonts w:ascii="Arial" w:eastAsia="Arial" w:hAnsi="Arial" w:cs="Arial"/>
          <w:sz w:val="24"/>
          <w:szCs w:val="24"/>
        </w:rPr>
        <w:t>the register discloses that property</w:t>
      </w:r>
      <w:r w:rsidR="008A516F">
        <w:rPr>
          <w:rFonts w:ascii="Arial" w:eastAsia="Arial" w:hAnsi="Arial" w:cs="Arial"/>
          <w:sz w:val="24"/>
          <w:szCs w:val="24"/>
        </w:rPr>
        <w:t xml:space="preserve"> of a </w:t>
      </w:r>
      <w:proofErr w:type="gramStart"/>
      <w:r w:rsidR="008A516F">
        <w:rPr>
          <w:rFonts w:ascii="Arial" w:eastAsia="Arial" w:hAnsi="Arial" w:cs="Arial"/>
          <w:sz w:val="24"/>
          <w:szCs w:val="24"/>
        </w:rPr>
        <w:t>type</w:t>
      </w:r>
      <w:proofErr w:type="gramEnd"/>
      <w:r w:rsidR="008A516F">
        <w:rPr>
          <w:rFonts w:ascii="Arial" w:eastAsia="Arial" w:hAnsi="Arial" w:cs="Arial"/>
          <w:sz w:val="24"/>
          <w:szCs w:val="24"/>
        </w:rPr>
        <w:t xml:space="preserve"> they are interested in has been assigned or encumbered</w:t>
      </w:r>
      <w:r w:rsidR="00542D43">
        <w:rPr>
          <w:rFonts w:ascii="Arial" w:eastAsia="Arial" w:hAnsi="Arial" w:cs="Arial"/>
          <w:sz w:val="24"/>
          <w:szCs w:val="24"/>
        </w:rPr>
        <w:t>.</w:t>
      </w:r>
      <w:r w:rsidR="008A516F">
        <w:rPr>
          <w:rFonts w:ascii="Arial" w:eastAsia="Arial" w:hAnsi="Arial" w:cs="Arial"/>
          <w:sz w:val="24"/>
          <w:szCs w:val="24"/>
        </w:rPr>
        <w:t xml:space="preserve"> As such,</w:t>
      </w:r>
      <w:r w:rsidR="0022496C">
        <w:rPr>
          <w:rFonts w:ascii="Arial" w:eastAsia="Arial" w:hAnsi="Arial" w:cs="Arial"/>
          <w:sz w:val="24"/>
          <w:szCs w:val="24"/>
        </w:rPr>
        <w:t xml:space="preserve"> </w:t>
      </w:r>
      <w:r w:rsidR="002A79F5">
        <w:rPr>
          <w:rFonts w:ascii="Arial" w:eastAsia="Arial" w:hAnsi="Arial" w:cs="Arial"/>
          <w:sz w:val="24"/>
          <w:szCs w:val="24"/>
        </w:rPr>
        <w:t>if a broad category has been selected and someone searching the register</w:t>
      </w:r>
      <w:r w:rsidR="00BD5441">
        <w:rPr>
          <w:rFonts w:ascii="Arial" w:eastAsia="Arial" w:hAnsi="Arial" w:cs="Arial"/>
          <w:sz w:val="24"/>
          <w:szCs w:val="24"/>
        </w:rPr>
        <w:t xml:space="preserve"> </w:t>
      </w:r>
      <w:r w:rsidR="00423E05">
        <w:rPr>
          <w:rFonts w:ascii="Arial" w:eastAsia="Arial" w:hAnsi="Arial" w:cs="Arial"/>
          <w:sz w:val="24"/>
          <w:szCs w:val="24"/>
        </w:rPr>
        <w:t xml:space="preserve">is considering </w:t>
      </w:r>
      <w:proofErr w:type="gramStart"/>
      <w:r w:rsidR="00423E05">
        <w:rPr>
          <w:rFonts w:ascii="Arial" w:eastAsia="Arial" w:hAnsi="Arial" w:cs="Arial"/>
          <w:sz w:val="24"/>
          <w:szCs w:val="24"/>
        </w:rPr>
        <w:t>entering into</w:t>
      </w:r>
      <w:proofErr w:type="gramEnd"/>
      <w:r w:rsidR="00423E05">
        <w:rPr>
          <w:rFonts w:ascii="Arial" w:eastAsia="Arial" w:hAnsi="Arial" w:cs="Arial"/>
          <w:sz w:val="24"/>
          <w:szCs w:val="24"/>
        </w:rPr>
        <w:t xml:space="preserve"> </w:t>
      </w:r>
      <w:r w:rsidR="00BD5441">
        <w:rPr>
          <w:rFonts w:ascii="Arial" w:eastAsia="Arial" w:hAnsi="Arial" w:cs="Arial"/>
          <w:sz w:val="24"/>
          <w:szCs w:val="24"/>
        </w:rPr>
        <w:t xml:space="preserve">a transaction involving </w:t>
      </w:r>
      <w:r w:rsidR="00783EDA">
        <w:rPr>
          <w:rFonts w:ascii="Arial" w:eastAsia="Arial" w:hAnsi="Arial" w:cs="Arial"/>
          <w:sz w:val="24"/>
          <w:szCs w:val="24"/>
        </w:rPr>
        <w:t xml:space="preserve">some </w:t>
      </w:r>
      <w:r w:rsidR="00BD5441">
        <w:rPr>
          <w:rFonts w:ascii="Arial" w:eastAsia="Arial" w:hAnsi="Arial" w:cs="Arial"/>
          <w:sz w:val="24"/>
          <w:szCs w:val="24"/>
        </w:rPr>
        <w:t>property</w:t>
      </w:r>
      <w:r w:rsidR="002A79F5">
        <w:rPr>
          <w:rFonts w:ascii="Arial" w:eastAsia="Arial" w:hAnsi="Arial" w:cs="Arial"/>
          <w:sz w:val="24"/>
          <w:szCs w:val="24"/>
        </w:rPr>
        <w:t xml:space="preserve"> in that asset </w:t>
      </w:r>
      <w:r w:rsidR="00BD5441">
        <w:rPr>
          <w:rFonts w:ascii="Arial" w:eastAsia="Arial" w:hAnsi="Arial" w:cs="Arial"/>
          <w:sz w:val="24"/>
          <w:szCs w:val="24"/>
        </w:rPr>
        <w:t>category</w:t>
      </w:r>
      <w:r w:rsidR="002A79F5">
        <w:rPr>
          <w:rFonts w:ascii="Arial" w:eastAsia="Arial" w:hAnsi="Arial" w:cs="Arial"/>
          <w:sz w:val="24"/>
          <w:szCs w:val="24"/>
        </w:rPr>
        <w:t>, they should enquire</w:t>
      </w:r>
      <w:r w:rsidR="00783EDA">
        <w:rPr>
          <w:rFonts w:ascii="Arial" w:eastAsia="Arial" w:hAnsi="Arial" w:cs="Arial"/>
          <w:sz w:val="24"/>
          <w:szCs w:val="24"/>
        </w:rPr>
        <w:t xml:space="preserve"> or investigate</w:t>
      </w:r>
      <w:r w:rsidR="002A79F5">
        <w:rPr>
          <w:rFonts w:ascii="Arial" w:eastAsia="Arial" w:hAnsi="Arial" w:cs="Arial"/>
          <w:sz w:val="24"/>
          <w:szCs w:val="24"/>
        </w:rPr>
        <w:t xml:space="preserve"> further</w:t>
      </w:r>
      <w:r w:rsidR="00783EDA">
        <w:rPr>
          <w:rFonts w:ascii="Arial" w:eastAsia="Arial" w:hAnsi="Arial" w:cs="Arial"/>
          <w:sz w:val="24"/>
          <w:szCs w:val="24"/>
        </w:rPr>
        <w:t xml:space="preserve"> regarding the precise scope of the</w:t>
      </w:r>
      <w:r w:rsidR="00757CF6">
        <w:rPr>
          <w:rFonts w:ascii="Arial" w:eastAsia="Arial" w:hAnsi="Arial" w:cs="Arial"/>
          <w:sz w:val="24"/>
          <w:szCs w:val="24"/>
        </w:rPr>
        <w:t xml:space="preserve"> assignation or</w:t>
      </w:r>
      <w:r w:rsidR="00783EDA">
        <w:rPr>
          <w:rFonts w:ascii="Arial" w:eastAsia="Arial" w:hAnsi="Arial" w:cs="Arial"/>
          <w:sz w:val="24"/>
          <w:szCs w:val="24"/>
        </w:rPr>
        <w:t xml:space="preserve"> security</w:t>
      </w:r>
      <w:r w:rsidR="002A79F5">
        <w:rPr>
          <w:rFonts w:ascii="Arial" w:eastAsia="Arial" w:hAnsi="Arial" w:cs="Arial"/>
          <w:sz w:val="24"/>
          <w:szCs w:val="24"/>
        </w:rPr>
        <w:t xml:space="preserve">. </w:t>
      </w:r>
      <w:r w:rsidR="0022496C">
        <w:rPr>
          <w:rFonts w:ascii="Arial" w:eastAsia="Arial" w:hAnsi="Arial" w:cs="Arial"/>
          <w:sz w:val="24"/>
          <w:szCs w:val="24"/>
        </w:rPr>
        <w:t xml:space="preserve"> </w:t>
      </w:r>
    </w:p>
    <w:p w14:paraId="4B6F8370" w14:textId="77777777" w:rsidR="00D2491F" w:rsidRDefault="001B6E41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should be possible to </w:t>
      </w:r>
      <w:r w:rsidR="00D76D7E">
        <w:rPr>
          <w:rFonts w:ascii="Arial" w:eastAsia="Arial" w:hAnsi="Arial" w:cs="Arial"/>
          <w:sz w:val="24"/>
          <w:szCs w:val="24"/>
        </w:rPr>
        <w:t xml:space="preserve">select multiple categories, as there may be </w:t>
      </w:r>
      <w:r w:rsidR="00526301">
        <w:rPr>
          <w:rFonts w:ascii="Arial" w:eastAsia="Arial" w:hAnsi="Arial" w:cs="Arial"/>
          <w:sz w:val="24"/>
          <w:szCs w:val="24"/>
        </w:rPr>
        <w:t>assets that encompass more than one category</w:t>
      </w:r>
      <w:r w:rsidR="00D76D7E">
        <w:rPr>
          <w:rFonts w:ascii="Arial" w:eastAsia="Arial" w:hAnsi="Arial" w:cs="Arial"/>
          <w:sz w:val="24"/>
          <w:szCs w:val="24"/>
        </w:rPr>
        <w:t xml:space="preserve">. </w:t>
      </w:r>
      <w:r w:rsidR="00AD2719">
        <w:rPr>
          <w:rFonts w:ascii="Arial" w:eastAsia="Arial" w:hAnsi="Arial" w:cs="Arial"/>
          <w:sz w:val="24"/>
          <w:szCs w:val="24"/>
        </w:rPr>
        <w:t>There may</w:t>
      </w:r>
      <w:r w:rsidR="00BA1B21">
        <w:rPr>
          <w:rFonts w:ascii="Arial" w:eastAsia="Arial" w:hAnsi="Arial" w:cs="Arial"/>
          <w:sz w:val="24"/>
          <w:szCs w:val="24"/>
        </w:rPr>
        <w:t>, however,</w:t>
      </w:r>
      <w:r w:rsidR="00AD2719">
        <w:rPr>
          <w:rFonts w:ascii="Arial" w:eastAsia="Arial" w:hAnsi="Arial" w:cs="Arial"/>
          <w:sz w:val="24"/>
          <w:szCs w:val="24"/>
        </w:rPr>
        <w:t xml:space="preserve"> </w:t>
      </w:r>
      <w:r w:rsidR="00D2491F">
        <w:rPr>
          <w:rFonts w:ascii="Arial" w:eastAsia="Arial" w:hAnsi="Arial" w:cs="Arial"/>
          <w:sz w:val="24"/>
          <w:szCs w:val="24"/>
        </w:rPr>
        <w:t xml:space="preserve">be </w:t>
      </w:r>
      <w:r w:rsidR="00AD2719">
        <w:rPr>
          <w:rFonts w:ascii="Arial" w:eastAsia="Arial" w:hAnsi="Arial" w:cs="Arial"/>
          <w:sz w:val="24"/>
          <w:szCs w:val="24"/>
        </w:rPr>
        <w:t xml:space="preserve">questions whether the selection of inapplicable categories </w:t>
      </w:r>
      <w:r w:rsidR="00E77EEF">
        <w:rPr>
          <w:rFonts w:ascii="Arial" w:eastAsia="Arial" w:hAnsi="Arial" w:cs="Arial"/>
          <w:sz w:val="24"/>
          <w:szCs w:val="24"/>
        </w:rPr>
        <w:t>could</w:t>
      </w:r>
      <w:r w:rsidR="00AD2719">
        <w:rPr>
          <w:rFonts w:ascii="Arial" w:eastAsia="Arial" w:hAnsi="Arial" w:cs="Arial"/>
          <w:sz w:val="24"/>
          <w:szCs w:val="24"/>
        </w:rPr>
        <w:t xml:space="preserve"> ultimately lead to the assignation or security</w:t>
      </w:r>
      <w:r w:rsidR="00E77EEF">
        <w:rPr>
          <w:rFonts w:ascii="Arial" w:eastAsia="Arial" w:hAnsi="Arial" w:cs="Arial"/>
          <w:sz w:val="24"/>
          <w:szCs w:val="24"/>
        </w:rPr>
        <w:t xml:space="preserve"> being rendered ineffective. </w:t>
      </w:r>
    </w:p>
    <w:p w14:paraId="05623E5C" w14:textId="48885860" w:rsidR="00E56412" w:rsidRDefault="00FB6F70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should be a separate “other” or “miscellaneous” category </w:t>
      </w:r>
      <w:r w:rsidR="00B60C0B">
        <w:rPr>
          <w:rFonts w:ascii="Arial" w:eastAsia="Arial" w:hAnsi="Arial" w:cs="Arial"/>
          <w:sz w:val="24"/>
          <w:szCs w:val="24"/>
        </w:rPr>
        <w:t xml:space="preserve">with the possibility for a brief description, to ensure that </w:t>
      </w:r>
      <w:r w:rsidR="00B271DB">
        <w:rPr>
          <w:rFonts w:ascii="Arial" w:eastAsia="Arial" w:hAnsi="Arial" w:cs="Arial"/>
          <w:sz w:val="24"/>
          <w:szCs w:val="24"/>
        </w:rPr>
        <w:t>assets</w:t>
      </w:r>
      <w:r w:rsidR="00B60C0B">
        <w:rPr>
          <w:rFonts w:ascii="Arial" w:eastAsia="Arial" w:hAnsi="Arial" w:cs="Arial"/>
          <w:sz w:val="24"/>
          <w:szCs w:val="24"/>
        </w:rPr>
        <w:t xml:space="preserve"> that do not neatly fit into the other categories </w:t>
      </w:r>
      <w:r w:rsidR="00B271DB">
        <w:rPr>
          <w:rFonts w:ascii="Arial" w:eastAsia="Arial" w:hAnsi="Arial" w:cs="Arial"/>
          <w:sz w:val="24"/>
          <w:szCs w:val="24"/>
        </w:rPr>
        <w:t>are</w:t>
      </w:r>
      <w:r w:rsidR="00361868">
        <w:rPr>
          <w:rFonts w:ascii="Arial" w:eastAsia="Arial" w:hAnsi="Arial" w:cs="Arial"/>
          <w:sz w:val="24"/>
          <w:szCs w:val="24"/>
        </w:rPr>
        <w:t xml:space="preserve"> catered for</w:t>
      </w:r>
      <w:r w:rsidR="00B60C0B">
        <w:rPr>
          <w:rFonts w:ascii="Arial" w:eastAsia="Arial" w:hAnsi="Arial" w:cs="Arial"/>
          <w:sz w:val="24"/>
          <w:szCs w:val="24"/>
        </w:rPr>
        <w:t xml:space="preserve">. </w:t>
      </w:r>
    </w:p>
    <w:p w14:paraId="7BD1619F" w14:textId="1531E39E" w:rsidR="00B271DB" w:rsidRDefault="00B271DB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Given the inclusion of </w:t>
      </w:r>
      <w:r w:rsidR="003F563F">
        <w:rPr>
          <w:rFonts w:ascii="Arial" w:eastAsia="Arial" w:hAnsi="Arial" w:cs="Arial"/>
          <w:sz w:val="24"/>
          <w:szCs w:val="24"/>
        </w:rPr>
        <w:t xml:space="preserve">“all present and after-acquired property” for encumbered property categories, it may also be logical to include </w:t>
      </w:r>
      <w:r w:rsidR="00015F6D">
        <w:rPr>
          <w:rFonts w:ascii="Arial" w:eastAsia="Arial" w:hAnsi="Arial" w:cs="Arial"/>
          <w:sz w:val="24"/>
          <w:szCs w:val="24"/>
        </w:rPr>
        <w:t xml:space="preserve">an equivalent for claim categories, e.g. “all present and after-acquired </w:t>
      </w:r>
      <w:r w:rsidR="00E74CBC">
        <w:rPr>
          <w:rFonts w:ascii="Arial" w:eastAsia="Arial" w:hAnsi="Arial" w:cs="Arial"/>
          <w:sz w:val="24"/>
          <w:szCs w:val="24"/>
        </w:rPr>
        <w:t>claims</w:t>
      </w:r>
      <w:r w:rsidR="00015F6D">
        <w:rPr>
          <w:rFonts w:ascii="Arial" w:eastAsia="Arial" w:hAnsi="Arial" w:cs="Arial"/>
          <w:sz w:val="24"/>
          <w:szCs w:val="24"/>
        </w:rPr>
        <w:t xml:space="preserve">”. </w:t>
      </w:r>
      <w:r w:rsidR="00E74CBC">
        <w:rPr>
          <w:rFonts w:ascii="Arial" w:eastAsia="Arial" w:hAnsi="Arial" w:cs="Arial"/>
          <w:sz w:val="24"/>
          <w:szCs w:val="24"/>
        </w:rPr>
        <w:t>While there could also be separate categories of “all present claims/property” and “</w:t>
      </w:r>
      <w:r w:rsidR="00F14350">
        <w:rPr>
          <w:rFonts w:ascii="Arial" w:eastAsia="Arial" w:hAnsi="Arial" w:cs="Arial"/>
          <w:sz w:val="24"/>
          <w:szCs w:val="24"/>
        </w:rPr>
        <w:t xml:space="preserve">all </w:t>
      </w:r>
      <w:r w:rsidR="00E74CBC">
        <w:rPr>
          <w:rFonts w:ascii="Arial" w:eastAsia="Arial" w:hAnsi="Arial" w:cs="Arial"/>
          <w:sz w:val="24"/>
          <w:szCs w:val="24"/>
        </w:rPr>
        <w:t>after-acquired claims/property”</w:t>
      </w:r>
      <w:r w:rsidR="00F14350">
        <w:rPr>
          <w:rFonts w:ascii="Arial" w:eastAsia="Arial" w:hAnsi="Arial" w:cs="Arial"/>
          <w:sz w:val="24"/>
          <w:szCs w:val="24"/>
        </w:rPr>
        <w:t xml:space="preserve">, this would overly complicate the categories and it would be unlikely for such assets to be </w:t>
      </w:r>
      <w:r w:rsidR="000351C9">
        <w:rPr>
          <w:rFonts w:ascii="Arial" w:eastAsia="Arial" w:hAnsi="Arial" w:cs="Arial"/>
          <w:sz w:val="24"/>
          <w:szCs w:val="24"/>
        </w:rPr>
        <w:t>divided in this way.</w:t>
      </w:r>
    </w:p>
    <w:p w14:paraId="612431BD" w14:textId="6AD2DE9F" w:rsidR="00361868" w:rsidRDefault="00361868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terms of </w:t>
      </w:r>
      <w:r w:rsidR="00745F97"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z w:val="24"/>
          <w:szCs w:val="24"/>
        </w:rPr>
        <w:t xml:space="preserve">relevant </w:t>
      </w:r>
      <w:r w:rsidR="00B271DB">
        <w:rPr>
          <w:rFonts w:ascii="Arial" w:eastAsia="Arial" w:hAnsi="Arial" w:cs="Arial"/>
          <w:sz w:val="24"/>
          <w:szCs w:val="24"/>
        </w:rPr>
        <w:t>categories, the following may be appropriate:</w:t>
      </w:r>
    </w:p>
    <w:p w14:paraId="3832704B" w14:textId="39F4E737" w:rsidR="000351C9" w:rsidRDefault="000351C9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Claim categories –</w:t>
      </w:r>
      <w:r w:rsidR="00745F97">
        <w:rPr>
          <w:rFonts w:ascii="Arial" w:eastAsia="Arial" w:hAnsi="Arial" w:cs="Arial"/>
          <w:sz w:val="24"/>
          <w:szCs w:val="24"/>
        </w:rPr>
        <w:t xml:space="preserve"> (i)</w:t>
      </w:r>
      <w:r>
        <w:rPr>
          <w:rFonts w:ascii="Arial" w:eastAsia="Arial" w:hAnsi="Arial" w:cs="Arial"/>
          <w:sz w:val="24"/>
          <w:szCs w:val="24"/>
        </w:rPr>
        <w:t xml:space="preserve"> book debts</w:t>
      </w:r>
      <w:r w:rsidR="002C66CB">
        <w:rPr>
          <w:rFonts w:ascii="Arial" w:eastAsia="Arial" w:hAnsi="Arial" w:cs="Arial"/>
          <w:sz w:val="24"/>
          <w:szCs w:val="24"/>
        </w:rPr>
        <w:t xml:space="preserve"> (or, as an alternative, payment rights for goods or services)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="00230D2C">
        <w:rPr>
          <w:rFonts w:ascii="Arial" w:eastAsia="Arial" w:hAnsi="Arial" w:cs="Arial"/>
          <w:sz w:val="24"/>
          <w:szCs w:val="24"/>
        </w:rPr>
        <w:t xml:space="preserve">(ii) bank account claims; </w:t>
      </w:r>
      <w:r w:rsidR="00745F97">
        <w:rPr>
          <w:rFonts w:ascii="Arial" w:eastAsia="Arial" w:hAnsi="Arial" w:cs="Arial"/>
          <w:sz w:val="24"/>
          <w:szCs w:val="24"/>
        </w:rPr>
        <w:t>(ii</w:t>
      </w:r>
      <w:r w:rsidR="00230D2C">
        <w:rPr>
          <w:rFonts w:ascii="Arial" w:eastAsia="Arial" w:hAnsi="Arial" w:cs="Arial"/>
          <w:sz w:val="24"/>
          <w:szCs w:val="24"/>
        </w:rPr>
        <w:t>i</w:t>
      </w:r>
      <w:r w:rsidR="00745F97">
        <w:rPr>
          <w:rFonts w:ascii="Arial" w:eastAsia="Arial" w:hAnsi="Arial" w:cs="Arial"/>
          <w:sz w:val="24"/>
          <w:szCs w:val="24"/>
        </w:rPr>
        <w:t xml:space="preserve">) </w:t>
      </w:r>
      <w:r w:rsidR="00686A57">
        <w:rPr>
          <w:rFonts w:ascii="Arial" w:eastAsia="Arial" w:hAnsi="Arial" w:cs="Arial"/>
          <w:sz w:val="24"/>
          <w:szCs w:val="24"/>
        </w:rPr>
        <w:t xml:space="preserve">rents or other monetary rights relating to land; </w:t>
      </w:r>
      <w:r w:rsidR="008E0013">
        <w:rPr>
          <w:rFonts w:ascii="Arial" w:eastAsia="Arial" w:hAnsi="Arial" w:cs="Arial"/>
          <w:sz w:val="24"/>
          <w:szCs w:val="24"/>
        </w:rPr>
        <w:t>(iv)</w:t>
      </w:r>
      <w:r w:rsidR="00745F97">
        <w:rPr>
          <w:rFonts w:ascii="Arial" w:eastAsia="Arial" w:hAnsi="Arial" w:cs="Arial"/>
          <w:sz w:val="24"/>
          <w:szCs w:val="24"/>
        </w:rPr>
        <w:t xml:space="preserve"> </w:t>
      </w:r>
      <w:r w:rsidR="001F23F7">
        <w:rPr>
          <w:rFonts w:ascii="Arial" w:eastAsia="Arial" w:hAnsi="Arial" w:cs="Arial"/>
          <w:sz w:val="24"/>
          <w:szCs w:val="24"/>
        </w:rPr>
        <w:t xml:space="preserve">payment rights relating to intellectual property; </w:t>
      </w:r>
      <w:r w:rsidR="009307AF">
        <w:rPr>
          <w:rFonts w:ascii="Arial" w:eastAsia="Arial" w:hAnsi="Arial" w:cs="Arial"/>
          <w:sz w:val="24"/>
          <w:szCs w:val="24"/>
        </w:rPr>
        <w:t xml:space="preserve">(v) </w:t>
      </w:r>
      <w:r w:rsidR="00F76F34">
        <w:rPr>
          <w:rFonts w:ascii="Arial" w:eastAsia="Arial" w:hAnsi="Arial" w:cs="Arial"/>
          <w:sz w:val="24"/>
          <w:szCs w:val="24"/>
        </w:rPr>
        <w:t xml:space="preserve">other/miscellaneous claims; </w:t>
      </w:r>
      <w:r w:rsidR="009307AF">
        <w:rPr>
          <w:rFonts w:ascii="Arial" w:eastAsia="Arial" w:hAnsi="Arial" w:cs="Arial"/>
          <w:sz w:val="24"/>
          <w:szCs w:val="24"/>
        </w:rPr>
        <w:t>(</w:t>
      </w:r>
      <w:r w:rsidR="00745F97">
        <w:rPr>
          <w:rFonts w:ascii="Arial" w:eastAsia="Arial" w:hAnsi="Arial" w:cs="Arial"/>
          <w:sz w:val="24"/>
          <w:szCs w:val="24"/>
        </w:rPr>
        <w:t>v</w:t>
      </w:r>
      <w:r w:rsidR="009307AF">
        <w:rPr>
          <w:rFonts w:ascii="Arial" w:eastAsia="Arial" w:hAnsi="Arial" w:cs="Arial"/>
          <w:sz w:val="24"/>
          <w:szCs w:val="24"/>
        </w:rPr>
        <w:t>i</w:t>
      </w:r>
      <w:r w:rsidR="00745F97">
        <w:rPr>
          <w:rFonts w:ascii="Arial" w:eastAsia="Arial" w:hAnsi="Arial" w:cs="Arial"/>
          <w:sz w:val="24"/>
          <w:szCs w:val="24"/>
        </w:rPr>
        <w:t xml:space="preserve">) </w:t>
      </w:r>
      <w:r w:rsidR="00F76F34">
        <w:rPr>
          <w:rFonts w:ascii="Arial" w:eastAsia="Arial" w:hAnsi="Arial" w:cs="Arial"/>
          <w:sz w:val="24"/>
          <w:szCs w:val="24"/>
        </w:rPr>
        <w:t>all present and after-acquired claims.</w:t>
      </w:r>
    </w:p>
    <w:p w14:paraId="03E04420" w14:textId="1109E761" w:rsidR="00991BEA" w:rsidRDefault="00DA74FA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Encumbered property categories – (i) corporeal </w:t>
      </w:r>
      <w:r w:rsidR="00B73725">
        <w:rPr>
          <w:rFonts w:ascii="Arial" w:eastAsia="Arial" w:hAnsi="Arial" w:cs="Arial"/>
          <w:sz w:val="24"/>
          <w:szCs w:val="24"/>
        </w:rPr>
        <w:t xml:space="preserve">(moveable) </w:t>
      </w:r>
      <w:r>
        <w:rPr>
          <w:rFonts w:ascii="Arial" w:eastAsia="Arial" w:hAnsi="Arial" w:cs="Arial"/>
          <w:sz w:val="24"/>
          <w:szCs w:val="24"/>
        </w:rPr>
        <w:t xml:space="preserve">property; (ii) </w:t>
      </w:r>
      <w:r w:rsidR="00B73725">
        <w:rPr>
          <w:rFonts w:ascii="Arial" w:eastAsia="Arial" w:hAnsi="Arial" w:cs="Arial"/>
          <w:sz w:val="24"/>
          <w:szCs w:val="24"/>
        </w:rPr>
        <w:t xml:space="preserve">intellectual property or assets </w:t>
      </w:r>
      <w:r w:rsidR="002E013C">
        <w:rPr>
          <w:rFonts w:ascii="Arial" w:eastAsia="Arial" w:hAnsi="Arial" w:cs="Arial"/>
          <w:sz w:val="24"/>
          <w:szCs w:val="24"/>
        </w:rPr>
        <w:t xml:space="preserve">relating to intellectual property (e.g. applications or licences); (iii) financial instruments; (iv) </w:t>
      </w:r>
      <w:r w:rsidR="003A0B3C">
        <w:rPr>
          <w:rFonts w:ascii="Arial" w:eastAsia="Arial" w:hAnsi="Arial" w:cs="Arial"/>
          <w:sz w:val="24"/>
          <w:szCs w:val="24"/>
        </w:rPr>
        <w:t xml:space="preserve">other incorporeal </w:t>
      </w:r>
      <w:r w:rsidR="003C32CB">
        <w:rPr>
          <w:rFonts w:ascii="Arial" w:eastAsia="Arial" w:hAnsi="Arial" w:cs="Arial"/>
          <w:sz w:val="24"/>
          <w:szCs w:val="24"/>
        </w:rPr>
        <w:t xml:space="preserve">(moveable) </w:t>
      </w:r>
      <w:r w:rsidR="003A0B3C">
        <w:rPr>
          <w:rFonts w:ascii="Arial" w:eastAsia="Arial" w:hAnsi="Arial" w:cs="Arial"/>
          <w:sz w:val="24"/>
          <w:szCs w:val="24"/>
        </w:rPr>
        <w:t xml:space="preserve">property; (v) </w:t>
      </w:r>
      <w:r w:rsidR="000F025C">
        <w:rPr>
          <w:rFonts w:ascii="Arial" w:eastAsia="Arial" w:hAnsi="Arial" w:cs="Arial"/>
          <w:sz w:val="24"/>
          <w:szCs w:val="24"/>
        </w:rPr>
        <w:t>all present and after-acquired (moveable) property.</w:t>
      </w:r>
      <w:r w:rsidR="00E12ED2">
        <w:rPr>
          <w:rFonts w:ascii="Arial" w:eastAsia="Arial" w:hAnsi="Arial" w:cs="Arial"/>
          <w:sz w:val="24"/>
          <w:szCs w:val="24"/>
        </w:rPr>
        <w:t xml:space="preserve"> </w:t>
      </w:r>
    </w:p>
    <w:p w14:paraId="2AB93685" w14:textId="6E04394E" w:rsidR="007A2319" w:rsidRDefault="00205379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While we have a slight preference for </w:t>
      </w:r>
      <w:r w:rsidR="00F76514">
        <w:rPr>
          <w:rFonts w:ascii="Arial" w:eastAsia="Arial" w:hAnsi="Arial" w:cs="Arial"/>
          <w:sz w:val="24"/>
          <w:szCs w:val="24"/>
        </w:rPr>
        <w:t xml:space="preserve">the inclusion of </w:t>
      </w:r>
      <w:r>
        <w:rPr>
          <w:rFonts w:ascii="Arial" w:eastAsia="Arial" w:hAnsi="Arial" w:cs="Arial"/>
          <w:sz w:val="24"/>
          <w:szCs w:val="24"/>
        </w:rPr>
        <w:t xml:space="preserve">“all present and after acquired claims/property” categories, </w:t>
      </w:r>
      <w:r w:rsidR="00F76514">
        <w:rPr>
          <w:rFonts w:ascii="Arial" w:eastAsia="Arial" w:hAnsi="Arial" w:cs="Arial"/>
          <w:sz w:val="24"/>
          <w:szCs w:val="24"/>
        </w:rPr>
        <w:t>it could be queried whether such categories are necessary.</w:t>
      </w:r>
    </w:p>
    <w:p w14:paraId="511094DE" w14:textId="7F4CCB9F" w:rsidR="00BE1109" w:rsidRDefault="00BE1109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inclusion of financial instruments </w:t>
      </w:r>
      <w:r w:rsidR="002F27CC">
        <w:rPr>
          <w:rFonts w:ascii="Arial" w:eastAsia="Arial" w:hAnsi="Arial" w:cs="Arial"/>
          <w:sz w:val="24"/>
          <w:szCs w:val="24"/>
        </w:rPr>
        <w:t>as an</w:t>
      </w:r>
      <w:r>
        <w:rPr>
          <w:rFonts w:ascii="Arial" w:eastAsia="Arial" w:hAnsi="Arial" w:cs="Arial"/>
          <w:sz w:val="24"/>
          <w:szCs w:val="24"/>
        </w:rPr>
        <w:t xml:space="preserve"> “encumbered property” </w:t>
      </w:r>
      <w:r w:rsidR="002F27CC">
        <w:rPr>
          <w:rFonts w:ascii="Arial" w:eastAsia="Arial" w:hAnsi="Arial" w:cs="Arial"/>
          <w:sz w:val="24"/>
          <w:szCs w:val="24"/>
        </w:rPr>
        <w:t xml:space="preserve">category depends upon whether there is </w:t>
      </w:r>
      <w:r w:rsidR="00230D2C">
        <w:rPr>
          <w:rFonts w:ascii="Arial" w:eastAsia="Arial" w:hAnsi="Arial" w:cs="Arial"/>
          <w:sz w:val="24"/>
          <w:szCs w:val="24"/>
        </w:rPr>
        <w:t>legislation</w:t>
      </w:r>
      <w:r w:rsidR="002F27CC">
        <w:rPr>
          <w:rFonts w:ascii="Arial" w:eastAsia="Arial" w:hAnsi="Arial" w:cs="Arial"/>
          <w:sz w:val="24"/>
          <w:szCs w:val="24"/>
        </w:rPr>
        <w:t xml:space="preserve"> to </w:t>
      </w:r>
      <w:r w:rsidR="00230D2C">
        <w:rPr>
          <w:rFonts w:ascii="Arial" w:eastAsia="Arial" w:hAnsi="Arial" w:cs="Arial"/>
          <w:sz w:val="24"/>
          <w:szCs w:val="24"/>
        </w:rPr>
        <w:t>enable a statutory pledge to be created over such property.</w:t>
      </w:r>
    </w:p>
    <w:p w14:paraId="49222466" w14:textId="2D8E8EFF" w:rsidR="00E12ED2" w:rsidRDefault="00E12ED2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it is considered desirable to </w:t>
      </w:r>
      <w:r w:rsidR="00C062E8">
        <w:rPr>
          <w:rFonts w:ascii="Arial" w:eastAsia="Arial" w:hAnsi="Arial" w:cs="Arial"/>
          <w:sz w:val="24"/>
          <w:szCs w:val="24"/>
        </w:rPr>
        <w:t>divide up corporeal moveable property</w:t>
      </w:r>
      <w:r w:rsidR="005A3B9C">
        <w:rPr>
          <w:rFonts w:ascii="Arial" w:eastAsia="Arial" w:hAnsi="Arial" w:cs="Arial"/>
          <w:sz w:val="24"/>
          <w:szCs w:val="24"/>
        </w:rPr>
        <w:t xml:space="preserve"> into separate categories</w:t>
      </w:r>
      <w:r w:rsidR="00C062E8">
        <w:rPr>
          <w:rFonts w:ascii="Arial" w:eastAsia="Arial" w:hAnsi="Arial" w:cs="Arial"/>
          <w:sz w:val="24"/>
          <w:szCs w:val="24"/>
        </w:rPr>
        <w:t>, perhaps “stock” and “</w:t>
      </w:r>
      <w:r w:rsidR="00E67D97">
        <w:rPr>
          <w:rFonts w:ascii="Arial" w:eastAsia="Arial" w:hAnsi="Arial" w:cs="Arial"/>
          <w:sz w:val="24"/>
          <w:szCs w:val="24"/>
        </w:rPr>
        <w:t xml:space="preserve">plant, machinery, equipment and/or vehicles” would be the </w:t>
      </w:r>
      <w:r w:rsidR="00706906">
        <w:rPr>
          <w:rFonts w:ascii="Arial" w:eastAsia="Arial" w:hAnsi="Arial" w:cs="Arial"/>
          <w:sz w:val="24"/>
          <w:szCs w:val="24"/>
        </w:rPr>
        <w:t xml:space="preserve">best way to divide them, i.e. to include </w:t>
      </w:r>
      <w:r w:rsidR="00F67879">
        <w:rPr>
          <w:rFonts w:ascii="Arial" w:eastAsia="Arial" w:hAnsi="Arial" w:cs="Arial"/>
          <w:sz w:val="24"/>
          <w:szCs w:val="24"/>
        </w:rPr>
        <w:t xml:space="preserve">items intended to be </w:t>
      </w:r>
      <w:r w:rsidR="00EF6691">
        <w:rPr>
          <w:rFonts w:ascii="Arial" w:eastAsia="Arial" w:hAnsi="Arial" w:cs="Arial"/>
          <w:sz w:val="24"/>
          <w:szCs w:val="24"/>
        </w:rPr>
        <w:t>disposed of by a business</w:t>
      </w:r>
      <w:r w:rsidR="00F67879">
        <w:rPr>
          <w:rFonts w:ascii="Arial" w:eastAsia="Arial" w:hAnsi="Arial" w:cs="Arial"/>
          <w:sz w:val="24"/>
          <w:szCs w:val="24"/>
        </w:rPr>
        <w:t xml:space="preserve"> and those used for the purpose of running the business. However, there would be a danger of overlap, e.g. a business that not only sells vehicles but </w:t>
      </w:r>
      <w:r w:rsidR="00DC720C">
        <w:rPr>
          <w:rFonts w:ascii="Arial" w:eastAsia="Arial" w:hAnsi="Arial" w:cs="Arial"/>
          <w:sz w:val="24"/>
          <w:szCs w:val="24"/>
        </w:rPr>
        <w:t xml:space="preserve">also </w:t>
      </w:r>
      <w:r w:rsidR="00F67879">
        <w:rPr>
          <w:rFonts w:ascii="Arial" w:eastAsia="Arial" w:hAnsi="Arial" w:cs="Arial"/>
          <w:sz w:val="24"/>
          <w:szCs w:val="24"/>
        </w:rPr>
        <w:t xml:space="preserve">uses them for business operations. </w:t>
      </w:r>
    </w:p>
    <w:p w14:paraId="2F13B08E" w14:textId="117194A8" w:rsidR="00B271DB" w:rsidRDefault="008F017C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can be noted that there is</w:t>
      </w:r>
      <w:r w:rsidR="001629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precedent for categories such as </w:t>
      </w:r>
      <w:r w:rsidR="00D74D5D">
        <w:rPr>
          <w:rFonts w:ascii="Arial" w:eastAsia="Arial" w:hAnsi="Arial" w:cs="Arial"/>
          <w:sz w:val="24"/>
          <w:szCs w:val="24"/>
        </w:rPr>
        <w:t xml:space="preserve">intellectual property and </w:t>
      </w:r>
      <w:r>
        <w:rPr>
          <w:rFonts w:ascii="Arial" w:eastAsia="Arial" w:hAnsi="Arial" w:cs="Arial"/>
          <w:sz w:val="24"/>
          <w:szCs w:val="24"/>
        </w:rPr>
        <w:t>b</w:t>
      </w:r>
      <w:r w:rsidR="00A25F2C">
        <w:rPr>
          <w:rFonts w:ascii="Arial" w:eastAsia="Arial" w:hAnsi="Arial" w:cs="Arial"/>
          <w:sz w:val="24"/>
          <w:szCs w:val="24"/>
        </w:rPr>
        <w:t>ook debts</w:t>
      </w:r>
      <w:r w:rsidR="0020584D">
        <w:rPr>
          <w:rFonts w:ascii="Arial" w:eastAsia="Arial" w:hAnsi="Arial" w:cs="Arial"/>
          <w:sz w:val="24"/>
          <w:szCs w:val="24"/>
        </w:rPr>
        <w:t xml:space="preserve"> in the context of secured transactions</w:t>
      </w:r>
      <w:r w:rsidR="003E6A2C">
        <w:rPr>
          <w:rFonts w:ascii="Arial" w:eastAsia="Arial" w:hAnsi="Arial" w:cs="Arial"/>
          <w:sz w:val="24"/>
          <w:szCs w:val="24"/>
        </w:rPr>
        <w:t xml:space="preserve">. If security was created </w:t>
      </w:r>
      <w:r w:rsidR="00E656B3">
        <w:rPr>
          <w:rFonts w:ascii="Arial" w:eastAsia="Arial" w:hAnsi="Arial" w:cs="Arial"/>
          <w:sz w:val="24"/>
          <w:szCs w:val="24"/>
        </w:rPr>
        <w:t xml:space="preserve">by a company </w:t>
      </w:r>
      <w:r w:rsidR="003E6A2C">
        <w:rPr>
          <w:rFonts w:ascii="Arial" w:eastAsia="Arial" w:hAnsi="Arial" w:cs="Arial"/>
          <w:sz w:val="24"/>
          <w:szCs w:val="24"/>
        </w:rPr>
        <w:t xml:space="preserve">over </w:t>
      </w:r>
      <w:r w:rsidR="00E656B3">
        <w:rPr>
          <w:rFonts w:ascii="Arial" w:eastAsia="Arial" w:hAnsi="Arial" w:cs="Arial"/>
          <w:sz w:val="24"/>
          <w:szCs w:val="24"/>
        </w:rPr>
        <w:t xml:space="preserve">such property or other specified property, then registration was required under the previous </w:t>
      </w:r>
      <w:r w:rsidR="00C73F94">
        <w:rPr>
          <w:rFonts w:ascii="Arial" w:eastAsia="Arial" w:hAnsi="Arial" w:cs="Arial"/>
          <w:sz w:val="24"/>
          <w:szCs w:val="24"/>
        </w:rPr>
        <w:t>registration of charges regime – see Companies Act 2006, s</w:t>
      </w:r>
      <w:r w:rsidR="00D74D5D">
        <w:rPr>
          <w:rFonts w:ascii="Arial" w:eastAsia="Arial" w:hAnsi="Arial" w:cs="Arial"/>
          <w:sz w:val="24"/>
          <w:szCs w:val="24"/>
        </w:rPr>
        <w:t>s</w:t>
      </w:r>
      <w:r w:rsidR="00C73F94">
        <w:rPr>
          <w:rFonts w:ascii="Arial" w:eastAsia="Arial" w:hAnsi="Arial" w:cs="Arial"/>
          <w:sz w:val="24"/>
          <w:szCs w:val="24"/>
        </w:rPr>
        <w:t xml:space="preserve"> </w:t>
      </w:r>
      <w:r w:rsidR="00D74D5D">
        <w:rPr>
          <w:rFonts w:ascii="Arial" w:eastAsia="Arial" w:hAnsi="Arial" w:cs="Arial"/>
          <w:sz w:val="24"/>
          <w:szCs w:val="24"/>
        </w:rPr>
        <w:t xml:space="preserve">860 (for England and Wales) and </w:t>
      </w:r>
      <w:r w:rsidR="00C73F94">
        <w:rPr>
          <w:rFonts w:ascii="Arial" w:eastAsia="Arial" w:hAnsi="Arial" w:cs="Arial"/>
          <w:sz w:val="24"/>
          <w:szCs w:val="24"/>
        </w:rPr>
        <w:t>8</w:t>
      </w:r>
      <w:r w:rsidR="000117E7">
        <w:rPr>
          <w:rFonts w:ascii="Arial" w:eastAsia="Arial" w:hAnsi="Arial" w:cs="Arial"/>
          <w:sz w:val="24"/>
          <w:szCs w:val="24"/>
        </w:rPr>
        <w:t>78</w:t>
      </w:r>
      <w:r w:rsidR="00C73F94">
        <w:rPr>
          <w:rFonts w:ascii="Arial" w:eastAsia="Arial" w:hAnsi="Arial" w:cs="Arial"/>
          <w:sz w:val="24"/>
          <w:szCs w:val="24"/>
        </w:rPr>
        <w:t xml:space="preserve"> </w:t>
      </w:r>
      <w:r w:rsidR="00D74D5D">
        <w:rPr>
          <w:rFonts w:ascii="Arial" w:eastAsia="Arial" w:hAnsi="Arial" w:cs="Arial"/>
          <w:sz w:val="24"/>
          <w:szCs w:val="24"/>
        </w:rPr>
        <w:t xml:space="preserve">(Scotland) </w:t>
      </w:r>
      <w:r w:rsidR="00C73F94">
        <w:rPr>
          <w:rFonts w:ascii="Arial" w:eastAsia="Arial" w:hAnsi="Arial" w:cs="Arial"/>
          <w:sz w:val="24"/>
          <w:szCs w:val="24"/>
        </w:rPr>
        <w:t xml:space="preserve">(now repealed). </w:t>
      </w:r>
      <w:r w:rsidR="00CB0483">
        <w:rPr>
          <w:rFonts w:ascii="Arial" w:eastAsia="Arial" w:hAnsi="Arial" w:cs="Arial"/>
          <w:sz w:val="24"/>
          <w:szCs w:val="24"/>
        </w:rPr>
        <w:t xml:space="preserve">(See Companies Act 2006, </w:t>
      </w:r>
      <w:r w:rsidR="00DC720C">
        <w:rPr>
          <w:rFonts w:ascii="Arial" w:eastAsia="Arial" w:hAnsi="Arial" w:cs="Arial"/>
          <w:sz w:val="24"/>
          <w:szCs w:val="24"/>
        </w:rPr>
        <w:t>s 859A onwards for the current regime, which does not rely on such categories.)</w:t>
      </w:r>
    </w:p>
    <w:p w14:paraId="57300FDF" w14:textId="77777777" w:rsidR="00B271DB" w:rsidRPr="006B0BCD" w:rsidRDefault="00B271DB" w:rsidP="008D21A2">
      <w:pPr>
        <w:jc w:val="both"/>
        <w:rPr>
          <w:rFonts w:ascii="Arial" w:eastAsia="Arial" w:hAnsi="Arial" w:cs="Arial"/>
          <w:sz w:val="24"/>
          <w:szCs w:val="24"/>
        </w:rPr>
      </w:pPr>
    </w:p>
    <w:p w14:paraId="169AD34A" w14:textId="385846CC" w:rsidR="16A1E4C2" w:rsidRPr="0022496C" w:rsidRDefault="70D78561" w:rsidP="008D21A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2496C">
        <w:rPr>
          <w:rFonts w:ascii="Arial" w:eastAsia="Arial" w:hAnsi="Arial" w:cs="Arial"/>
          <w:b/>
          <w:bCs/>
          <w:sz w:val="24"/>
          <w:szCs w:val="24"/>
        </w:rPr>
        <w:t>Q2.</w:t>
      </w:r>
      <w:r w:rsidR="16A1E4C2" w:rsidRPr="0022496C">
        <w:rPr>
          <w:b/>
          <w:bCs/>
        </w:rPr>
        <w:tab/>
      </w:r>
      <w:r w:rsidR="16A1E4C2" w:rsidRPr="0022496C">
        <w:rPr>
          <w:rFonts w:ascii="Arial" w:eastAsia="Arial" w:hAnsi="Arial" w:cs="Arial"/>
          <w:b/>
          <w:bCs/>
          <w:sz w:val="24"/>
          <w:szCs w:val="24"/>
        </w:rPr>
        <w:t>Are there any categories you con</w:t>
      </w:r>
      <w:r w:rsidR="295175CC" w:rsidRPr="0022496C">
        <w:rPr>
          <w:rFonts w:ascii="Arial" w:eastAsia="Arial" w:hAnsi="Arial" w:cs="Arial"/>
          <w:b/>
          <w:bCs/>
          <w:sz w:val="24"/>
          <w:szCs w:val="24"/>
        </w:rPr>
        <w:t>s</w:t>
      </w:r>
      <w:r w:rsidR="16A1E4C2" w:rsidRPr="0022496C">
        <w:rPr>
          <w:rFonts w:ascii="Arial" w:eastAsia="Arial" w:hAnsi="Arial" w:cs="Arial"/>
          <w:b/>
          <w:bCs/>
          <w:sz w:val="24"/>
          <w:szCs w:val="24"/>
        </w:rPr>
        <w:t>ider unnecessary</w:t>
      </w:r>
      <w:r w:rsidR="59E85F2C" w:rsidRPr="0022496C">
        <w:rPr>
          <w:rFonts w:ascii="Arial" w:eastAsia="Arial" w:hAnsi="Arial" w:cs="Arial"/>
          <w:b/>
          <w:bCs/>
          <w:sz w:val="24"/>
          <w:szCs w:val="24"/>
        </w:rPr>
        <w:t xml:space="preserve">? </w:t>
      </w:r>
      <w:r w:rsidR="7C1AF9AE" w:rsidRPr="0022496C">
        <w:rPr>
          <w:rFonts w:ascii="Arial" w:eastAsia="Arial" w:hAnsi="Arial" w:cs="Arial"/>
          <w:b/>
          <w:bCs/>
          <w:sz w:val="24"/>
          <w:szCs w:val="24"/>
        </w:rPr>
        <w:t>If yes, please give your reasons.</w:t>
      </w:r>
      <w:r w:rsidR="59E85F2C" w:rsidRPr="0022496C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1860E08" w14:textId="5DAA5802" w:rsidR="16A1E4C2" w:rsidRDefault="00DC720C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See our answer to Q1 above. </w:t>
      </w:r>
    </w:p>
    <w:p w14:paraId="7BD77B90" w14:textId="77777777" w:rsidR="00DC720C" w:rsidRPr="006B0BCD" w:rsidRDefault="00DC720C" w:rsidP="008D21A2">
      <w:pPr>
        <w:jc w:val="both"/>
        <w:rPr>
          <w:rFonts w:ascii="Arial" w:eastAsia="Arial" w:hAnsi="Arial" w:cs="Arial"/>
          <w:sz w:val="24"/>
          <w:szCs w:val="24"/>
        </w:rPr>
      </w:pPr>
    </w:p>
    <w:p w14:paraId="76E3F3B9" w14:textId="75006185" w:rsidR="16A1E4C2" w:rsidRPr="00DC720C" w:rsidRDefault="3C4EED53" w:rsidP="008D21A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C720C">
        <w:rPr>
          <w:rFonts w:ascii="Arial" w:eastAsia="Arial" w:hAnsi="Arial" w:cs="Arial"/>
          <w:b/>
          <w:bCs/>
          <w:sz w:val="24"/>
          <w:szCs w:val="24"/>
        </w:rPr>
        <w:t>Q3.</w:t>
      </w:r>
      <w:r w:rsidR="16A1E4C2" w:rsidRPr="00DC720C">
        <w:rPr>
          <w:b/>
          <w:bCs/>
        </w:rPr>
        <w:tab/>
      </w:r>
      <w:r w:rsidR="13DAF9C9" w:rsidRPr="00DC720C">
        <w:rPr>
          <w:rFonts w:ascii="Arial" w:eastAsia="Arial" w:hAnsi="Arial" w:cs="Arial"/>
          <w:b/>
          <w:bCs/>
          <w:sz w:val="24"/>
          <w:szCs w:val="24"/>
        </w:rPr>
        <w:t>Are the desc</w:t>
      </w:r>
      <w:r w:rsidR="0014170C" w:rsidRPr="00DC720C">
        <w:rPr>
          <w:rFonts w:ascii="Arial" w:eastAsia="Arial" w:hAnsi="Arial" w:cs="Arial"/>
          <w:b/>
          <w:bCs/>
          <w:sz w:val="24"/>
          <w:szCs w:val="24"/>
        </w:rPr>
        <w:t>r</w:t>
      </w:r>
      <w:r w:rsidR="13DAF9C9" w:rsidRPr="00DC720C">
        <w:rPr>
          <w:rFonts w:ascii="Arial" w:eastAsia="Arial" w:hAnsi="Arial" w:cs="Arial"/>
          <w:b/>
          <w:bCs/>
          <w:sz w:val="24"/>
          <w:szCs w:val="24"/>
        </w:rPr>
        <w:t xml:space="preserve">iptors used for any of the categories ambiguous or otherwise unclear? </w:t>
      </w:r>
      <w:r w:rsidR="122A00BC" w:rsidRPr="00DC720C"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proofErr w:type="gramStart"/>
      <w:r w:rsidR="122A00BC" w:rsidRPr="00DC720C">
        <w:rPr>
          <w:rFonts w:ascii="Arial" w:eastAsia="Arial" w:hAnsi="Arial" w:cs="Arial"/>
          <w:b/>
          <w:bCs/>
          <w:sz w:val="24"/>
          <w:szCs w:val="24"/>
        </w:rPr>
        <w:t>yes</w:t>
      </w:r>
      <w:proofErr w:type="gramEnd"/>
      <w:r w:rsidR="122A00BC" w:rsidRPr="00DC720C">
        <w:rPr>
          <w:rFonts w:ascii="Arial" w:eastAsia="Arial" w:hAnsi="Arial" w:cs="Arial"/>
          <w:b/>
          <w:bCs/>
          <w:sz w:val="24"/>
          <w:szCs w:val="24"/>
        </w:rPr>
        <w:t xml:space="preserve"> please say in what way and how they might be improved.</w:t>
      </w:r>
    </w:p>
    <w:p w14:paraId="741A04E7" w14:textId="32F27348" w:rsidR="00372956" w:rsidRDefault="00844402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Yes</w:t>
      </w:r>
      <w:r w:rsidR="00AA0FD5">
        <w:rPr>
          <w:rFonts w:ascii="Arial" w:eastAsia="Arial" w:hAnsi="Arial" w:cs="Arial"/>
          <w:sz w:val="24"/>
          <w:szCs w:val="24"/>
        </w:rPr>
        <w:t xml:space="preserve">, </w:t>
      </w:r>
      <w:r w:rsidR="008A778B">
        <w:rPr>
          <w:rFonts w:ascii="Arial" w:eastAsia="Arial" w:hAnsi="Arial" w:cs="Arial"/>
          <w:sz w:val="24"/>
          <w:szCs w:val="24"/>
        </w:rPr>
        <w:t>some of the categories are ambiguous</w:t>
      </w:r>
      <w:r w:rsidR="00B51CDC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B51CDC">
        <w:rPr>
          <w:rFonts w:ascii="Arial" w:eastAsia="Arial" w:hAnsi="Arial" w:cs="Arial"/>
          <w:sz w:val="24"/>
          <w:szCs w:val="24"/>
        </w:rPr>
        <w:t>unclear</w:t>
      </w:r>
      <w:proofErr w:type="gramEnd"/>
      <w:r w:rsidR="008A778B">
        <w:rPr>
          <w:rFonts w:ascii="Arial" w:eastAsia="Arial" w:hAnsi="Arial" w:cs="Arial"/>
          <w:sz w:val="24"/>
          <w:szCs w:val="24"/>
        </w:rPr>
        <w:t xml:space="preserve"> and </w:t>
      </w:r>
      <w:r w:rsidR="00C65654">
        <w:rPr>
          <w:rFonts w:ascii="Arial" w:eastAsia="Arial" w:hAnsi="Arial" w:cs="Arial"/>
          <w:sz w:val="24"/>
          <w:szCs w:val="24"/>
        </w:rPr>
        <w:t xml:space="preserve">potentially </w:t>
      </w:r>
      <w:r w:rsidR="008A778B">
        <w:rPr>
          <w:rFonts w:ascii="Arial" w:eastAsia="Arial" w:hAnsi="Arial" w:cs="Arial"/>
          <w:sz w:val="24"/>
          <w:szCs w:val="24"/>
        </w:rPr>
        <w:t xml:space="preserve">involve overlaps. </w:t>
      </w:r>
      <w:r w:rsidR="00B51CDC">
        <w:rPr>
          <w:rFonts w:ascii="Arial" w:eastAsia="Arial" w:hAnsi="Arial" w:cs="Arial"/>
          <w:sz w:val="24"/>
          <w:szCs w:val="24"/>
        </w:rPr>
        <w:t>The claim categories do not seem to cover all possible types of claims</w:t>
      </w:r>
      <w:r w:rsidR="00660B03">
        <w:rPr>
          <w:rFonts w:ascii="Arial" w:eastAsia="Arial" w:hAnsi="Arial" w:cs="Arial"/>
          <w:sz w:val="24"/>
          <w:szCs w:val="24"/>
        </w:rPr>
        <w:t xml:space="preserve"> (as noted above)</w:t>
      </w:r>
      <w:r w:rsidR="00B51CDC">
        <w:rPr>
          <w:rFonts w:ascii="Arial" w:eastAsia="Arial" w:hAnsi="Arial" w:cs="Arial"/>
          <w:sz w:val="24"/>
          <w:szCs w:val="24"/>
        </w:rPr>
        <w:t>.</w:t>
      </w:r>
      <w:r w:rsidR="00660B03">
        <w:rPr>
          <w:rFonts w:ascii="Arial" w:eastAsia="Arial" w:hAnsi="Arial" w:cs="Arial"/>
          <w:sz w:val="24"/>
          <w:szCs w:val="24"/>
        </w:rPr>
        <w:t xml:space="preserve"> </w:t>
      </w:r>
      <w:r w:rsidR="005D2D27">
        <w:rPr>
          <w:rFonts w:ascii="Arial" w:eastAsia="Arial" w:hAnsi="Arial" w:cs="Arial"/>
          <w:sz w:val="24"/>
          <w:szCs w:val="24"/>
        </w:rPr>
        <w:t>Royalties does not necessarily encompass all claims relating to intellectual property. Also,</w:t>
      </w:r>
      <w:r w:rsidR="007E56A5">
        <w:rPr>
          <w:rFonts w:ascii="Arial" w:eastAsia="Arial" w:hAnsi="Arial" w:cs="Arial"/>
          <w:sz w:val="24"/>
          <w:szCs w:val="24"/>
        </w:rPr>
        <w:t xml:space="preserve"> “invoices for goods or services” are not </w:t>
      </w:r>
      <w:r w:rsidR="0055223E">
        <w:rPr>
          <w:rFonts w:ascii="Arial" w:eastAsia="Arial" w:hAnsi="Arial" w:cs="Arial"/>
          <w:sz w:val="24"/>
          <w:szCs w:val="24"/>
        </w:rPr>
        <w:t>technically a type o</w:t>
      </w:r>
      <w:r w:rsidR="007E56A5">
        <w:rPr>
          <w:rFonts w:ascii="Arial" w:eastAsia="Arial" w:hAnsi="Arial" w:cs="Arial"/>
          <w:sz w:val="24"/>
          <w:szCs w:val="24"/>
        </w:rPr>
        <w:t>f claim</w:t>
      </w:r>
      <w:r w:rsidR="002D2A34">
        <w:rPr>
          <w:rFonts w:ascii="Arial" w:eastAsia="Arial" w:hAnsi="Arial" w:cs="Arial"/>
          <w:sz w:val="24"/>
          <w:szCs w:val="24"/>
        </w:rPr>
        <w:t xml:space="preserve">, as an invoice is merely a document used to request the payment of a claim. </w:t>
      </w:r>
      <w:r w:rsidR="0055223E">
        <w:rPr>
          <w:rFonts w:ascii="Arial" w:eastAsia="Arial" w:hAnsi="Arial" w:cs="Arial"/>
          <w:sz w:val="24"/>
          <w:szCs w:val="24"/>
        </w:rPr>
        <w:t xml:space="preserve">However, we recognise that </w:t>
      </w:r>
      <w:r w:rsidR="00F73359">
        <w:rPr>
          <w:rFonts w:ascii="Arial" w:eastAsia="Arial" w:hAnsi="Arial" w:cs="Arial"/>
          <w:sz w:val="24"/>
          <w:szCs w:val="24"/>
        </w:rPr>
        <w:t xml:space="preserve">invoices are often referred to in practice to mean the relevant claims. </w:t>
      </w:r>
      <w:r w:rsidR="00F73359">
        <w:rPr>
          <w:rFonts w:ascii="Arial" w:eastAsia="Arial" w:hAnsi="Arial" w:cs="Arial"/>
          <w:sz w:val="24"/>
          <w:szCs w:val="24"/>
        </w:rPr>
        <w:lastRenderedPageBreak/>
        <w:t xml:space="preserve">More significantly, claims can exist without accompanying </w:t>
      </w:r>
      <w:r w:rsidR="00B21B34">
        <w:rPr>
          <w:rFonts w:ascii="Arial" w:eastAsia="Arial" w:hAnsi="Arial" w:cs="Arial"/>
          <w:sz w:val="24"/>
          <w:szCs w:val="24"/>
        </w:rPr>
        <w:t>invoice</w:t>
      </w:r>
      <w:r w:rsidR="00F73359">
        <w:rPr>
          <w:rFonts w:ascii="Arial" w:eastAsia="Arial" w:hAnsi="Arial" w:cs="Arial"/>
          <w:sz w:val="24"/>
          <w:szCs w:val="24"/>
        </w:rPr>
        <w:t xml:space="preserve">s </w:t>
      </w:r>
      <w:r w:rsidR="00372956">
        <w:rPr>
          <w:rFonts w:ascii="Arial" w:eastAsia="Arial" w:hAnsi="Arial" w:cs="Arial"/>
          <w:sz w:val="24"/>
          <w:szCs w:val="24"/>
        </w:rPr>
        <w:t xml:space="preserve">and a claim may </w:t>
      </w:r>
      <w:r w:rsidR="00F73359">
        <w:rPr>
          <w:rFonts w:ascii="Arial" w:eastAsia="Arial" w:hAnsi="Arial" w:cs="Arial"/>
          <w:sz w:val="24"/>
          <w:szCs w:val="24"/>
        </w:rPr>
        <w:t>not</w:t>
      </w:r>
      <w:r w:rsidR="00372956">
        <w:rPr>
          <w:rFonts w:ascii="Arial" w:eastAsia="Arial" w:hAnsi="Arial" w:cs="Arial"/>
          <w:sz w:val="24"/>
          <w:szCs w:val="24"/>
        </w:rPr>
        <w:t xml:space="preserve"> be for goods or services.</w:t>
      </w:r>
    </w:p>
    <w:p w14:paraId="399865E9" w14:textId="5391C66F" w:rsidR="00844402" w:rsidRDefault="00372956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 w:rsidR="00FD61AD">
        <w:rPr>
          <w:rFonts w:ascii="Arial" w:eastAsia="Arial" w:hAnsi="Arial" w:cs="Arial"/>
          <w:sz w:val="24"/>
          <w:szCs w:val="24"/>
        </w:rPr>
        <w:t>encumbered property categories,</w:t>
      </w:r>
      <w:r w:rsidR="003F3E92">
        <w:rPr>
          <w:rFonts w:ascii="Arial" w:eastAsia="Arial" w:hAnsi="Arial" w:cs="Arial"/>
          <w:sz w:val="24"/>
          <w:szCs w:val="24"/>
        </w:rPr>
        <w:t xml:space="preserve"> the boundaries between “motor vehicles”, “plant and machinery” an</w:t>
      </w:r>
      <w:r w:rsidR="00F042CA">
        <w:rPr>
          <w:rFonts w:ascii="Arial" w:eastAsia="Arial" w:hAnsi="Arial" w:cs="Arial"/>
          <w:sz w:val="24"/>
          <w:szCs w:val="24"/>
        </w:rPr>
        <w:t>d</w:t>
      </w:r>
      <w:r w:rsidR="003F3E92">
        <w:rPr>
          <w:rFonts w:ascii="Arial" w:eastAsia="Arial" w:hAnsi="Arial" w:cs="Arial"/>
          <w:sz w:val="24"/>
          <w:szCs w:val="24"/>
        </w:rPr>
        <w:t xml:space="preserve"> “equipment” are not always obvious. </w:t>
      </w:r>
      <w:r w:rsidR="007C2CBD">
        <w:rPr>
          <w:rFonts w:ascii="Arial" w:eastAsia="Arial" w:hAnsi="Arial" w:cs="Arial"/>
          <w:sz w:val="24"/>
          <w:szCs w:val="24"/>
        </w:rPr>
        <w:t xml:space="preserve">For instance, a </w:t>
      </w:r>
      <w:r w:rsidR="007E120A">
        <w:rPr>
          <w:rFonts w:ascii="Arial" w:eastAsia="Arial" w:hAnsi="Arial" w:cs="Arial"/>
          <w:sz w:val="24"/>
          <w:szCs w:val="24"/>
        </w:rPr>
        <w:t xml:space="preserve">motorised vehicle used for industrial activities could also be considered a </w:t>
      </w:r>
      <w:r w:rsidR="007C2CBD">
        <w:rPr>
          <w:rFonts w:ascii="Arial" w:eastAsia="Arial" w:hAnsi="Arial" w:cs="Arial"/>
          <w:sz w:val="24"/>
          <w:szCs w:val="24"/>
        </w:rPr>
        <w:t xml:space="preserve">piece of </w:t>
      </w:r>
      <w:r w:rsidR="00F042CA">
        <w:rPr>
          <w:rFonts w:ascii="Arial" w:eastAsia="Arial" w:hAnsi="Arial" w:cs="Arial"/>
          <w:sz w:val="24"/>
          <w:szCs w:val="24"/>
        </w:rPr>
        <w:t xml:space="preserve">plant or </w:t>
      </w:r>
      <w:r w:rsidR="007C2CBD">
        <w:rPr>
          <w:rFonts w:ascii="Arial" w:eastAsia="Arial" w:hAnsi="Arial" w:cs="Arial"/>
          <w:sz w:val="24"/>
          <w:szCs w:val="24"/>
        </w:rPr>
        <w:t xml:space="preserve">machinery </w:t>
      </w:r>
      <w:r w:rsidR="007E120A">
        <w:rPr>
          <w:rFonts w:ascii="Arial" w:eastAsia="Arial" w:hAnsi="Arial" w:cs="Arial"/>
          <w:sz w:val="24"/>
          <w:szCs w:val="24"/>
        </w:rPr>
        <w:t>and even a piece of equipment</w:t>
      </w:r>
      <w:r w:rsidR="00F042CA">
        <w:rPr>
          <w:rFonts w:ascii="Arial" w:eastAsia="Arial" w:hAnsi="Arial" w:cs="Arial"/>
          <w:sz w:val="24"/>
          <w:szCs w:val="24"/>
        </w:rPr>
        <w:t xml:space="preserve"> too</w:t>
      </w:r>
      <w:r w:rsidR="007E120A">
        <w:rPr>
          <w:rFonts w:ascii="Arial" w:eastAsia="Arial" w:hAnsi="Arial" w:cs="Arial"/>
          <w:sz w:val="24"/>
          <w:szCs w:val="24"/>
        </w:rPr>
        <w:t xml:space="preserve">, depending upon how it is used. </w:t>
      </w:r>
      <w:r w:rsidR="00054D01">
        <w:rPr>
          <w:rFonts w:ascii="Arial" w:eastAsia="Arial" w:hAnsi="Arial" w:cs="Arial"/>
          <w:sz w:val="24"/>
          <w:szCs w:val="24"/>
        </w:rPr>
        <w:t xml:space="preserve">The reference to “financial property” would seem to involve incorporeal (intangible) property, but there is a separate “intangible property” category. </w:t>
      </w:r>
      <w:r w:rsidR="000A008F">
        <w:rPr>
          <w:rFonts w:ascii="Arial" w:eastAsia="Arial" w:hAnsi="Arial" w:cs="Arial"/>
          <w:sz w:val="24"/>
          <w:szCs w:val="24"/>
        </w:rPr>
        <w:t xml:space="preserve">Incorporeal property is a more suitable technical term in Scots law; however, </w:t>
      </w:r>
      <w:r w:rsidR="00262B39">
        <w:rPr>
          <w:rFonts w:ascii="Arial" w:eastAsia="Arial" w:hAnsi="Arial" w:cs="Arial"/>
          <w:sz w:val="24"/>
          <w:szCs w:val="24"/>
        </w:rPr>
        <w:t>it is unclear whether it or intangible property would be more understandable to non-lawyers.</w:t>
      </w:r>
      <w:r w:rsidR="00A4597C">
        <w:rPr>
          <w:rFonts w:ascii="Arial" w:eastAsia="Arial" w:hAnsi="Arial" w:cs="Arial"/>
          <w:sz w:val="24"/>
          <w:szCs w:val="24"/>
        </w:rPr>
        <w:t xml:space="preserve"> </w:t>
      </w:r>
    </w:p>
    <w:p w14:paraId="7AFFC76E" w14:textId="742974A4" w:rsidR="00FC5FE1" w:rsidRDefault="00FC5FE1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See also our answer to Q1 above, which would seem to be a more suitable approach. </w:t>
      </w:r>
    </w:p>
    <w:p w14:paraId="3465C53C" w14:textId="77777777" w:rsidR="00FC5FE1" w:rsidRPr="006B0BCD" w:rsidRDefault="00FC5FE1" w:rsidP="008D21A2">
      <w:pPr>
        <w:jc w:val="both"/>
        <w:rPr>
          <w:rFonts w:ascii="Arial" w:eastAsia="Arial" w:hAnsi="Arial" w:cs="Arial"/>
          <w:sz w:val="24"/>
          <w:szCs w:val="24"/>
        </w:rPr>
      </w:pPr>
    </w:p>
    <w:p w14:paraId="51A784FE" w14:textId="5A79F820" w:rsidR="16A1E4C2" w:rsidRPr="00FC5FE1" w:rsidRDefault="6C979749" w:rsidP="008D21A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C5FE1">
        <w:rPr>
          <w:rFonts w:ascii="Arial" w:eastAsia="Arial" w:hAnsi="Arial" w:cs="Arial"/>
          <w:b/>
          <w:bCs/>
          <w:sz w:val="24"/>
          <w:szCs w:val="24"/>
        </w:rPr>
        <w:t>Q4.</w:t>
      </w:r>
      <w:r w:rsidR="16A1E4C2" w:rsidRPr="00FC5FE1">
        <w:rPr>
          <w:b/>
          <w:bCs/>
        </w:rPr>
        <w:tab/>
      </w:r>
      <w:r w:rsidR="00972E3F" w:rsidRPr="00FC5FE1">
        <w:rPr>
          <w:rFonts w:ascii="Arial" w:eastAsia="Arial" w:hAnsi="Arial" w:cs="Arial"/>
          <w:b/>
          <w:bCs/>
          <w:sz w:val="24"/>
          <w:szCs w:val="24"/>
        </w:rPr>
        <w:t>Do you consider that any of the descriptions require to be further defined?</w:t>
      </w:r>
      <w:r w:rsidR="79CF29A9" w:rsidRPr="00FC5FE1">
        <w:rPr>
          <w:rFonts w:ascii="Arial" w:eastAsia="Arial" w:hAnsi="Arial" w:cs="Arial"/>
          <w:b/>
          <w:bCs/>
          <w:sz w:val="24"/>
          <w:szCs w:val="24"/>
        </w:rPr>
        <w:t xml:space="preserve">  For example, would it be useful or beneficial to replace the over-arching </w:t>
      </w:r>
      <w:r w:rsidR="0AF954AC" w:rsidRPr="00FC5FE1">
        <w:rPr>
          <w:rFonts w:ascii="Arial" w:eastAsia="Arial" w:hAnsi="Arial" w:cs="Arial"/>
          <w:b/>
          <w:bCs/>
          <w:sz w:val="24"/>
          <w:szCs w:val="24"/>
        </w:rPr>
        <w:t>category of ‘Royalties’ with specific examples such as ‘Trademarks’, ‘Patents’ or ‘Copyrights’ etc.</w:t>
      </w:r>
    </w:p>
    <w:p w14:paraId="5893561A" w14:textId="6F6BDAEE" w:rsidR="5B4955EF" w:rsidRDefault="00FC5FE1" w:rsidP="008D21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See our earlier answers. </w:t>
      </w:r>
      <w:r w:rsidR="00C83CB3">
        <w:rPr>
          <w:rFonts w:ascii="Arial" w:eastAsia="Arial" w:hAnsi="Arial" w:cs="Arial"/>
          <w:sz w:val="24"/>
          <w:szCs w:val="24"/>
        </w:rPr>
        <w:t>Royalties may not capture all claims relating to intellectual property and we would prefer alternative categories anyway.</w:t>
      </w:r>
    </w:p>
    <w:p w14:paraId="65F30F7D" w14:textId="77777777" w:rsidR="00FC5FE1" w:rsidRDefault="00FC5FE1" w:rsidP="008D21A2">
      <w:pPr>
        <w:jc w:val="both"/>
        <w:rPr>
          <w:rFonts w:ascii="Arial" w:eastAsia="Arial" w:hAnsi="Arial" w:cs="Arial"/>
          <w:sz w:val="24"/>
          <w:szCs w:val="24"/>
        </w:rPr>
      </w:pPr>
    </w:p>
    <w:p w14:paraId="18DA6700" w14:textId="26822833" w:rsidR="00782475" w:rsidRPr="00C83CB3" w:rsidRDefault="463DCAA1" w:rsidP="008D21A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83CB3">
        <w:rPr>
          <w:rFonts w:ascii="Arial" w:eastAsia="Arial" w:hAnsi="Arial" w:cs="Arial"/>
          <w:b/>
          <w:bCs/>
          <w:sz w:val="24"/>
          <w:szCs w:val="24"/>
        </w:rPr>
        <w:t>Q5.</w:t>
      </w:r>
      <w:r w:rsidR="00782475" w:rsidRPr="00C83CB3">
        <w:rPr>
          <w:b/>
          <w:bCs/>
        </w:rPr>
        <w:tab/>
      </w:r>
      <w:r w:rsidR="00782475" w:rsidRPr="00C83CB3">
        <w:rPr>
          <w:rFonts w:ascii="Arial" w:eastAsia="Arial" w:hAnsi="Arial" w:cs="Arial"/>
          <w:b/>
          <w:bCs/>
          <w:sz w:val="24"/>
          <w:szCs w:val="24"/>
        </w:rPr>
        <w:t>In other jurisdictions where it is relatively common to include an “all present and after-acquired property” they sometimes include a variation on that theme in terms of “all present and after-acquired property except</w:t>
      </w:r>
      <w:r w:rsidR="00C83CB3">
        <w:rPr>
          <w:rFonts w:ascii="Arial" w:eastAsia="Arial" w:hAnsi="Arial" w:cs="Arial"/>
          <w:b/>
          <w:bCs/>
          <w:sz w:val="24"/>
          <w:szCs w:val="24"/>
        </w:rPr>
        <w:t>…</w:t>
      </w:r>
      <w:r w:rsidR="00782475" w:rsidRPr="00C83CB3">
        <w:rPr>
          <w:rFonts w:ascii="Arial" w:eastAsia="Arial" w:hAnsi="Arial" w:cs="Arial"/>
          <w:b/>
          <w:bCs/>
          <w:sz w:val="24"/>
          <w:szCs w:val="24"/>
        </w:rPr>
        <w:t>” or “all present and after-acquired property relating to</w:t>
      </w:r>
      <w:r w:rsidR="00C83CB3">
        <w:rPr>
          <w:rFonts w:ascii="Arial" w:eastAsia="Arial" w:hAnsi="Arial" w:cs="Arial"/>
          <w:b/>
          <w:bCs/>
          <w:sz w:val="24"/>
          <w:szCs w:val="24"/>
        </w:rPr>
        <w:t>…</w:t>
      </w:r>
      <w:r w:rsidR="00782475" w:rsidRPr="00C83CB3">
        <w:rPr>
          <w:rFonts w:ascii="Arial" w:eastAsia="Arial" w:hAnsi="Arial" w:cs="Arial"/>
          <w:b/>
          <w:bCs/>
          <w:sz w:val="24"/>
          <w:szCs w:val="24"/>
        </w:rPr>
        <w:t xml:space="preserve">”.  </w:t>
      </w:r>
      <w:r w:rsidR="00287CFE" w:rsidRPr="00C83CB3">
        <w:rPr>
          <w:rFonts w:ascii="Arial" w:eastAsia="Arial" w:hAnsi="Arial" w:cs="Arial"/>
          <w:b/>
          <w:bCs/>
          <w:sz w:val="24"/>
          <w:szCs w:val="24"/>
        </w:rPr>
        <w:t>Would this be helpful?</w:t>
      </w:r>
      <w:r w:rsidR="140A4CE6" w:rsidRPr="00C83CB3">
        <w:rPr>
          <w:rFonts w:ascii="Arial" w:eastAsia="Arial" w:hAnsi="Arial" w:cs="Arial"/>
          <w:b/>
          <w:bCs/>
          <w:sz w:val="24"/>
          <w:szCs w:val="24"/>
        </w:rPr>
        <w:t xml:space="preserve">  Please give your reasons.</w:t>
      </w:r>
    </w:p>
    <w:p w14:paraId="5A86C21E" w14:textId="5D67AAD5" w:rsidR="5B4955EF" w:rsidRDefault="008F3EC7" w:rsidP="008D21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would be possible to include such a provision in relation to the other </w:t>
      </w:r>
      <w:r w:rsidR="00F53736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categories of property</w:t>
      </w:r>
      <w:r w:rsidR="00F53736">
        <w:rPr>
          <w:rFonts w:ascii="Arial" w:hAnsi="Arial" w:cs="Arial"/>
          <w:sz w:val="24"/>
          <w:szCs w:val="24"/>
        </w:rPr>
        <w:t>. However, this will</w:t>
      </w:r>
      <w:r w:rsidR="005D1663">
        <w:rPr>
          <w:rFonts w:ascii="Arial" w:hAnsi="Arial" w:cs="Arial"/>
          <w:sz w:val="24"/>
          <w:szCs w:val="24"/>
        </w:rPr>
        <w:t xml:space="preserve"> multiply the</w:t>
      </w:r>
      <w:r w:rsidR="00F53736">
        <w:rPr>
          <w:rFonts w:ascii="Arial" w:hAnsi="Arial" w:cs="Arial"/>
          <w:sz w:val="24"/>
          <w:szCs w:val="24"/>
        </w:rPr>
        <w:t xml:space="preserve"> categories </w:t>
      </w:r>
      <w:r w:rsidR="005D1663">
        <w:rPr>
          <w:rFonts w:ascii="Arial" w:hAnsi="Arial" w:cs="Arial"/>
          <w:sz w:val="24"/>
          <w:szCs w:val="24"/>
        </w:rPr>
        <w:t xml:space="preserve">and may be overly complicated. </w:t>
      </w:r>
      <w:r w:rsidR="00D85B80">
        <w:rPr>
          <w:rFonts w:ascii="Arial" w:hAnsi="Arial" w:cs="Arial"/>
          <w:sz w:val="24"/>
          <w:szCs w:val="24"/>
        </w:rPr>
        <w:t xml:space="preserve">In addition, if a relevant property category is selected, this will put a party seeking to </w:t>
      </w:r>
      <w:proofErr w:type="gramStart"/>
      <w:r w:rsidR="00D85B80">
        <w:rPr>
          <w:rFonts w:ascii="Arial" w:hAnsi="Arial" w:cs="Arial"/>
          <w:sz w:val="24"/>
          <w:szCs w:val="24"/>
        </w:rPr>
        <w:t>enter into</w:t>
      </w:r>
      <w:proofErr w:type="gramEnd"/>
      <w:r w:rsidR="00D85B80">
        <w:rPr>
          <w:rFonts w:ascii="Arial" w:hAnsi="Arial" w:cs="Arial"/>
          <w:sz w:val="24"/>
          <w:szCs w:val="24"/>
        </w:rPr>
        <w:t xml:space="preserve"> a transaction </w:t>
      </w:r>
      <w:r w:rsidR="008F629E">
        <w:rPr>
          <w:rFonts w:ascii="Arial" w:hAnsi="Arial" w:cs="Arial"/>
          <w:sz w:val="24"/>
          <w:szCs w:val="24"/>
        </w:rPr>
        <w:t>involving</w:t>
      </w:r>
      <w:r w:rsidR="00D85B80">
        <w:rPr>
          <w:rFonts w:ascii="Arial" w:hAnsi="Arial" w:cs="Arial"/>
          <w:sz w:val="24"/>
          <w:szCs w:val="24"/>
        </w:rPr>
        <w:t xml:space="preserve"> property in that category on notice and to undertake further enquiries</w:t>
      </w:r>
      <w:r w:rsidR="008F629E">
        <w:rPr>
          <w:rFonts w:ascii="Arial" w:hAnsi="Arial" w:cs="Arial"/>
          <w:sz w:val="24"/>
          <w:szCs w:val="24"/>
        </w:rPr>
        <w:t xml:space="preserve"> as to whether all property in the category is already </w:t>
      </w:r>
      <w:r w:rsidR="002F6E53">
        <w:rPr>
          <w:rFonts w:ascii="Arial" w:hAnsi="Arial" w:cs="Arial"/>
          <w:sz w:val="24"/>
          <w:szCs w:val="24"/>
        </w:rPr>
        <w:t>encumbered or only some of it</w:t>
      </w:r>
      <w:r w:rsidR="00D85B80">
        <w:rPr>
          <w:rFonts w:ascii="Arial" w:hAnsi="Arial" w:cs="Arial"/>
          <w:sz w:val="24"/>
          <w:szCs w:val="24"/>
        </w:rPr>
        <w:t xml:space="preserve">. As such, </w:t>
      </w:r>
      <w:r w:rsidR="002F6E53">
        <w:rPr>
          <w:rFonts w:ascii="Arial" w:hAnsi="Arial" w:cs="Arial"/>
          <w:sz w:val="24"/>
          <w:szCs w:val="24"/>
        </w:rPr>
        <w:t xml:space="preserve">including </w:t>
      </w:r>
      <w:r w:rsidR="00F417B1">
        <w:rPr>
          <w:rFonts w:ascii="Arial" w:hAnsi="Arial" w:cs="Arial"/>
          <w:sz w:val="24"/>
          <w:szCs w:val="24"/>
        </w:rPr>
        <w:t xml:space="preserve">categories for e.g. “all present and after-acquired” motor vehicles or plant and machinery or equipment etc </w:t>
      </w:r>
      <w:r w:rsidR="00F7647E">
        <w:rPr>
          <w:rFonts w:ascii="Arial" w:hAnsi="Arial" w:cs="Arial"/>
          <w:sz w:val="24"/>
          <w:szCs w:val="24"/>
        </w:rPr>
        <w:t xml:space="preserve">would not be particularly useful. </w:t>
      </w:r>
    </w:p>
    <w:p w14:paraId="1526FDA0" w14:textId="586CCEF5" w:rsidR="00F7647E" w:rsidRDefault="000D7246" w:rsidP="008D21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might be difficult to construct a suitable category that </w:t>
      </w:r>
      <w:r w:rsidR="00A920F1">
        <w:rPr>
          <w:rFonts w:ascii="Arial" w:hAnsi="Arial" w:cs="Arial"/>
          <w:sz w:val="24"/>
          <w:szCs w:val="24"/>
        </w:rPr>
        <w:t>comprises</w:t>
      </w:r>
      <w:r>
        <w:rPr>
          <w:rFonts w:ascii="Arial" w:hAnsi="Arial" w:cs="Arial"/>
          <w:sz w:val="24"/>
          <w:szCs w:val="24"/>
        </w:rPr>
        <w:t xml:space="preserve"> of all </w:t>
      </w:r>
      <w:r w:rsidR="00A920F1">
        <w:rPr>
          <w:rFonts w:ascii="Arial" w:hAnsi="Arial" w:cs="Arial"/>
          <w:sz w:val="24"/>
          <w:szCs w:val="24"/>
        </w:rPr>
        <w:t>present and after-acquired claims/property subject to some exceptions. Instead, parties could just se</w:t>
      </w:r>
      <w:r w:rsidR="00CC0FA5">
        <w:rPr>
          <w:rFonts w:ascii="Arial" w:hAnsi="Arial" w:cs="Arial"/>
          <w:sz w:val="24"/>
          <w:szCs w:val="24"/>
        </w:rPr>
        <w:t xml:space="preserve">lect all other categories and then provide a brief explanatory note under e.g. the “other” category, if such a facility is made available. </w:t>
      </w:r>
      <w:r w:rsidR="00282DAA">
        <w:rPr>
          <w:rFonts w:ascii="Arial" w:hAnsi="Arial" w:cs="Arial"/>
          <w:sz w:val="24"/>
          <w:szCs w:val="24"/>
        </w:rPr>
        <w:t xml:space="preserve">Alternatively, a </w:t>
      </w:r>
      <w:r w:rsidR="00101C34">
        <w:rPr>
          <w:rFonts w:ascii="Arial" w:hAnsi="Arial" w:cs="Arial"/>
          <w:sz w:val="24"/>
          <w:szCs w:val="24"/>
        </w:rPr>
        <w:t xml:space="preserve">general </w:t>
      </w:r>
      <w:r w:rsidR="00282DAA">
        <w:rPr>
          <w:rFonts w:ascii="Arial" w:hAnsi="Arial" w:cs="Arial"/>
          <w:sz w:val="24"/>
          <w:szCs w:val="24"/>
        </w:rPr>
        <w:t xml:space="preserve">box </w:t>
      </w:r>
      <w:r w:rsidR="00EB5067">
        <w:rPr>
          <w:rFonts w:ascii="Arial" w:hAnsi="Arial" w:cs="Arial"/>
          <w:sz w:val="24"/>
          <w:szCs w:val="24"/>
        </w:rPr>
        <w:t xml:space="preserve">could be </w:t>
      </w:r>
      <w:r w:rsidR="00101C34">
        <w:rPr>
          <w:rFonts w:ascii="Arial" w:hAnsi="Arial" w:cs="Arial"/>
          <w:sz w:val="24"/>
          <w:szCs w:val="24"/>
        </w:rPr>
        <w:t>included</w:t>
      </w:r>
      <w:r w:rsidR="00EB5067">
        <w:rPr>
          <w:rFonts w:ascii="Arial" w:hAnsi="Arial" w:cs="Arial"/>
          <w:sz w:val="24"/>
          <w:szCs w:val="24"/>
        </w:rPr>
        <w:t xml:space="preserve"> </w:t>
      </w:r>
      <w:r w:rsidR="00101C34">
        <w:rPr>
          <w:rFonts w:ascii="Arial" w:hAnsi="Arial" w:cs="Arial"/>
          <w:sz w:val="24"/>
          <w:szCs w:val="24"/>
        </w:rPr>
        <w:t>to allow for the provision of more information</w:t>
      </w:r>
      <w:r w:rsidR="003A25B1">
        <w:rPr>
          <w:rFonts w:ascii="Arial" w:hAnsi="Arial" w:cs="Arial"/>
          <w:sz w:val="24"/>
          <w:szCs w:val="24"/>
        </w:rPr>
        <w:t>,</w:t>
      </w:r>
      <w:r w:rsidR="00EB5067">
        <w:rPr>
          <w:rFonts w:ascii="Arial" w:hAnsi="Arial" w:cs="Arial"/>
          <w:sz w:val="24"/>
          <w:szCs w:val="24"/>
        </w:rPr>
        <w:t xml:space="preserve"> or </w:t>
      </w:r>
      <w:r w:rsidR="003A25B1">
        <w:rPr>
          <w:rFonts w:ascii="Arial" w:hAnsi="Arial" w:cs="Arial"/>
          <w:sz w:val="24"/>
          <w:szCs w:val="24"/>
        </w:rPr>
        <w:t xml:space="preserve">such a box could be </w:t>
      </w:r>
      <w:r w:rsidR="00EB5067">
        <w:rPr>
          <w:rFonts w:ascii="Arial" w:hAnsi="Arial" w:cs="Arial"/>
          <w:sz w:val="24"/>
          <w:szCs w:val="24"/>
        </w:rPr>
        <w:t xml:space="preserve">connected to the all present and after-acquired claims/property category, so that further details can be provided. </w:t>
      </w:r>
    </w:p>
    <w:p w14:paraId="73887BEB" w14:textId="77777777" w:rsidR="00C83CB3" w:rsidRDefault="00C83CB3" w:rsidP="008D21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963F3CB" w14:textId="2F9F2F9A" w:rsidR="00782475" w:rsidRPr="008979FA" w:rsidRDefault="140A4CE6" w:rsidP="008D21A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9FA">
        <w:rPr>
          <w:rFonts w:ascii="Arial" w:hAnsi="Arial" w:cs="Arial"/>
          <w:b/>
          <w:bCs/>
          <w:sz w:val="24"/>
          <w:szCs w:val="24"/>
        </w:rPr>
        <w:t>Q6.</w:t>
      </w:r>
      <w:r w:rsidR="26EF399D" w:rsidRPr="008979FA">
        <w:rPr>
          <w:b/>
          <w:bCs/>
        </w:rPr>
        <w:tab/>
      </w:r>
      <w:r w:rsidR="26EF399D" w:rsidRPr="008979FA">
        <w:rPr>
          <w:rFonts w:ascii="Arial" w:hAnsi="Arial" w:cs="Arial"/>
          <w:b/>
          <w:bCs/>
          <w:sz w:val="24"/>
          <w:szCs w:val="24"/>
        </w:rPr>
        <w:t xml:space="preserve">One </w:t>
      </w:r>
      <w:proofErr w:type="gramStart"/>
      <w:r w:rsidR="26EF399D" w:rsidRPr="008979FA">
        <w:rPr>
          <w:rFonts w:ascii="Arial" w:hAnsi="Arial" w:cs="Arial"/>
          <w:b/>
          <w:bCs/>
          <w:sz w:val="24"/>
          <w:szCs w:val="24"/>
        </w:rPr>
        <w:t>particular issue</w:t>
      </w:r>
      <w:proofErr w:type="gramEnd"/>
      <w:r w:rsidR="26EF399D" w:rsidRPr="008979FA">
        <w:rPr>
          <w:rFonts w:ascii="Arial" w:hAnsi="Arial" w:cs="Arial"/>
          <w:b/>
          <w:bCs/>
          <w:sz w:val="24"/>
          <w:szCs w:val="24"/>
        </w:rPr>
        <w:t xml:space="preserve"> which has arisen is whether a distinction between</w:t>
      </w:r>
      <w:r w:rsidR="0C88DDBC" w:rsidRPr="008979FA">
        <w:rPr>
          <w:rFonts w:ascii="Arial" w:hAnsi="Arial" w:cs="Arial"/>
          <w:b/>
          <w:bCs/>
          <w:sz w:val="24"/>
          <w:szCs w:val="24"/>
        </w:rPr>
        <w:t>, on the one hand,</w:t>
      </w:r>
      <w:r w:rsidR="26EF399D" w:rsidRPr="008979FA">
        <w:rPr>
          <w:rFonts w:ascii="Arial" w:hAnsi="Arial" w:cs="Arial"/>
          <w:b/>
          <w:bCs/>
          <w:sz w:val="24"/>
          <w:szCs w:val="24"/>
        </w:rPr>
        <w:t xml:space="preserve"> an assignation over the entire book debt of the assignor and </w:t>
      </w:r>
      <w:r w:rsidR="723418CA" w:rsidRPr="008979FA">
        <w:rPr>
          <w:rFonts w:ascii="Arial" w:hAnsi="Arial" w:cs="Arial"/>
          <w:b/>
          <w:bCs/>
          <w:sz w:val="24"/>
          <w:szCs w:val="24"/>
        </w:rPr>
        <w:lastRenderedPageBreak/>
        <w:t xml:space="preserve">on the other hand, </w:t>
      </w:r>
      <w:r w:rsidR="26EF399D" w:rsidRPr="008979FA">
        <w:rPr>
          <w:rFonts w:ascii="Arial" w:hAnsi="Arial" w:cs="Arial"/>
          <w:b/>
          <w:bCs/>
          <w:sz w:val="24"/>
          <w:szCs w:val="24"/>
        </w:rPr>
        <w:t xml:space="preserve">an assignation of a specific set of invoices </w:t>
      </w:r>
      <w:r w:rsidR="79F8B18F" w:rsidRPr="008979FA">
        <w:rPr>
          <w:rFonts w:ascii="Arial" w:hAnsi="Arial" w:cs="Arial"/>
          <w:b/>
          <w:bCs/>
          <w:sz w:val="24"/>
          <w:szCs w:val="24"/>
        </w:rPr>
        <w:t>from named debtors of th</w:t>
      </w:r>
      <w:r w:rsidR="06224758" w:rsidRPr="008979FA">
        <w:rPr>
          <w:rFonts w:ascii="Arial" w:hAnsi="Arial" w:cs="Arial"/>
          <w:b/>
          <w:bCs/>
          <w:sz w:val="24"/>
          <w:szCs w:val="24"/>
        </w:rPr>
        <w:t>e</w:t>
      </w:r>
      <w:r w:rsidR="79F8B18F" w:rsidRPr="008979FA">
        <w:rPr>
          <w:rFonts w:ascii="Arial" w:hAnsi="Arial" w:cs="Arial"/>
          <w:b/>
          <w:bCs/>
          <w:sz w:val="24"/>
          <w:szCs w:val="24"/>
        </w:rPr>
        <w:t xml:space="preserve"> assignor is required.  Again, your views on the need for such a distinction are welcome.</w:t>
      </w:r>
    </w:p>
    <w:p w14:paraId="36D149E2" w14:textId="444DF7B9" w:rsidR="00663711" w:rsidRPr="008979FA" w:rsidRDefault="008979FA" w:rsidP="008D21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</w:t>
      </w:r>
      <w:r w:rsidR="009B2580">
        <w:rPr>
          <w:rFonts w:ascii="Arial" w:hAnsi="Arial" w:cs="Arial"/>
          <w:sz w:val="24"/>
          <w:szCs w:val="24"/>
        </w:rPr>
        <w:t xml:space="preserve">our answers to the earlier questions. </w:t>
      </w:r>
      <w:r w:rsidR="00865A31">
        <w:rPr>
          <w:rFonts w:ascii="Arial" w:hAnsi="Arial" w:cs="Arial"/>
          <w:sz w:val="24"/>
          <w:szCs w:val="24"/>
        </w:rPr>
        <w:t>As mentioned, w</w:t>
      </w:r>
      <w:r w:rsidR="00ED760F">
        <w:rPr>
          <w:rFonts w:ascii="Arial" w:hAnsi="Arial" w:cs="Arial"/>
          <w:sz w:val="24"/>
          <w:szCs w:val="24"/>
        </w:rPr>
        <w:t>e think consideration should be given to the inclusion of a</w:t>
      </w:r>
      <w:r w:rsidR="002122B9">
        <w:rPr>
          <w:rFonts w:ascii="Arial" w:hAnsi="Arial" w:cs="Arial"/>
          <w:sz w:val="24"/>
          <w:szCs w:val="24"/>
        </w:rPr>
        <w:t>n “all present and after-acquired claims” category</w:t>
      </w:r>
      <w:r w:rsidR="00DB2CD3">
        <w:rPr>
          <w:rFonts w:ascii="Arial" w:hAnsi="Arial" w:cs="Arial"/>
          <w:sz w:val="24"/>
          <w:szCs w:val="24"/>
        </w:rPr>
        <w:t xml:space="preserve">, but this would extend significantly beyond the </w:t>
      </w:r>
      <w:r w:rsidR="004C1875">
        <w:rPr>
          <w:rFonts w:ascii="Arial" w:hAnsi="Arial" w:cs="Arial"/>
          <w:sz w:val="24"/>
          <w:szCs w:val="24"/>
        </w:rPr>
        <w:t xml:space="preserve">extent of the assignations in this question. </w:t>
      </w:r>
      <w:r w:rsidR="00A87919">
        <w:rPr>
          <w:rFonts w:ascii="Arial" w:hAnsi="Arial" w:cs="Arial"/>
          <w:sz w:val="24"/>
          <w:szCs w:val="24"/>
        </w:rPr>
        <w:t xml:space="preserve">If there is to be a book debts category, as well as a </w:t>
      </w:r>
      <w:r w:rsidR="00DB766A">
        <w:rPr>
          <w:rFonts w:ascii="Arial" w:hAnsi="Arial" w:cs="Arial"/>
          <w:sz w:val="24"/>
          <w:szCs w:val="24"/>
        </w:rPr>
        <w:t xml:space="preserve">general box allowing for further information to be entered, a distinction could be drawn between the two </w:t>
      </w:r>
      <w:r w:rsidR="00031EA5">
        <w:rPr>
          <w:rFonts w:ascii="Arial" w:hAnsi="Arial" w:cs="Arial"/>
          <w:sz w:val="24"/>
          <w:szCs w:val="24"/>
        </w:rPr>
        <w:t xml:space="preserve">assignations in the question. However, </w:t>
      </w:r>
      <w:r w:rsidR="009C5873">
        <w:rPr>
          <w:rFonts w:ascii="Arial" w:hAnsi="Arial" w:cs="Arial"/>
          <w:sz w:val="24"/>
          <w:szCs w:val="24"/>
        </w:rPr>
        <w:t>we question whether it is truly</w:t>
      </w:r>
      <w:r w:rsidR="00031EA5">
        <w:rPr>
          <w:rFonts w:ascii="Arial" w:hAnsi="Arial" w:cs="Arial"/>
          <w:sz w:val="24"/>
          <w:szCs w:val="24"/>
        </w:rPr>
        <w:t xml:space="preserve"> necessary</w:t>
      </w:r>
      <w:r w:rsidR="00A16084">
        <w:rPr>
          <w:rFonts w:ascii="Arial" w:hAnsi="Arial" w:cs="Arial"/>
          <w:sz w:val="24"/>
          <w:szCs w:val="24"/>
        </w:rPr>
        <w:t xml:space="preserve"> </w:t>
      </w:r>
      <w:r w:rsidR="00711FAC">
        <w:rPr>
          <w:rFonts w:ascii="Arial" w:hAnsi="Arial" w:cs="Arial"/>
          <w:sz w:val="24"/>
          <w:szCs w:val="24"/>
        </w:rPr>
        <w:t xml:space="preserve">for such </w:t>
      </w:r>
      <w:r w:rsidR="007020A4">
        <w:rPr>
          <w:rFonts w:ascii="Arial" w:hAnsi="Arial" w:cs="Arial"/>
          <w:sz w:val="24"/>
          <w:szCs w:val="24"/>
        </w:rPr>
        <w:t xml:space="preserve">distinguishing </w:t>
      </w:r>
      <w:r w:rsidR="00C65654">
        <w:rPr>
          <w:rFonts w:ascii="Arial" w:hAnsi="Arial" w:cs="Arial"/>
          <w:sz w:val="24"/>
          <w:szCs w:val="24"/>
        </w:rPr>
        <w:t xml:space="preserve">details </w:t>
      </w:r>
      <w:r w:rsidR="00A16084">
        <w:rPr>
          <w:rFonts w:ascii="Arial" w:hAnsi="Arial" w:cs="Arial"/>
          <w:sz w:val="24"/>
          <w:szCs w:val="24"/>
        </w:rPr>
        <w:t>to be provided</w:t>
      </w:r>
      <w:r w:rsidR="002122B9">
        <w:rPr>
          <w:rFonts w:ascii="Arial" w:hAnsi="Arial" w:cs="Arial"/>
          <w:sz w:val="24"/>
          <w:szCs w:val="24"/>
        </w:rPr>
        <w:t>.</w:t>
      </w:r>
    </w:p>
    <w:p w14:paraId="12678D23" w14:textId="5A981185" w:rsidR="5B4955EF" w:rsidRDefault="5B4955EF" w:rsidP="008D21A2">
      <w:pPr>
        <w:jc w:val="both"/>
        <w:rPr>
          <w:rFonts w:ascii="Arial" w:eastAsia="Calibri" w:hAnsi="Arial" w:cs="Arial"/>
          <w:sz w:val="24"/>
          <w:szCs w:val="24"/>
        </w:rPr>
      </w:pPr>
    </w:p>
    <w:p w14:paraId="479FC8FD" w14:textId="459B1FC8" w:rsidR="355373A6" w:rsidRPr="00C716E7" w:rsidRDefault="355373A6" w:rsidP="008D21A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716E7">
        <w:rPr>
          <w:rFonts w:ascii="Arial" w:eastAsia="Calibri" w:hAnsi="Arial" w:cs="Arial"/>
          <w:b/>
          <w:bCs/>
          <w:sz w:val="24"/>
          <w:szCs w:val="24"/>
        </w:rPr>
        <w:t>Q7.</w:t>
      </w:r>
      <w:r w:rsidRPr="00C716E7">
        <w:rPr>
          <w:b/>
          <w:bCs/>
        </w:rPr>
        <w:tab/>
      </w:r>
      <w:r w:rsidRPr="00C716E7">
        <w:rPr>
          <w:rFonts w:ascii="Arial" w:eastAsia="Calibri" w:hAnsi="Arial" w:cs="Arial"/>
          <w:b/>
          <w:bCs/>
          <w:sz w:val="24"/>
          <w:szCs w:val="24"/>
        </w:rPr>
        <w:t>What are your views on the need to provide a unique numerical identifier (where relevant</w:t>
      </w:r>
      <w:r w:rsidR="00017E3A">
        <w:rPr>
          <w:rFonts w:ascii="Arial" w:eastAsia="Calibri" w:hAnsi="Arial" w:cs="Arial"/>
          <w:b/>
          <w:bCs/>
          <w:sz w:val="24"/>
          <w:szCs w:val="24"/>
        </w:rPr>
        <w:t>)</w:t>
      </w:r>
      <w:r w:rsidRPr="00C716E7">
        <w:rPr>
          <w:rFonts w:ascii="Arial" w:eastAsia="Calibri" w:hAnsi="Arial" w:cs="Arial"/>
          <w:b/>
          <w:bCs/>
          <w:sz w:val="24"/>
          <w:szCs w:val="24"/>
        </w:rPr>
        <w:t>?  It would helpful if you can give reasons for your re</w:t>
      </w:r>
      <w:r w:rsidR="3EF543B7" w:rsidRPr="00C716E7">
        <w:rPr>
          <w:rFonts w:ascii="Arial" w:eastAsia="Calibri" w:hAnsi="Arial" w:cs="Arial"/>
          <w:b/>
          <w:bCs/>
          <w:sz w:val="24"/>
          <w:szCs w:val="24"/>
        </w:rPr>
        <w:t>s</w:t>
      </w:r>
      <w:r w:rsidRPr="00C716E7">
        <w:rPr>
          <w:rFonts w:ascii="Arial" w:eastAsia="Calibri" w:hAnsi="Arial" w:cs="Arial"/>
          <w:b/>
          <w:bCs/>
          <w:sz w:val="24"/>
          <w:szCs w:val="24"/>
        </w:rPr>
        <w:t>ponse.</w:t>
      </w:r>
    </w:p>
    <w:p w14:paraId="1F17695A" w14:textId="66E47946" w:rsidR="5B4955EF" w:rsidRDefault="00017E3A" w:rsidP="008D21A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 support the</w:t>
      </w:r>
      <w:r w:rsidR="00210F64">
        <w:rPr>
          <w:rFonts w:ascii="Arial" w:eastAsia="Calibri" w:hAnsi="Arial" w:cs="Arial"/>
          <w:sz w:val="24"/>
          <w:szCs w:val="24"/>
        </w:rPr>
        <w:t xml:space="preserve"> requirement for a unique numerical identifier to be provided where applicable. This is most obviously the case for </w:t>
      </w:r>
      <w:r w:rsidR="00F042CA">
        <w:rPr>
          <w:rFonts w:ascii="Arial" w:eastAsia="Calibri" w:hAnsi="Arial" w:cs="Arial"/>
          <w:sz w:val="24"/>
          <w:szCs w:val="24"/>
        </w:rPr>
        <w:t xml:space="preserve">VINs for </w:t>
      </w:r>
      <w:r w:rsidR="00CD3D37">
        <w:rPr>
          <w:rFonts w:ascii="Arial" w:eastAsia="Calibri" w:hAnsi="Arial" w:cs="Arial"/>
          <w:sz w:val="24"/>
          <w:szCs w:val="24"/>
        </w:rPr>
        <w:t xml:space="preserve">motor </w:t>
      </w:r>
      <w:r w:rsidR="00210F64">
        <w:rPr>
          <w:rFonts w:ascii="Arial" w:eastAsia="Calibri" w:hAnsi="Arial" w:cs="Arial"/>
          <w:sz w:val="24"/>
          <w:szCs w:val="24"/>
        </w:rPr>
        <w:t xml:space="preserve">vehicles. </w:t>
      </w:r>
      <w:r w:rsidR="00ED4683">
        <w:rPr>
          <w:rFonts w:ascii="Arial" w:eastAsia="Calibri" w:hAnsi="Arial" w:cs="Arial"/>
          <w:sz w:val="24"/>
          <w:szCs w:val="24"/>
        </w:rPr>
        <w:t>We agree that if the security is to relate to future property for which there will ultimately be unique numerical identifiers</w:t>
      </w:r>
      <w:r w:rsidR="00982C49">
        <w:rPr>
          <w:rFonts w:ascii="Arial" w:eastAsia="Calibri" w:hAnsi="Arial" w:cs="Arial"/>
          <w:sz w:val="24"/>
          <w:szCs w:val="24"/>
        </w:rPr>
        <w:t>, then such numerical identifiers should not need to be provided</w:t>
      </w:r>
      <w:r w:rsidR="00C65654">
        <w:rPr>
          <w:rFonts w:ascii="Arial" w:eastAsia="Calibri" w:hAnsi="Arial" w:cs="Arial"/>
          <w:sz w:val="24"/>
          <w:szCs w:val="24"/>
        </w:rPr>
        <w:t xml:space="preserve"> when they are </w:t>
      </w:r>
      <w:r w:rsidR="0090562D">
        <w:rPr>
          <w:rFonts w:ascii="Arial" w:eastAsia="Calibri" w:hAnsi="Arial" w:cs="Arial"/>
          <w:sz w:val="24"/>
          <w:szCs w:val="24"/>
        </w:rPr>
        <w:t xml:space="preserve">subsequently </w:t>
      </w:r>
      <w:r w:rsidR="00C65654">
        <w:rPr>
          <w:rFonts w:ascii="Arial" w:eastAsia="Calibri" w:hAnsi="Arial" w:cs="Arial"/>
          <w:sz w:val="24"/>
          <w:szCs w:val="24"/>
        </w:rPr>
        <w:t>known</w:t>
      </w:r>
      <w:r w:rsidR="00982C49">
        <w:rPr>
          <w:rFonts w:ascii="Arial" w:eastAsia="Calibri" w:hAnsi="Arial" w:cs="Arial"/>
          <w:sz w:val="24"/>
          <w:szCs w:val="24"/>
        </w:rPr>
        <w:t xml:space="preserve">. </w:t>
      </w:r>
      <w:r w:rsidR="000718F5">
        <w:rPr>
          <w:rFonts w:ascii="Arial" w:eastAsia="Calibri" w:hAnsi="Arial" w:cs="Arial"/>
          <w:sz w:val="24"/>
          <w:szCs w:val="24"/>
        </w:rPr>
        <w:t>A contrary approach would undermine the creation of security over certain types of future property.</w:t>
      </w:r>
      <w:r w:rsidR="00C319B5">
        <w:rPr>
          <w:rFonts w:ascii="Arial" w:eastAsia="Calibri" w:hAnsi="Arial" w:cs="Arial"/>
          <w:sz w:val="24"/>
          <w:szCs w:val="24"/>
        </w:rPr>
        <w:t xml:space="preserve"> </w:t>
      </w:r>
    </w:p>
    <w:p w14:paraId="280ADD5E" w14:textId="77777777" w:rsidR="00017E3A" w:rsidRDefault="00017E3A" w:rsidP="008D21A2">
      <w:pPr>
        <w:jc w:val="both"/>
        <w:rPr>
          <w:rFonts w:ascii="Arial" w:eastAsia="Calibri" w:hAnsi="Arial" w:cs="Arial"/>
          <w:sz w:val="24"/>
          <w:szCs w:val="24"/>
        </w:rPr>
      </w:pPr>
    </w:p>
    <w:p w14:paraId="6B158FFC" w14:textId="2991B5A5" w:rsidR="355373A6" w:rsidRPr="00C716E7" w:rsidRDefault="355373A6" w:rsidP="008D21A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716E7">
        <w:rPr>
          <w:rFonts w:ascii="Arial" w:eastAsia="Calibri" w:hAnsi="Arial" w:cs="Arial"/>
          <w:b/>
          <w:bCs/>
          <w:sz w:val="24"/>
          <w:szCs w:val="24"/>
        </w:rPr>
        <w:t>Q8.</w:t>
      </w:r>
      <w:r w:rsidRPr="00C716E7">
        <w:rPr>
          <w:b/>
          <w:bCs/>
        </w:rPr>
        <w:tab/>
      </w:r>
      <w:r w:rsidR="44EA90A5" w:rsidRPr="00C716E7">
        <w:rPr>
          <w:rFonts w:ascii="Arial" w:eastAsia="Calibri" w:hAnsi="Arial" w:cs="Arial"/>
          <w:b/>
          <w:bCs/>
          <w:sz w:val="24"/>
          <w:szCs w:val="24"/>
        </w:rPr>
        <w:t>Are you aware of other types of property which would have a unique identification number?</w:t>
      </w:r>
    </w:p>
    <w:p w14:paraId="33063277" w14:textId="02D755FD" w:rsidR="5B4955EF" w:rsidRDefault="008359BF" w:rsidP="008D21A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 note that patent registration numbers are subject to change as the application progresses; however, the position changes once the application process is completed. As such, if a statutory pledge is to be granted over a registered patent, it may be desirable to require the relevant registration number to be included.</w:t>
      </w:r>
    </w:p>
    <w:p w14:paraId="33783ABB" w14:textId="7C22A75B" w:rsidR="00DD43A0" w:rsidRPr="006B0BCD" w:rsidRDefault="00DD43A0" w:rsidP="008D21A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A11518" w14:textId="40CB09C6" w:rsidR="00DD43A0" w:rsidRDefault="2C36A7A5" w:rsidP="008D21A2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716E7">
        <w:rPr>
          <w:rFonts w:ascii="Arial" w:hAnsi="Arial" w:cs="Arial"/>
          <w:b/>
          <w:bCs/>
          <w:color w:val="000000" w:themeColor="text1"/>
          <w:sz w:val="24"/>
          <w:szCs w:val="24"/>
        </w:rPr>
        <w:t>Q9.</w:t>
      </w:r>
      <w:r w:rsidR="00DD43A0" w:rsidRPr="00C716E7">
        <w:rPr>
          <w:b/>
          <w:bCs/>
        </w:rPr>
        <w:tab/>
      </w:r>
      <w:r w:rsidR="0046054A" w:rsidRPr="00C716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you have any comments about this </w:t>
      </w:r>
      <w:r w:rsidR="00BC0A29" w:rsidRPr="00C716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proposed </w:t>
      </w:r>
      <w:r w:rsidR="0046054A" w:rsidRPr="00C716E7">
        <w:rPr>
          <w:rFonts w:ascii="Arial" w:hAnsi="Arial" w:cs="Arial"/>
          <w:b/>
          <w:bCs/>
          <w:color w:val="000000" w:themeColor="text1"/>
          <w:sz w:val="24"/>
          <w:szCs w:val="24"/>
        </w:rPr>
        <w:t>approach?</w:t>
      </w:r>
    </w:p>
    <w:p w14:paraId="11246E4A" w14:textId="22F37680" w:rsidR="00414F11" w:rsidRPr="00414F11" w:rsidRDefault="0090562D" w:rsidP="008D21A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consider that where the relevant information exists, it should be mandatory to include it. We cannot see why this would be problematic and it would maximise consistency.</w:t>
      </w:r>
    </w:p>
    <w:sectPr w:rsidR="00414F11" w:rsidRPr="00414F11" w:rsidSect="00B561C0">
      <w:foot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0A1C" w14:textId="77777777" w:rsidR="00632740" w:rsidRDefault="00632740" w:rsidP="00FA19CC">
      <w:pPr>
        <w:spacing w:after="0" w:line="240" w:lineRule="auto"/>
      </w:pPr>
      <w:r>
        <w:separator/>
      </w:r>
    </w:p>
  </w:endnote>
  <w:endnote w:type="continuationSeparator" w:id="0">
    <w:p w14:paraId="11F17480" w14:textId="77777777" w:rsidR="00632740" w:rsidRDefault="00632740" w:rsidP="00FA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1940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9FEBBFB" w14:textId="74F9FF86" w:rsidR="00EA1F25" w:rsidRPr="00E25BBE" w:rsidRDefault="00EA1F25">
        <w:pPr>
          <w:pStyle w:val="Footer"/>
          <w:jc w:val="center"/>
          <w:rPr>
            <w:rFonts w:ascii="Arial" w:hAnsi="Arial" w:cs="Arial"/>
          </w:rPr>
        </w:pPr>
        <w:r w:rsidRPr="00E25BBE">
          <w:rPr>
            <w:rFonts w:ascii="Arial" w:hAnsi="Arial" w:cs="Arial"/>
          </w:rPr>
          <w:fldChar w:fldCharType="begin"/>
        </w:r>
        <w:r w:rsidRPr="00E25BBE">
          <w:rPr>
            <w:rFonts w:ascii="Arial" w:hAnsi="Arial" w:cs="Arial"/>
          </w:rPr>
          <w:instrText xml:space="preserve"> PAGE   \* MERGEFORMAT </w:instrText>
        </w:r>
        <w:r w:rsidRPr="00E25BBE">
          <w:rPr>
            <w:rFonts w:ascii="Arial" w:hAnsi="Arial" w:cs="Arial"/>
          </w:rPr>
          <w:fldChar w:fldCharType="separate"/>
        </w:r>
        <w:r w:rsidRPr="00E25BBE">
          <w:rPr>
            <w:rFonts w:ascii="Arial" w:hAnsi="Arial" w:cs="Arial"/>
            <w:noProof/>
          </w:rPr>
          <w:t>2</w:t>
        </w:r>
        <w:r w:rsidRPr="00E25BBE">
          <w:rPr>
            <w:rFonts w:ascii="Arial" w:hAnsi="Arial" w:cs="Arial"/>
            <w:noProof/>
          </w:rPr>
          <w:fldChar w:fldCharType="end"/>
        </w:r>
      </w:p>
    </w:sdtContent>
  </w:sdt>
  <w:p w14:paraId="30A7DBE5" w14:textId="77777777" w:rsidR="00EA1F25" w:rsidRDefault="00E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FF1" w14:textId="77777777" w:rsidR="00632740" w:rsidRDefault="00632740" w:rsidP="00FA19CC">
      <w:pPr>
        <w:spacing w:after="0" w:line="240" w:lineRule="auto"/>
      </w:pPr>
      <w:r>
        <w:separator/>
      </w:r>
    </w:p>
  </w:footnote>
  <w:footnote w:type="continuationSeparator" w:id="0">
    <w:p w14:paraId="602A3109" w14:textId="77777777" w:rsidR="00632740" w:rsidRDefault="00632740" w:rsidP="00FA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96E2D56"/>
    <w:multiLevelType w:val="hybridMultilevel"/>
    <w:tmpl w:val="2A824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2706"/>
    <w:multiLevelType w:val="hybridMultilevel"/>
    <w:tmpl w:val="F5BA8D1A"/>
    <w:lvl w:ilvl="0" w:tplc="6748958C">
      <w:start w:val="1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5C67"/>
    <w:multiLevelType w:val="hybridMultilevel"/>
    <w:tmpl w:val="2CE4B280"/>
    <w:lvl w:ilvl="0" w:tplc="80C0C780">
      <w:start w:val="6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0014"/>
    <w:multiLevelType w:val="hybridMultilevel"/>
    <w:tmpl w:val="12269D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3412681">
    <w:abstractNumId w:val="5"/>
  </w:num>
  <w:num w:numId="2" w16cid:durableId="1087457174">
    <w:abstractNumId w:val="0"/>
  </w:num>
  <w:num w:numId="3" w16cid:durableId="1737900854">
    <w:abstractNumId w:val="0"/>
  </w:num>
  <w:num w:numId="4" w16cid:durableId="1319919648">
    <w:abstractNumId w:val="0"/>
  </w:num>
  <w:num w:numId="5" w16cid:durableId="541862095">
    <w:abstractNumId w:val="5"/>
  </w:num>
  <w:num w:numId="6" w16cid:durableId="1902984852">
    <w:abstractNumId w:val="0"/>
  </w:num>
  <w:num w:numId="7" w16cid:durableId="1033194742">
    <w:abstractNumId w:val="4"/>
  </w:num>
  <w:num w:numId="8" w16cid:durableId="1635519915">
    <w:abstractNumId w:val="3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7736970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5338045">
    <w:abstractNumId w:val="2"/>
    <w:lvlOverride w:ilvl="0">
      <w:lvl w:ilvl="0" w:tplc="6748958C">
        <w:start w:val="11"/>
        <w:numFmt w:val="decimal"/>
        <w:suff w:val="nothing"/>
        <w:lvlText w:val="%1."/>
        <w:lvlJc w:val="left"/>
        <w:pPr>
          <w:ind w:left="720" w:hanging="360"/>
        </w:pPr>
        <w:rPr>
          <w:b w:val="0"/>
          <w:color w:val="000000" w:themeColor="text1"/>
        </w:rPr>
      </w:lvl>
    </w:lvlOverride>
    <w:lvlOverride w:ilvl="1">
      <w:lvl w:ilvl="1" w:tplc="0809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8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8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8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1" w16cid:durableId="1072196188">
    <w:abstractNumId w:val="2"/>
    <w:lvlOverride w:ilvl="0">
      <w:lvl w:ilvl="0" w:tplc="6748958C">
        <w:start w:val="11"/>
        <w:numFmt w:val="decimal"/>
        <w:suff w:val="nothing"/>
        <w:lvlText w:val="%1."/>
        <w:lvlJc w:val="left"/>
        <w:pPr>
          <w:ind w:left="720" w:hanging="360"/>
        </w:pPr>
        <w:rPr>
          <w:b w:val="0"/>
          <w:color w:val="000000" w:themeColor="text1"/>
        </w:rPr>
      </w:lvl>
    </w:lvlOverride>
    <w:lvlOverride w:ilvl="1">
      <w:lvl w:ilvl="1" w:tplc="0809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8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8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8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2" w16cid:durableId="31812063">
    <w:abstractNumId w:val="2"/>
    <w:lvlOverride w:ilvl="0">
      <w:lvl w:ilvl="0" w:tplc="6748958C">
        <w:start w:val="11"/>
        <w:numFmt w:val="decimal"/>
        <w:suff w:val="nothing"/>
        <w:lvlText w:val="%1."/>
        <w:lvlJc w:val="left"/>
        <w:pPr>
          <w:ind w:left="720" w:hanging="360"/>
        </w:pPr>
        <w:rPr>
          <w:b w:val="0"/>
          <w:color w:val="000000" w:themeColor="text1"/>
        </w:rPr>
      </w:lvl>
    </w:lvlOverride>
    <w:lvlOverride w:ilvl="1">
      <w:lvl w:ilvl="1" w:tplc="0809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8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8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8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3" w16cid:durableId="757023686">
    <w:abstractNumId w:val="2"/>
    <w:lvlOverride w:ilvl="0">
      <w:lvl w:ilvl="0" w:tplc="6748958C">
        <w:start w:val="11"/>
        <w:numFmt w:val="decimal"/>
        <w:suff w:val="nothing"/>
        <w:lvlText w:val="%1."/>
        <w:lvlJc w:val="left"/>
        <w:pPr>
          <w:ind w:left="720" w:hanging="360"/>
        </w:pPr>
        <w:rPr>
          <w:b w:val="0"/>
          <w:color w:val="000000" w:themeColor="text1"/>
        </w:rPr>
      </w:lvl>
    </w:lvlOverride>
    <w:lvlOverride w:ilvl="1">
      <w:lvl w:ilvl="1" w:tplc="0809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8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8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8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4" w16cid:durableId="694236319">
    <w:abstractNumId w:val="2"/>
    <w:lvlOverride w:ilvl="0">
      <w:lvl w:ilvl="0" w:tplc="6748958C">
        <w:start w:val="11"/>
        <w:numFmt w:val="decimal"/>
        <w:suff w:val="nothing"/>
        <w:lvlText w:val="%1."/>
        <w:lvlJc w:val="left"/>
        <w:pPr>
          <w:ind w:left="720" w:hanging="360"/>
        </w:pPr>
        <w:rPr>
          <w:b w:val="0"/>
          <w:color w:val="000000" w:themeColor="text1"/>
        </w:rPr>
      </w:lvl>
    </w:lvlOverride>
    <w:lvlOverride w:ilvl="1">
      <w:lvl w:ilvl="1" w:tplc="0809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8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8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8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5" w16cid:durableId="785661333">
    <w:abstractNumId w:val="2"/>
    <w:lvlOverride w:ilvl="0">
      <w:lvl w:ilvl="0" w:tplc="6748958C">
        <w:start w:val="11"/>
        <w:numFmt w:val="decimal"/>
        <w:suff w:val="nothing"/>
        <w:lvlText w:val="%1."/>
        <w:lvlJc w:val="left"/>
        <w:pPr>
          <w:ind w:left="720" w:hanging="360"/>
        </w:pPr>
        <w:rPr>
          <w:b w:val="0"/>
          <w:color w:val="000000" w:themeColor="text1"/>
        </w:rPr>
      </w:lvl>
    </w:lvlOverride>
    <w:lvlOverride w:ilvl="1">
      <w:lvl w:ilvl="1" w:tplc="0809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8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8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8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6" w16cid:durableId="497114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flzs+6dJtXtuQuWa0YOjXQR+CvgfH+AVV1LN0TwfkErk+oVUXNALiv8Erdcez0vCK1izyQ9fLSWW6IitJag5Xw==" w:salt="vTQDXn3IUajcdaQxkk2hG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CC"/>
    <w:rsid w:val="000117E7"/>
    <w:rsid w:val="000151C7"/>
    <w:rsid w:val="00015F6D"/>
    <w:rsid w:val="00017E3A"/>
    <w:rsid w:val="00027C27"/>
    <w:rsid w:val="00031EA5"/>
    <w:rsid w:val="000351C9"/>
    <w:rsid w:val="0004086E"/>
    <w:rsid w:val="00054D01"/>
    <w:rsid w:val="00054ED6"/>
    <w:rsid w:val="000718F5"/>
    <w:rsid w:val="000A008F"/>
    <w:rsid w:val="000A3B78"/>
    <w:rsid w:val="000C0CF4"/>
    <w:rsid w:val="000D7246"/>
    <w:rsid w:val="000F025C"/>
    <w:rsid w:val="00101C34"/>
    <w:rsid w:val="00135E7D"/>
    <w:rsid w:val="0014170C"/>
    <w:rsid w:val="001629B1"/>
    <w:rsid w:val="00187D56"/>
    <w:rsid w:val="00190FBA"/>
    <w:rsid w:val="001B6E41"/>
    <w:rsid w:val="001F1B2F"/>
    <w:rsid w:val="001F23F7"/>
    <w:rsid w:val="00205379"/>
    <w:rsid w:val="0020584D"/>
    <w:rsid w:val="00210F64"/>
    <w:rsid w:val="002122B9"/>
    <w:rsid w:val="002171B5"/>
    <w:rsid w:val="0022496C"/>
    <w:rsid w:val="00230D2C"/>
    <w:rsid w:val="00251197"/>
    <w:rsid w:val="00262B39"/>
    <w:rsid w:val="00281579"/>
    <w:rsid w:val="00282DAA"/>
    <w:rsid w:val="00287CFE"/>
    <w:rsid w:val="0029628C"/>
    <w:rsid w:val="002A79F5"/>
    <w:rsid w:val="002B37E2"/>
    <w:rsid w:val="002B65A0"/>
    <w:rsid w:val="002C66CB"/>
    <w:rsid w:val="002D1B3F"/>
    <w:rsid w:val="002D2A34"/>
    <w:rsid w:val="002E013C"/>
    <w:rsid w:val="002F03E4"/>
    <w:rsid w:val="002F0BBC"/>
    <w:rsid w:val="002F1890"/>
    <w:rsid w:val="002F27CC"/>
    <w:rsid w:val="002F6E53"/>
    <w:rsid w:val="00306C61"/>
    <w:rsid w:val="00327880"/>
    <w:rsid w:val="0035480C"/>
    <w:rsid w:val="00361868"/>
    <w:rsid w:val="00372956"/>
    <w:rsid w:val="0037582B"/>
    <w:rsid w:val="00387364"/>
    <w:rsid w:val="003A0B3C"/>
    <w:rsid w:val="003A25B1"/>
    <w:rsid w:val="003A6274"/>
    <w:rsid w:val="003B1D59"/>
    <w:rsid w:val="003C32CB"/>
    <w:rsid w:val="003E6A2C"/>
    <w:rsid w:val="003F3E92"/>
    <w:rsid w:val="003F563F"/>
    <w:rsid w:val="00405AAE"/>
    <w:rsid w:val="00411C9A"/>
    <w:rsid w:val="00414F11"/>
    <w:rsid w:val="00421831"/>
    <w:rsid w:val="00423E05"/>
    <w:rsid w:val="00453C27"/>
    <w:rsid w:val="0046054A"/>
    <w:rsid w:val="004C1875"/>
    <w:rsid w:val="00515FAD"/>
    <w:rsid w:val="00516FD0"/>
    <w:rsid w:val="00526301"/>
    <w:rsid w:val="00527E73"/>
    <w:rsid w:val="0053076C"/>
    <w:rsid w:val="00542D43"/>
    <w:rsid w:val="00545A9C"/>
    <w:rsid w:val="0055223E"/>
    <w:rsid w:val="00570C02"/>
    <w:rsid w:val="005A3B9C"/>
    <w:rsid w:val="005A6FD3"/>
    <w:rsid w:val="005B3A7E"/>
    <w:rsid w:val="005D1663"/>
    <w:rsid w:val="005D2D27"/>
    <w:rsid w:val="005E2B75"/>
    <w:rsid w:val="00616423"/>
    <w:rsid w:val="00632740"/>
    <w:rsid w:val="00636534"/>
    <w:rsid w:val="0066060E"/>
    <w:rsid w:val="0066065B"/>
    <w:rsid w:val="00660B03"/>
    <w:rsid w:val="00663711"/>
    <w:rsid w:val="00685A0C"/>
    <w:rsid w:val="00686A57"/>
    <w:rsid w:val="006976CA"/>
    <w:rsid w:val="006A032A"/>
    <w:rsid w:val="006A2A57"/>
    <w:rsid w:val="006B0BCD"/>
    <w:rsid w:val="006E263E"/>
    <w:rsid w:val="006E52C3"/>
    <w:rsid w:val="007020A4"/>
    <w:rsid w:val="00704758"/>
    <w:rsid w:val="00706906"/>
    <w:rsid w:val="00711FAC"/>
    <w:rsid w:val="0073528F"/>
    <w:rsid w:val="00742C4D"/>
    <w:rsid w:val="00745F97"/>
    <w:rsid w:val="00757CF6"/>
    <w:rsid w:val="00782475"/>
    <w:rsid w:val="00783EDA"/>
    <w:rsid w:val="007916AE"/>
    <w:rsid w:val="007A2319"/>
    <w:rsid w:val="007A3F1A"/>
    <w:rsid w:val="007C2CBD"/>
    <w:rsid w:val="007E120A"/>
    <w:rsid w:val="007E56A5"/>
    <w:rsid w:val="007E7A36"/>
    <w:rsid w:val="007F38D9"/>
    <w:rsid w:val="007F6CFA"/>
    <w:rsid w:val="00813EEB"/>
    <w:rsid w:val="00821BBA"/>
    <w:rsid w:val="0082715C"/>
    <w:rsid w:val="008359BF"/>
    <w:rsid w:val="00840BED"/>
    <w:rsid w:val="00844402"/>
    <w:rsid w:val="00845A29"/>
    <w:rsid w:val="00854F2F"/>
    <w:rsid w:val="00857548"/>
    <w:rsid w:val="008611FA"/>
    <w:rsid w:val="00865A31"/>
    <w:rsid w:val="008742B8"/>
    <w:rsid w:val="008979FA"/>
    <w:rsid w:val="008A3794"/>
    <w:rsid w:val="008A516F"/>
    <w:rsid w:val="008A6467"/>
    <w:rsid w:val="008A778B"/>
    <w:rsid w:val="008D21A2"/>
    <w:rsid w:val="008E0013"/>
    <w:rsid w:val="008F017C"/>
    <w:rsid w:val="008F3EC7"/>
    <w:rsid w:val="008F55B1"/>
    <w:rsid w:val="008F629E"/>
    <w:rsid w:val="008F7983"/>
    <w:rsid w:val="009018C3"/>
    <w:rsid w:val="00905178"/>
    <w:rsid w:val="0090562D"/>
    <w:rsid w:val="009205BD"/>
    <w:rsid w:val="009210A6"/>
    <w:rsid w:val="0092655F"/>
    <w:rsid w:val="009307AF"/>
    <w:rsid w:val="00972E3F"/>
    <w:rsid w:val="00982C49"/>
    <w:rsid w:val="00982D49"/>
    <w:rsid w:val="00983AEE"/>
    <w:rsid w:val="00991BEA"/>
    <w:rsid w:val="009A5918"/>
    <w:rsid w:val="009A656B"/>
    <w:rsid w:val="009B2580"/>
    <w:rsid w:val="009B7615"/>
    <w:rsid w:val="009C2920"/>
    <w:rsid w:val="009C5873"/>
    <w:rsid w:val="009C6AD2"/>
    <w:rsid w:val="009F668B"/>
    <w:rsid w:val="00A16084"/>
    <w:rsid w:val="00A21E6C"/>
    <w:rsid w:val="00A25F2C"/>
    <w:rsid w:val="00A4597C"/>
    <w:rsid w:val="00A506B5"/>
    <w:rsid w:val="00A70D6D"/>
    <w:rsid w:val="00A8433F"/>
    <w:rsid w:val="00A85835"/>
    <w:rsid w:val="00A8776F"/>
    <w:rsid w:val="00A87919"/>
    <w:rsid w:val="00A920F1"/>
    <w:rsid w:val="00AA0FD5"/>
    <w:rsid w:val="00AB0009"/>
    <w:rsid w:val="00AD2719"/>
    <w:rsid w:val="00AD5885"/>
    <w:rsid w:val="00AF2325"/>
    <w:rsid w:val="00B05D2B"/>
    <w:rsid w:val="00B21B34"/>
    <w:rsid w:val="00B23817"/>
    <w:rsid w:val="00B267EE"/>
    <w:rsid w:val="00B271DB"/>
    <w:rsid w:val="00B319A6"/>
    <w:rsid w:val="00B51BDC"/>
    <w:rsid w:val="00B51CDC"/>
    <w:rsid w:val="00B561C0"/>
    <w:rsid w:val="00B60C0B"/>
    <w:rsid w:val="00B71B44"/>
    <w:rsid w:val="00B73725"/>
    <w:rsid w:val="00B75A68"/>
    <w:rsid w:val="00B773CE"/>
    <w:rsid w:val="00B83E67"/>
    <w:rsid w:val="00BA1B21"/>
    <w:rsid w:val="00BB7BD4"/>
    <w:rsid w:val="00BC0A29"/>
    <w:rsid w:val="00BD5441"/>
    <w:rsid w:val="00BE1109"/>
    <w:rsid w:val="00C04BB6"/>
    <w:rsid w:val="00C062E8"/>
    <w:rsid w:val="00C12751"/>
    <w:rsid w:val="00C319B5"/>
    <w:rsid w:val="00C65654"/>
    <w:rsid w:val="00C716E7"/>
    <w:rsid w:val="00C73F94"/>
    <w:rsid w:val="00C83CB3"/>
    <w:rsid w:val="00C850CD"/>
    <w:rsid w:val="00C8726E"/>
    <w:rsid w:val="00C91823"/>
    <w:rsid w:val="00C938BC"/>
    <w:rsid w:val="00C93CD9"/>
    <w:rsid w:val="00CA0D17"/>
    <w:rsid w:val="00CA76D4"/>
    <w:rsid w:val="00CB0483"/>
    <w:rsid w:val="00CB1641"/>
    <w:rsid w:val="00CC0FA5"/>
    <w:rsid w:val="00CD2F0B"/>
    <w:rsid w:val="00CD3D37"/>
    <w:rsid w:val="00CD76B8"/>
    <w:rsid w:val="00D008AB"/>
    <w:rsid w:val="00D144D3"/>
    <w:rsid w:val="00D216C2"/>
    <w:rsid w:val="00D2491F"/>
    <w:rsid w:val="00D277BB"/>
    <w:rsid w:val="00D41B4E"/>
    <w:rsid w:val="00D71BFC"/>
    <w:rsid w:val="00D74D5D"/>
    <w:rsid w:val="00D76D7E"/>
    <w:rsid w:val="00D845C3"/>
    <w:rsid w:val="00D85B80"/>
    <w:rsid w:val="00DA74FA"/>
    <w:rsid w:val="00DA7F5D"/>
    <w:rsid w:val="00DB2CD3"/>
    <w:rsid w:val="00DB621D"/>
    <w:rsid w:val="00DB766A"/>
    <w:rsid w:val="00DC720C"/>
    <w:rsid w:val="00DD43A0"/>
    <w:rsid w:val="00DE4A49"/>
    <w:rsid w:val="00E11A8B"/>
    <w:rsid w:val="00E12ED2"/>
    <w:rsid w:val="00E135CA"/>
    <w:rsid w:val="00E15D40"/>
    <w:rsid w:val="00E25BBE"/>
    <w:rsid w:val="00E333FA"/>
    <w:rsid w:val="00E42211"/>
    <w:rsid w:val="00E43357"/>
    <w:rsid w:val="00E4489E"/>
    <w:rsid w:val="00E56412"/>
    <w:rsid w:val="00E656B3"/>
    <w:rsid w:val="00E67D97"/>
    <w:rsid w:val="00E712EE"/>
    <w:rsid w:val="00E74CBC"/>
    <w:rsid w:val="00E77EEF"/>
    <w:rsid w:val="00E93525"/>
    <w:rsid w:val="00E93D1A"/>
    <w:rsid w:val="00EA1F25"/>
    <w:rsid w:val="00EA3596"/>
    <w:rsid w:val="00EA6245"/>
    <w:rsid w:val="00EB1029"/>
    <w:rsid w:val="00EB5067"/>
    <w:rsid w:val="00EC3DFE"/>
    <w:rsid w:val="00EC456B"/>
    <w:rsid w:val="00EC738D"/>
    <w:rsid w:val="00ED0B20"/>
    <w:rsid w:val="00ED4683"/>
    <w:rsid w:val="00ED760F"/>
    <w:rsid w:val="00EE53C7"/>
    <w:rsid w:val="00EF6691"/>
    <w:rsid w:val="00F0140E"/>
    <w:rsid w:val="00F042CA"/>
    <w:rsid w:val="00F077D7"/>
    <w:rsid w:val="00F14350"/>
    <w:rsid w:val="00F234D6"/>
    <w:rsid w:val="00F278E8"/>
    <w:rsid w:val="00F349F3"/>
    <w:rsid w:val="00F417B1"/>
    <w:rsid w:val="00F461AB"/>
    <w:rsid w:val="00F53736"/>
    <w:rsid w:val="00F5400A"/>
    <w:rsid w:val="00F56A40"/>
    <w:rsid w:val="00F61EA7"/>
    <w:rsid w:val="00F67879"/>
    <w:rsid w:val="00F73359"/>
    <w:rsid w:val="00F7647E"/>
    <w:rsid w:val="00F76514"/>
    <w:rsid w:val="00F76F34"/>
    <w:rsid w:val="00F90F31"/>
    <w:rsid w:val="00F921D6"/>
    <w:rsid w:val="00F94D9B"/>
    <w:rsid w:val="00FA19CC"/>
    <w:rsid w:val="00FA4BC1"/>
    <w:rsid w:val="00FB6F70"/>
    <w:rsid w:val="00FC5FE1"/>
    <w:rsid w:val="00FD61AD"/>
    <w:rsid w:val="00FD67CC"/>
    <w:rsid w:val="00FE7F76"/>
    <w:rsid w:val="00FF64FA"/>
    <w:rsid w:val="01D1ABF3"/>
    <w:rsid w:val="01FD5DF1"/>
    <w:rsid w:val="03006CE7"/>
    <w:rsid w:val="041589C2"/>
    <w:rsid w:val="06224758"/>
    <w:rsid w:val="068BF4B9"/>
    <w:rsid w:val="06D1B9B2"/>
    <w:rsid w:val="0A2D79E4"/>
    <w:rsid w:val="0A77F125"/>
    <w:rsid w:val="0AF954AC"/>
    <w:rsid w:val="0B891B29"/>
    <w:rsid w:val="0C4CAC5E"/>
    <w:rsid w:val="0C88DDBC"/>
    <w:rsid w:val="0F8617F5"/>
    <w:rsid w:val="102827AA"/>
    <w:rsid w:val="10B1C6F3"/>
    <w:rsid w:val="10F58578"/>
    <w:rsid w:val="11201D81"/>
    <w:rsid w:val="11260237"/>
    <w:rsid w:val="11687F82"/>
    <w:rsid w:val="122A00BC"/>
    <w:rsid w:val="135FC86C"/>
    <w:rsid w:val="136A77C1"/>
    <w:rsid w:val="13DAF9C9"/>
    <w:rsid w:val="140A4CE6"/>
    <w:rsid w:val="153F60CC"/>
    <w:rsid w:val="16A1E4C2"/>
    <w:rsid w:val="17F80460"/>
    <w:rsid w:val="18797B75"/>
    <w:rsid w:val="18F67D39"/>
    <w:rsid w:val="1D3B6C08"/>
    <w:rsid w:val="1EAA6899"/>
    <w:rsid w:val="201EA784"/>
    <w:rsid w:val="204638FA"/>
    <w:rsid w:val="2050E84F"/>
    <w:rsid w:val="22CDDEC8"/>
    <w:rsid w:val="22D9FF32"/>
    <w:rsid w:val="23226133"/>
    <w:rsid w:val="24BE3194"/>
    <w:rsid w:val="25AB106B"/>
    <w:rsid w:val="2675F676"/>
    <w:rsid w:val="26EF399D"/>
    <w:rsid w:val="2811C6D7"/>
    <w:rsid w:val="295175CC"/>
    <w:rsid w:val="2991A2B7"/>
    <w:rsid w:val="2AC68373"/>
    <w:rsid w:val="2ACBE8BA"/>
    <w:rsid w:val="2B0173A5"/>
    <w:rsid w:val="2B0CB975"/>
    <w:rsid w:val="2C2F7832"/>
    <w:rsid w:val="2C36A7A5"/>
    <w:rsid w:val="2CA889D6"/>
    <w:rsid w:val="2CB563A4"/>
    <w:rsid w:val="301875F5"/>
    <w:rsid w:val="30670C19"/>
    <w:rsid w:val="31876BA8"/>
    <w:rsid w:val="31A312DF"/>
    <w:rsid w:val="3342612B"/>
    <w:rsid w:val="34888730"/>
    <w:rsid w:val="355373A6"/>
    <w:rsid w:val="370A0D76"/>
    <w:rsid w:val="38C24A84"/>
    <w:rsid w:val="3906F814"/>
    <w:rsid w:val="3ADDD9A0"/>
    <w:rsid w:val="3AEA43AD"/>
    <w:rsid w:val="3C4EED53"/>
    <w:rsid w:val="3CC3BB7C"/>
    <w:rsid w:val="3D76147D"/>
    <w:rsid w:val="3D77848E"/>
    <w:rsid w:val="3E07015A"/>
    <w:rsid w:val="3EF543B7"/>
    <w:rsid w:val="40F1A29B"/>
    <w:rsid w:val="413EA21C"/>
    <w:rsid w:val="4338D3EE"/>
    <w:rsid w:val="44C89DDC"/>
    <w:rsid w:val="44D07D1A"/>
    <w:rsid w:val="44EA90A5"/>
    <w:rsid w:val="45834DDE"/>
    <w:rsid w:val="4607A5A0"/>
    <w:rsid w:val="463DCAA1"/>
    <w:rsid w:val="46645446"/>
    <w:rsid w:val="47402A7C"/>
    <w:rsid w:val="47C70BFD"/>
    <w:rsid w:val="48F438BC"/>
    <w:rsid w:val="49511EF8"/>
    <w:rsid w:val="49E1E816"/>
    <w:rsid w:val="4B7410DA"/>
    <w:rsid w:val="4D0A2488"/>
    <w:rsid w:val="4D3F70C8"/>
    <w:rsid w:val="4E20A419"/>
    <w:rsid w:val="4EC34E7B"/>
    <w:rsid w:val="4FC0E30B"/>
    <w:rsid w:val="5092C6CD"/>
    <w:rsid w:val="50DAC332"/>
    <w:rsid w:val="5154C5E6"/>
    <w:rsid w:val="515CB36C"/>
    <w:rsid w:val="52C69A39"/>
    <w:rsid w:val="5625753A"/>
    <w:rsid w:val="57154AC7"/>
    <w:rsid w:val="58A887C4"/>
    <w:rsid w:val="59E85F2C"/>
    <w:rsid w:val="59F15249"/>
    <w:rsid w:val="5B4955EF"/>
    <w:rsid w:val="5B908242"/>
    <w:rsid w:val="5BE3663A"/>
    <w:rsid w:val="5C544CC2"/>
    <w:rsid w:val="5C65680C"/>
    <w:rsid w:val="5C9F6613"/>
    <w:rsid w:val="5D8CAC95"/>
    <w:rsid w:val="5DD8EDFF"/>
    <w:rsid w:val="5EC3FFB9"/>
    <w:rsid w:val="5EC82304"/>
    <w:rsid w:val="5FB9B592"/>
    <w:rsid w:val="60C44D57"/>
    <w:rsid w:val="6141E7FA"/>
    <w:rsid w:val="61E410B2"/>
    <w:rsid w:val="647988BC"/>
    <w:rsid w:val="659E3AEB"/>
    <w:rsid w:val="6AB577CE"/>
    <w:rsid w:val="6C979749"/>
    <w:rsid w:val="6CB321B2"/>
    <w:rsid w:val="6DB7B1EF"/>
    <w:rsid w:val="6EAB5366"/>
    <w:rsid w:val="70193B56"/>
    <w:rsid w:val="70D78561"/>
    <w:rsid w:val="723418CA"/>
    <w:rsid w:val="7279FB8B"/>
    <w:rsid w:val="7295BE17"/>
    <w:rsid w:val="74EB3B64"/>
    <w:rsid w:val="754058C5"/>
    <w:rsid w:val="773706B9"/>
    <w:rsid w:val="77794889"/>
    <w:rsid w:val="78D2D71A"/>
    <w:rsid w:val="79CF29A9"/>
    <w:rsid w:val="79F8B18F"/>
    <w:rsid w:val="7C1AF9AE"/>
    <w:rsid w:val="7C90F2B6"/>
    <w:rsid w:val="7E0B29E0"/>
    <w:rsid w:val="7FC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E26DF"/>
  <w15:chartTrackingRefBased/>
  <w15:docId w15:val="{86CE8472-0DC0-4FF7-848E-8EC8FFE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CC"/>
    <w:pPr>
      <w:spacing w:after="160" w:line="256" w:lineRule="auto"/>
    </w:pPr>
    <w:rPr>
      <w:rFonts w:eastAsiaTheme="minorHAnsi"/>
      <w:kern w:val="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19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9CC"/>
    <w:rPr>
      <w:rFonts w:eastAsiaTheme="minorHAnsi"/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FA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9CC"/>
    <w:rPr>
      <w:rFonts w:eastAsiaTheme="minorHAnsi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FA19CC"/>
    <w:pPr>
      <w:ind w:left="720"/>
      <w:contextualSpacing/>
    </w:pPr>
  </w:style>
  <w:style w:type="paragraph" w:customStyle="1" w:styleId="text">
    <w:name w:val="text"/>
    <w:basedOn w:val="Normal"/>
    <w:rsid w:val="00F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19C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19CC"/>
    <w:rPr>
      <w:sz w:val="16"/>
      <w:szCs w:val="16"/>
    </w:rPr>
  </w:style>
  <w:style w:type="paragraph" w:styleId="Revision">
    <w:name w:val="Revision"/>
    <w:hidden/>
    <w:uiPriority w:val="99"/>
    <w:semiHidden/>
    <w:rsid w:val="009C2920"/>
    <w:rPr>
      <w:rFonts w:eastAsiaTheme="minorHAns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5D"/>
    <w:rPr>
      <w:rFonts w:eastAsiaTheme="minorHAnsi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8813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Clark</dc:creator>
  <cp:keywords/>
  <dc:description/>
  <cp:lastModifiedBy>Chichkov, Georgi</cp:lastModifiedBy>
  <cp:revision>3</cp:revision>
  <dcterms:created xsi:type="dcterms:W3CDTF">2024-01-12T10:41:00Z</dcterms:created>
  <dcterms:modified xsi:type="dcterms:W3CDTF">2024-01-23T11:00:00Z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efad0c003d1b6fa8510c3fad95fd2d4144b1ce2edaa195d17a1c9142ceda247e</vt:lpwstr>
  </property>
</Properties>
</file>